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bookmarkStart w:id="0" w:name="_GoBack"/>
      <w:r>
        <w:rPr>
          <w:rFonts w:hint="eastAsia" w:ascii="方正黑体_GBK" w:hAnsi="方正黑体_GBK" w:eastAsia="方正黑体_GBK" w:cs="方正黑体_GBK"/>
          <w:sz w:val="32"/>
          <w:szCs w:val="32"/>
        </w:rPr>
        <w:t>公共资源交易领域基层政务公开标准目录</w:t>
      </w:r>
    </w:p>
    <w:bookmarkEnd w:id="0"/>
    <w:tbl>
      <w:tblPr>
        <w:tblStyle w:val="6"/>
        <w:tblW w:w="152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2"/>
        <w:gridCol w:w="738"/>
        <w:gridCol w:w="816"/>
        <w:gridCol w:w="2921"/>
        <w:gridCol w:w="2403"/>
        <w:gridCol w:w="1130"/>
        <w:gridCol w:w="927"/>
        <w:gridCol w:w="3549"/>
        <w:gridCol w:w="534"/>
        <w:gridCol w:w="800"/>
        <w:gridCol w:w="439"/>
        <w:gridCol w:w="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552"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序号</w:t>
            </w:r>
          </w:p>
        </w:tc>
        <w:tc>
          <w:tcPr>
            <w:tcW w:w="1554" w:type="dxa"/>
            <w:gridSpan w:val="2"/>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公开事项</w:t>
            </w:r>
          </w:p>
        </w:tc>
        <w:tc>
          <w:tcPr>
            <w:tcW w:w="2921"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公开内容（要素）</w:t>
            </w:r>
          </w:p>
        </w:tc>
        <w:tc>
          <w:tcPr>
            <w:tcW w:w="2403"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公开依据</w:t>
            </w:r>
          </w:p>
        </w:tc>
        <w:tc>
          <w:tcPr>
            <w:tcW w:w="1130"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时限</w:t>
            </w:r>
          </w:p>
        </w:tc>
        <w:tc>
          <w:tcPr>
            <w:tcW w:w="927"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公开主体</w:t>
            </w:r>
          </w:p>
        </w:tc>
        <w:tc>
          <w:tcPr>
            <w:tcW w:w="3549" w:type="dxa"/>
            <w:vMerge w:val="restart"/>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公开渠道和载体</w:t>
            </w:r>
          </w:p>
        </w:tc>
        <w:tc>
          <w:tcPr>
            <w:tcW w:w="1334" w:type="dxa"/>
            <w:gridSpan w:val="2"/>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公开对象</w:t>
            </w:r>
          </w:p>
        </w:tc>
        <w:tc>
          <w:tcPr>
            <w:tcW w:w="880" w:type="dxa"/>
            <w:gridSpan w:val="2"/>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公开</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552"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一级事项</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二级</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事项</w:t>
            </w:r>
          </w:p>
        </w:tc>
        <w:tc>
          <w:tcPr>
            <w:tcW w:w="2921"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2403"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1130"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927"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3549" w:type="dxa"/>
            <w:vMerge w:val="continue"/>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全社会</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特定群体</w:t>
            </w: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主动</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方正黑体_GBK" w:hAnsi="方正黑体_GBK" w:eastAsia="方正黑体_GBK" w:cs="方正黑体_GBK"/>
                <w:b w:val="0"/>
                <w:bCs/>
                <w:kern w:val="2"/>
                <w:sz w:val="21"/>
                <w:szCs w:val="21"/>
              </w:rPr>
            </w:pPr>
            <w:r>
              <w:rPr>
                <w:rFonts w:hint="eastAsia" w:ascii="方正黑体_GBK" w:hAnsi="方正黑体_GBK" w:eastAsia="方正黑体_GBK" w:cs="方正黑体_GBK"/>
                <w:b w:val="0"/>
                <w:bCs/>
                <w:kern w:val="2"/>
                <w:sz w:val="21"/>
                <w:szCs w:val="21"/>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政策</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法规</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有关法律、法规、规章、规范性文件等全文。</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《国务院办公厅关于印发政府网站发展指引的通知》《国务院办公厅关于加强政府网站信息内容建设的意见》《中华人民共和国政府信息公开条例》</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区招投标行政监管部门</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审批核准信息</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招标内容、招标范围、招标组织形式、招标方式、招标估算金额、招标事项审核或核准部门。</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《招标投标法实施条例》、《中华人民共和国政府信息公开条例》《国务院办公厅关于推进公共资源配置领域政府信息公开的意见》（国办发〔2017〕97号）</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信息形成之日起20个工作日内</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相关项目审批部门</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■政府网站</w:t>
            </w:r>
            <w:r>
              <w:rPr>
                <w:rFonts w:hint="eastAsia" w:asciiTheme="minorEastAsia" w:hAnsiTheme="minorEastAsia" w:eastAsiaTheme="minorEastAsia" w:cstheme="minorEastAsia"/>
                <w:color w:val="auto"/>
                <w:kern w:val="2"/>
                <w:sz w:val="21"/>
                <w:szCs w:val="21"/>
              </w:rPr>
              <w:tab/>
            </w:r>
            <w:r>
              <w:rPr>
                <w:rFonts w:hint="eastAsia" w:asciiTheme="minorEastAsia" w:hAnsiTheme="minorEastAsia" w:eastAsiaTheme="minorEastAsia" w:cstheme="minorEastAsia"/>
                <w:color w:val="auto"/>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□两微一端</w:t>
            </w:r>
            <w:r>
              <w:rPr>
                <w:rFonts w:hint="eastAsia" w:asciiTheme="minorEastAsia" w:hAnsiTheme="minorEastAsia" w:eastAsiaTheme="minorEastAsia" w:cstheme="minorEastAsia"/>
                <w:color w:val="auto"/>
                <w:kern w:val="2"/>
                <w:sz w:val="21"/>
                <w:szCs w:val="21"/>
              </w:rPr>
              <w:tab/>
            </w:r>
            <w:r>
              <w:rPr>
                <w:rFonts w:hint="eastAsia" w:asciiTheme="minorEastAsia" w:hAnsiTheme="minorEastAsia" w:eastAsiaTheme="minorEastAsia" w:cstheme="minorEastAsia"/>
                <w:color w:val="auto"/>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□广播电视</w:t>
            </w:r>
            <w:r>
              <w:rPr>
                <w:rFonts w:hint="eastAsia" w:asciiTheme="minorEastAsia" w:hAnsiTheme="minorEastAsia" w:eastAsiaTheme="minorEastAsia" w:cstheme="minorEastAsia"/>
                <w:color w:val="auto"/>
                <w:kern w:val="2"/>
                <w:sz w:val="21"/>
                <w:szCs w:val="21"/>
              </w:rPr>
              <w:tab/>
            </w:r>
            <w:r>
              <w:rPr>
                <w:rFonts w:hint="eastAsia" w:asciiTheme="minorEastAsia" w:hAnsiTheme="minorEastAsia" w:eastAsiaTheme="minorEastAsia" w:cstheme="minorEastAsia"/>
                <w:color w:val="auto"/>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□公开查阅点</w:t>
            </w:r>
            <w:r>
              <w:rPr>
                <w:rFonts w:hint="eastAsia" w:asciiTheme="minorEastAsia" w:hAnsiTheme="minorEastAsia" w:eastAsiaTheme="minorEastAsia" w:cstheme="minorEastAsia"/>
                <w:color w:val="auto"/>
                <w:kern w:val="2"/>
                <w:sz w:val="21"/>
                <w:szCs w:val="21"/>
              </w:rPr>
              <w:tab/>
            </w:r>
            <w:r>
              <w:rPr>
                <w:rFonts w:hint="eastAsia" w:asciiTheme="minorEastAsia" w:hAnsiTheme="minorEastAsia" w:eastAsiaTheme="minorEastAsia" w:cstheme="minorEastAsia"/>
                <w:color w:val="auto"/>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□便民服务站</w:t>
            </w:r>
            <w:r>
              <w:rPr>
                <w:rFonts w:hint="eastAsia" w:asciiTheme="minorEastAsia" w:hAnsiTheme="minorEastAsia" w:eastAsiaTheme="minorEastAsia" w:cstheme="minorEastAsia"/>
                <w:color w:val="auto"/>
                <w:kern w:val="2"/>
                <w:sz w:val="21"/>
                <w:szCs w:val="21"/>
              </w:rPr>
              <w:tab/>
            </w:r>
            <w:r>
              <w:rPr>
                <w:rFonts w:hint="eastAsia" w:asciiTheme="minorEastAsia" w:hAnsiTheme="minorEastAsia" w:eastAsiaTheme="minorEastAsia" w:cstheme="minorEastAsia"/>
                <w:color w:val="auto"/>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□管理部门网站</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对违反招标投标法律法规行为给予的行政处罚</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执法程序或行政强制流程、执法依据、行政处罚自由裁量基准、咨询投诉方式、行政处罚决定书或其他处理结果、救济渠道。</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《中华人民共和国招标投标法》及实施条例、《中华人民共和国行政处罚法》、《重庆市招标投标条例》、《重庆市全面推行行政执法公示制度执法全过程记录制度重大执法决定法制审核制度实施方案》等</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除处罚决定外其他内容：长期公开（动态调整）；处罚决定7个工作日内；其他执法决定20个工作日内</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区招投标行政监管部门</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市场主体信用信息</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《中华人民共和国行政处罚法》、《中华人民共和国政府信息公开条例》、《国务院办公厅关于推进公共资源配置领域政府信息公开的意见》（国办发〔2017〕97号）</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信息形成之日起20个工作日内</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区招投标行政监管部门</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■信用中国■交易监督网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资格预审公告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《招标投标法》、《招标投标法实施条例》、《国务院办公厅关于推进公共资源配置领域政府信息公开的意见》（国办发〔2017〕97号）、《招标公告和公示信息发布管理办法》（国家发展改革委2017年第10号令）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6</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法》、《招标投标法实施条例》、《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7</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招标公告、招标文件、资格预审文件澄清或修改</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项目名称；标段名称；澄清或修改事项；招标人及其招标代理机构的名称、地址、联系人及联系方式。</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《招标投标法》、《招标投标法实施条例》、《电子招标投标办法》（国家发展改革委等八部委2013年第20号令）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在提交资格预审申请文件截止时间至少3日前，或者投标截止时间至少15日前</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8</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中标候选人公示</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法》、《招标投标法实施条例》、《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依法必须进行招标的项目，招标人应当自收到评标报告之日起3日内公示中标候选人，公示期不得少于3日</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9</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中标</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结果</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招标项目名称、中标人名称、中标价、工期、项目负责人、中标内容。</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公示、公告信息澄清、修改</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项目名称；标段名称；澄清或修改事项；招标人及其招标代理机构的名称、地址、联系人及联系方式。</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《招标公告和公示信息发布管理办法》（国家发展改革委2017年第10号令）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暂停、终止招标</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招标人名称、招标项目名称、招标项目编号、本项目首次公告日期、招标暂停或终止原因、联系方式、其他事项。</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《招标公告和公示信息发布管理办法》（国家发展改革委2017年第10号令）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招标人或者其委托的招标代理机构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□政府网站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□两微一端</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□广播电视</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□公开查阅点</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□便民服务站</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■电子招投标交易平台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■交易监督网</w:t>
            </w:r>
          </w:p>
        </w:tc>
        <w:tc>
          <w:tcPr>
            <w:tcW w:w="534"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w:t>
            </w:r>
          </w:p>
        </w:tc>
        <w:tc>
          <w:tcPr>
            <w:tcW w:w="44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12</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合同订立信息</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包括项目名称、合同双方名称、合同价款、签约时间、合同期限。</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《国务院办公厅关于推进公共资源配置领域政府信息公开的意见》（国办发〔2017〕97号）、《电子招标投标办法》（国家发展改革委等八部委2013年第20号令）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及时</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公开</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bidi="ar-SA"/>
              </w:rPr>
              <w:t>合同当事人</w:t>
            </w:r>
          </w:p>
        </w:tc>
        <w:tc>
          <w:tcPr>
            <w:tcW w:w="3549" w:type="dxa"/>
            <w:noWrap w:val="0"/>
            <w:vAlign w:val="top"/>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□政府网站</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□两微一端</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□广播电视</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□公开查阅点□政务服务中心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□便民服务站</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■电子招标投标交易平台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w:t>
            </w:r>
          </w:p>
        </w:tc>
        <w:tc>
          <w:tcPr>
            <w:tcW w:w="441" w:type="dxa"/>
            <w:noWrap w:val="0"/>
            <w:vAlign w:val="top"/>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13</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工程建设项目招标投标信息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合同履行及变更信息</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项目名称、标段名称、建设单位、承包人、项目完成质量、期限、结算金额、合同发生的变更、解除合同通知书、违约行为的处理结果。</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《国务院办公厅关于推进公共资源配置领域政府信息公开的意见》（国办发〔2017〕97号）、《电子招标投标办法》（国家发</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展改革委等八部委2013年第20号令）</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鼓励及时公开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合同当事人</w:t>
            </w:r>
          </w:p>
        </w:tc>
        <w:tc>
          <w:tcPr>
            <w:tcW w:w="3549" w:type="dxa"/>
            <w:noWrap w:val="0"/>
            <w:vAlign w:val="top"/>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□政府网站</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□政府公报</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□两微一端</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□发布会听证会</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□广播电视</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□纸质媒体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□公开查阅点</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□政务服务中心</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□便民服务站</w:t>
            </w:r>
            <w:r>
              <w:rPr>
                <w:rFonts w:hint="eastAsia" w:asciiTheme="minorEastAsia" w:hAnsiTheme="minorEastAsia" w:eastAsiaTheme="minorEastAsia" w:cstheme="minorEastAsia"/>
                <w:kern w:val="2"/>
                <w:sz w:val="21"/>
                <w:szCs w:val="21"/>
                <w:lang w:eastAsia="zh-CN"/>
              </w:rPr>
              <w:tab/>
            </w:r>
            <w:r>
              <w:rPr>
                <w:rFonts w:hint="eastAsia" w:asciiTheme="minorEastAsia" w:hAnsiTheme="minorEastAsia" w:eastAsiaTheme="minorEastAsia" w:cstheme="minorEastAsia"/>
                <w:kern w:val="2"/>
                <w:sz w:val="21"/>
                <w:szCs w:val="21"/>
                <w:lang w:eastAsia="zh-CN"/>
              </w:rPr>
              <w:t>□入户/现场</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□社区/企事业单位/村公示栏（电子屏）</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□精准推送</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■招标投标公共服务平台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■电子招标投标交易平台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w:t>
            </w:r>
          </w:p>
        </w:tc>
        <w:tc>
          <w:tcPr>
            <w:tcW w:w="80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w:t>
            </w:r>
          </w:p>
        </w:tc>
        <w:tc>
          <w:tcPr>
            <w:tcW w:w="441" w:type="dxa"/>
            <w:noWrap w:val="0"/>
            <w:vAlign w:val="top"/>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14</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《国务院办公厅关于推进公共资源配置领域政府信息公开的意见》、《政府采购货物和服务招标投标管理办法》、《财政部关于做好政府采购信息公开工作的通知》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及时公开，公告期限为5个工作日</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2"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15</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资格预审公告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《国务院办公厅关于推进公共资源配置领域政府信息公开的意见》、《政府采购货物和服务招标投标管理办法》、《财政部关于做好政府采购信息公开工作的通知》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及时公开，公告期限为5个工作日</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16</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竞争性谈判公告、竞争性磋商公告和询价公告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及时公开，公告期限为3个工作日</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17</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采购项目预算金额</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随采购公告、采购文件公开</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18</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w:t>
            </w:r>
          </w:p>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文件</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招标文件、竞争性谈判文件、竞争性磋商文件和询价通知书。</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随中标、成交结果同时公告。中标、成交结果公告前采购文件已公告的，不再重复公告</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19</w:t>
            </w:r>
          </w:p>
        </w:tc>
        <w:tc>
          <w:tcPr>
            <w:tcW w:w="738"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采购信息更正公告</w:t>
            </w:r>
          </w:p>
        </w:tc>
        <w:tc>
          <w:tcPr>
            <w:tcW w:w="2921"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采购人和采购代理机构名称、地址、联系方式；原公告的采购项目名称及首次公告日期；更正事项、内容及日期；采购项目联系人和电话。</w:t>
            </w:r>
          </w:p>
        </w:tc>
        <w:tc>
          <w:tcPr>
            <w:tcW w:w="2403"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投标截止时间至少15日前、提交资格预审申请文件截止时间至少3日前，或者提交首次响应文件截止之日3个工作日前</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单一来源公示</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及时公开，公示期限不得少于5个工作日</w:t>
            </w:r>
          </w:p>
        </w:tc>
        <w:tc>
          <w:tcPr>
            <w:tcW w:w="927"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采购人或者其委托的采购代理机构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协议供货和定点采购的具体成交记录</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采购人和成交供应商的名称、成交金额以及成交标的的名称、规格型号、数量、单价等。电子卖场、电子商城、网上超市等的具体成交记录，也应当予以公开。</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《关于进一步做好政府采购信息公开工作有关事项的通知》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w:t>
            </w:r>
          </w:p>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公开</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bidi="ar-SA"/>
              </w:rPr>
              <w:t>集中采购机构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■中国政府采购网及其省级分网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■省级（含计划单列市）财政部门指定的媒体</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中标、成交结果</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自中标、成交供应商确定之日起2个工作日内公告，公告期限为1个工作日</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bidi="ar-SA"/>
              </w:rPr>
              <w:t>采购人或者其委托的采购代理机构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23</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采购合同</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采购人和采购代理机构名称、地址、联系方式；采购项目名称、编号，合同编号；供应商名称；合同内容。</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合同签订之日起2个工作日内</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bidi="ar-SA"/>
              </w:rPr>
              <w:t>采购人或者其委托的采购代理机构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24</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终止公告</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采购人和采购代理机构名称、地址、联系方式；采购项目名称、采购编号，采购方式；采购项目终止原因；公告期限；采购项目联系人和电话。</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w:t>
            </w:r>
          </w:p>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公开</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bidi="ar-SA"/>
              </w:rPr>
              <w:t>采购人或者其委托的采购代理机构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25</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公共服务项目采购需求</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采购对象需实现的功能或者目标，满足项目需要的所有技术、服务、安全等要求，采购对象的数量、交付或实施的时间和地</w:t>
            </w:r>
            <w:r>
              <w:rPr>
                <w:rFonts w:hint="eastAsia" w:asciiTheme="minorEastAsia" w:hAnsiTheme="minorEastAsia" w:eastAsiaTheme="minorEastAsia" w:cstheme="minorEastAsia"/>
                <w:spacing w:val="-10"/>
                <w:kern w:val="2"/>
                <w:sz w:val="21"/>
                <w:szCs w:val="21"/>
                <w:lang w:eastAsia="zh-CN"/>
              </w:rPr>
              <w:t>点，采购对象的验收标准等。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《财政部关于做好政府采购信息公开工作的通知》、《关于进一步加强政府采购需求和履约验收管理的指导意见》</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Style w:val="10"/>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eastAsia="zh-CN"/>
              </w:rPr>
              <w:t>及时公开</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26</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公共服务项目验收结果</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采购人和采购代理机构名称、地址、联系方式；采购项目名称、编号，合同编号；履约供应商名称；验收单位；验收结果；验收人员。</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验收结束之日起2个工作日内</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采购人</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■省级（含计划单列市）财政部门指定的媒体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27</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投诉、监督检查等处理决定公告（不涉及处罚的）</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相关当事人名称及地址、投诉涉及采购项目名称及采购日期、投诉事项或监督检查主要事项、处理依据、处理结果、执法机关名称、公告日期等。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完成并履行有关报审程序后5个工作日内</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区财政局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■省级财政部门指定的媒体</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28</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投诉、监督检查等处理决定公告（涉及处罚的）</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相关当事人名称及地址、投诉涉及采购项目名称及采购日期、投诉事项或监督检查主要事项、处罚依据、处罚结果、执法机关名称、公告日期等。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完成并履行有关报审程序后5个工作日内</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区财政局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■信用中国</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29</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集中采购机构的考核结果公告（不涉及处罚的）</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集中采购机构名称、考核内容、考核方法、考核结果、存在问题、考核单位等。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完成并履行有关报审程序后5个工作日内</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区财政局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■省级财政部门指定的媒体</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30</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政府采购信息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集中采购机构的考核结果公告（涉及到处罚的）</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集中采购机构名称、考核内容、考核方法、考核结果、存在问题、考核单位等。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《国务院办公厅关于推进公共资源配置领域政府信息公开的意见》、《财政部关于做好政府采购信息公开工作的通知》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完成并履行有关报审程序后5个工作日内</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区财政局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■中国政府采购网及其地方分网</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■省级财政部门指定的媒体</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■信用中国</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31</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国有土地使用权出让信息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土地出让计划</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明确国有建设用地供应指导思想和原则；提出国有建设用地供应政策导向；确定国有建设用地供应总量、结构、布局、时序和方式；落实计划供应的宗地；实施计划的保障措施。</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《国务院办公厅关于推进公共资源配置领域政府信息公开的意见》、《招标拍卖挂牌出让国有建设用地使用权规定》、《国有建设用地供应计划编制规范》（试行）</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每年3月31日前，公布年度国有建设用地供应计划</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区规划自然资源局（简称出让人）</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■各级自然资源管理部门网站</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32</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国有土地使用权出让信息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招标拍卖挂牌出让公告</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《国务院办公厅关于推进公共资源配置领域政府信息公开的意见》、《招标拍卖挂牌出让国有建设用地使用权规定》</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至少在投标、拍卖或者挂牌开始日前20日。挂牌时间不得少于10日</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出</w:t>
            </w:r>
          </w:p>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让</w:t>
            </w:r>
          </w:p>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人</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■土地有形市场或者指定的场所、媒介（一般指中国土地市场网、当地政府媒介）</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33</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国有土地使用权出让信息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公告</w:t>
            </w:r>
          </w:p>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调整</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公开国有建设用地使用权出让公告、项目概况、澄清或者修改事项、联系方式。</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《招标拍卖挂牌出让国有土地使用权规范》</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按原公告发布渠道及时发布补充公告，涉及土地使用条件变更等影响土地价格的重大变动，补充公告发布时间距招拍挂活动开始时间少于20日的，招拍挂活动相应顺延</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■中国土地市场网或者土地有形市场等指定场所</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34</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国有土地使用权出让信息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招标拍卖挂牌出让结果（成交公示）</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土地位置、面积、用途、开发程度、土地级别、容积率、出让年限、供地方式、受让人、成交价格和成交时间等。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《国务院办公厅关于推进公共资源配置领域政府信息公开的意见》、《招标拍卖挂牌出让国有建设用地使用权规定》、《招标拍卖挂牌出让国有土地使用权规范》</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招标拍卖挂牌活动结束后的10个工作日内</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出让人</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■土地有形市场或者指定的场所、媒介（一般指中国土地市场网、当地政府媒介）</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5"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35</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国有土地使用权出让信息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供应结果</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国有建设用地使用权年度供应结果。</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■各级自然资源管理部门网站</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36</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矿业权出让信息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招标拍卖挂牌出让公告</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出让人和矿业权交易平台的名称、场所；出让矿业权的简要情况，包括项目名称、地理位置、矿业权拐点范围坐标、开采（勘查）矿种、矿业权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《国务院办公厅关于推进公共资源配置领域政府信息公开的意见》、国土资源部关于印发矿业权交易规则》的通知、《自然资源部关于调整&lt;矿业权交易规则&gt;有关规定的通知》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在投标截止日、公开拍卖日或者挂牌起始日20个工作日前发布。挂牌时间不得少于10个工作日</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■自然资源部门户网站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■市规划自然资源主管部门门户网站（或政府门户网站）</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37</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矿业权出让信息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招标拍卖挂牌成交结果公示</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中标人或者竞得人的名称、场所，成交时间、地点；中标或者竞得矿业权简要情况，包括勘查（开采）范围拐点坐标、矿业权范围、勘查（开采）矿种；矿业权成交价格及缴纳时间、方式，申请办理矿业权登记的时限；对公示内容提出异议的方式及途径；应当公示的其他内容。</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《国务院办公厅关于推进公共资源配置领域政府信息公开的意见》、国土资源部关于印发矿业权交易规则》的通知</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发出中标通知书或者签订成交确认书后5个工作日内进行信息公示。公示期不少于10个工作日</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■自然资源部门户网站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■市规划自然资源主管部门门户网站（或政府门户网站）</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38</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矿业权出让信息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审批结果信息</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每个项目的审批结果信息（交易完成后由各级自然资源管理部门审批）。</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《政府信息公开条例》、《国务院办公厅关于推进公共资源配置领域政府信息公开的意见》</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信息形成之日起20个工作日内</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■各级自然资源管理部门网站</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39</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矿业权出让信息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项目信息</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公告有效期内矿业权基本信息包括矿业权名称、许可证号、矿业权人、矿种、有效期限。</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《政府信息公开条例》、《国务院办公厅关于推进公共资源配置领域政府信息公开的意见》</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每年一季度集中公告</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区规划自然资源局</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■各级自然资源管理部门网站</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6"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40</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国有产权交易信息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国有企业产权转让信息预披露</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《重庆市人民政府办公厅印发关于深化公共资源交易监督管理改革的意见（试行）的通知》、《企业国有资产交易监督管理办法》</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及时公开，正式披露信息时间不得少于20个工作日</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转让方</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41</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国有产权交易信息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国有企业产权转让信息披露</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《重庆市人民政府办公厅印发关于深化公共资源交易监督管理改革的意见（试行）的通知》、《企业国有资产交易监督管理办法》</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及时公开，正式披露信息时间不得少于20个工作日</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转让方</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1"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42</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国有产权交易信息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国有企业产权转让成交公告</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交易标的名称、转让标的评估结果、转让底价、交易价格。</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《重庆市人民政府办公厅印发关于深化公共资源交易监督管理改革的意见（试行）的通知》、《企业国有资产交易监督管理办法》</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及时公开，公告期不少于5个工作日</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■产权交易机构网站</w:t>
            </w:r>
          </w:p>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43</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国有产权交易信息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国有企业资产转让信息披露</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标的基本情况、交易条件、转让底价、竞价方式、受让方选择的相关评判标准等。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《重庆市人民政府办公厅印发关于深化公共资源交易监督管理改革的意见（试行）的通知》、《企业国有资产交易监督管理办法》</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left"/>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转让底价高于100万元、低于1000万元的资产转让项目，信息公告期应不少于10个工作日；转让底价高于1000万元的资产转让项目，信息公告期应不少于20个工作日</w:t>
            </w:r>
          </w:p>
        </w:tc>
        <w:tc>
          <w:tcPr>
            <w:tcW w:w="927"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转让方</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0" w:hRule="atLeast"/>
          <w:jc w:val="center"/>
        </w:trPr>
        <w:tc>
          <w:tcPr>
            <w:tcW w:w="552" w:type="dxa"/>
            <w:noWrap w:val="0"/>
            <w:vAlign w:val="center"/>
          </w:tcPr>
          <w:p>
            <w:pPr>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44</w:t>
            </w:r>
          </w:p>
        </w:tc>
        <w:tc>
          <w:tcPr>
            <w:tcW w:w="738"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国有产权交易信息</w:t>
            </w:r>
          </w:p>
        </w:tc>
        <w:tc>
          <w:tcPr>
            <w:tcW w:w="816"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国有企业资产转让成交公告</w:t>
            </w:r>
          </w:p>
        </w:tc>
        <w:tc>
          <w:tcPr>
            <w:tcW w:w="292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交易标的名称、评估价格、转让底价、交易价格等。</w:t>
            </w:r>
          </w:p>
        </w:tc>
        <w:tc>
          <w:tcPr>
            <w:tcW w:w="2403"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《重庆市人民政府办公厅印发关于深化公共资源交易监督管理改革的意见（试行）的通知》、《企业国有资产交易监督管理办法》</w:t>
            </w:r>
          </w:p>
        </w:tc>
        <w:tc>
          <w:tcPr>
            <w:tcW w:w="113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不少于5个工作日</w:t>
            </w:r>
          </w:p>
        </w:tc>
        <w:tc>
          <w:tcPr>
            <w:tcW w:w="927"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w:t>
            </w:r>
          </w:p>
        </w:tc>
        <w:tc>
          <w:tcPr>
            <w:tcW w:w="354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■产权交易机构网站</w:t>
            </w:r>
            <w:r>
              <w:rPr>
                <w:rFonts w:hint="eastAsia" w:asciiTheme="minorEastAsia" w:hAnsiTheme="minorEastAsia" w:eastAsiaTheme="minorEastAsia" w:cstheme="minorEastAsia"/>
                <w:kern w:val="2"/>
                <w:sz w:val="21"/>
                <w:szCs w:val="21"/>
                <w:lang w:eastAsia="zh-CN"/>
              </w:rPr>
              <w:br w:type="textWrapping"/>
            </w:r>
            <w:r>
              <w:rPr>
                <w:rFonts w:hint="eastAsia" w:asciiTheme="minorEastAsia" w:hAnsiTheme="minorEastAsia" w:eastAsiaTheme="minorEastAsia" w:cstheme="minorEastAsia"/>
                <w:kern w:val="2"/>
                <w:sz w:val="21"/>
                <w:szCs w:val="21"/>
                <w:lang w:eastAsia="zh-CN"/>
              </w:rPr>
              <w:t>■公共资源交易平台</w:t>
            </w:r>
          </w:p>
        </w:tc>
        <w:tc>
          <w:tcPr>
            <w:tcW w:w="534"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800"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p>
        </w:tc>
        <w:tc>
          <w:tcPr>
            <w:tcW w:w="439"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center"/>
              <w:textAlignment w:val="auto"/>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w:t>
            </w:r>
          </w:p>
        </w:tc>
        <w:tc>
          <w:tcPr>
            <w:tcW w:w="441" w:type="dxa"/>
            <w:noWrap w:val="0"/>
            <w:vAlign w:val="center"/>
          </w:tcPr>
          <w:p>
            <w:pPr>
              <w:pStyle w:val="12"/>
              <w:keepNext w:val="0"/>
              <w:keepLines w:val="0"/>
              <w:pageBreakBefore w:val="0"/>
              <w:widowControl w:val="0"/>
              <w:kinsoku/>
              <w:wordWrap/>
              <w:overflowPunct/>
              <w:topLinePunct w:val="0"/>
              <w:bidi w:val="0"/>
              <w:adjustRightInd/>
              <w:snapToGrid/>
              <w:spacing w:line="300" w:lineRule="exact"/>
              <w:ind w:left="0" w:right="0" w:rightChars="0"/>
              <w:jc w:val="both"/>
              <w:textAlignment w:val="auto"/>
              <w:rPr>
                <w:rFonts w:hint="eastAsia" w:asciiTheme="minorEastAsia" w:hAnsiTheme="minorEastAsia" w:eastAsiaTheme="minorEastAsia" w:cstheme="minorEastAsia"/>
                <w:kern w:val="2"/>
                <w:sz w:val="21"/>
                <w:szCs w:val="21"/>
                <w:lang w:eastAsia="zh-CN"/>
              </w:rPr>
            </w:pP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3EB77A6"/>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4</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2020-11-05T01:49:45Z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