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十四、</w:t>
      </w:r>
      <w:bookmarkStart w:id="0" w:name="_GoBack"/>
      <w:r>
        <w:rPr>
          <w:rFonts w:hint="eastAsia" w:ascii="方正黑体_GBK" w:hAnsi="方正黑体_GBK" w:eastAsia="方正黑体_GBK" w:cs="方正黑体_GBK"/>
          <w:sz w:val="32"/>
          <w:szCs w:val="32"/>
          <w:lang w:eastAsia="zh-CN"/>
        </w:rPr>
        <w:t>国有土地上房屋征收领域</w:t>
      </w:r>
      <w:r>
        <w:rPr>
          <w:rFonts w:hint="eastAsia" w:ascii="方正黑体_GBK" w:hAnsi="方正黑体_GBK" w:eastAsia="方正黑体_GBK" w:cs="方正黑体_GBK"/>
          <w:sz w:val="32"/>
          <w:szCs w:val="32"/>
        </w:rPr>
        <w:t>基层政务公开标准目录</w:t>
      </w:r>
    </w:p>
    <w:bookmarkEnd w:id="0"/>
    <w:tbl>
      <w:tblPr>
        <w:tblStyle w:val="6"/>
        <w:tblW w:w="15024" w:type="dxa"/>
        <w:jc w:val="center"/>
        <w:tblInd w:w="0" w:type="dxa"/>
        <w:tblLayout w:type="fixed"/>
        <w:tblCellMar>
          <w:top w:w="0" w:type="dxa"/>
          <w:left w:w="108" w:type="dxa"/>
          <w:bottom w:w="0" w:type="dxa"/>
          <w:right w:w="108" w:type="dxa"/>
        </w:tblCellMar>
      </w:tblPr>
      <w:tblGrid>
        <w:gridCol w:w="516"/>
        <w:gridCol w:w="540"/>
        <w:gridCol w:w="525"/>
        <w:gridCol w:w="2220"/>
        <w:gridCol w:w="3165"/>
        <w:gridCol w:w="1035"/>
        <w:gridCol w:w="1125"/>
        <w:gridCol w:w="3150"/>
        <w:gridCol w:w="510"/>
        <w:gridCol w:w="480"/>
        <w:gridCol w:w="420"/>
        <w:gridCol w:w="420"/>
        <w:gridCol w:w="450"/>
        <w:gridCol w:w="468"/>
      </w:tblGrid>
      <w:tr>
        <w:tblPrEx>
          <w:tblLayout w:type="fixed"/>
          <w:tblCellMar>
            <w:top w:w="0" w:type="dxa"/>
            <w:left w:w="108" w:type="dxa"/>
            <w:bottom w:w="0" w:type="dxa"/>
            <w:right w:w="108" w:type="dxa"/>
          </w:tblCellMar>
        </w:tblPrEx>
        <w:trPr>
          <w:trHeight w:val="522" w:hRule="atLeast"/>
          <w:jc w:val="center"/>
        </w:trPr>
        <w:tc>
          <w:tcPr>
            <w:tcW w:w="5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序号</w:t>
            </w:r>
          </w:p>
        </w:tc>
        <w:tc>
          <w:tcPr>
            <w:tcW w:w="106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公开事项</w:t>
            </w:r>
          </w:p>
        </w:tc>
        <w:tc>
          <w:tcPr>
            <w:tcW w:w="22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公开内容                 (要素）</w:t>
            </w:r>
          </w:p>
        </w:tc>
        <w:tc>
          <w:tcPr>
            <w:tcW w:w="31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公开依据</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时限</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主体</w:t>
            </w:r>
          </w:p>
        </w:tc>
        <w:tc>
          <w:tcPr>
            <w:tcW w:w="31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公开渠道和载体</w:t>
            </w:r>
          </w:p>
        </w:tc>
        <w:tc>
          <w:tcPr>
            <w:tcW w:w="99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对象</w:t>
            </w:r>
          </w:p>
        </w:tc>
        <w:tc>
          <w:tcPr>
            <w:tcW w:w="8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公开方式</w:t>
            </w:r>
          </w:p>
        </w:tc>
        <w:tc>
          <w:tcPr>
            <w:tcW w:w="9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层级</w:t>
            </w:r>
          </w:p>
        </w:tc>
      </w:tr>
      <w:tr>
        <w:tblPrEx>
          <w:tblLayout w:type="fixed"/>
          <w:tblCellMar>
            <w:top w:w="0" w:type="dxa"/>
            <w:left w:w="108" w:type="dxa"/>
            <w:bottom w:w="0" w:type="dxa"/>
            <w:right w:w="108" w:type="dxa"/>
          </w:tblCellMar>
        </w:tblPrEx>
        <w:trPr>
          <w:trHeight w:val="822" w:hRule="atLeast"/>
          <w:jc w:val="center"/>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kern w:val="0"/>
                <w:sz w:val="21"/>
                <w:szCs w:val="21"/>
              </w:rPr>
            </w:pPr>
          </w:p>
        </w:tc>
        <w:tc>
          <w:tcPr>
            <w:tcW w:w="5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一级事项</w:t>
            </w:r>
          </w:p>
        </w:tc>
        <w:tc>
          <w:tcPr>
            <w:tcW w:w="5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二级事项</w:t>
            </w:r>
          </w:p>
        </w:tc>
        <w:tc>
          <w:tcPr>
            <w:tcW w:w="22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kern w:val="0"/>
                <w:sz w:val="21"/>
                <w:szCs w:val="21"/>
              </w:rPr>
            </w:pPr>
          </w:p>
        </w:tc>
        <w:tc>
          <w:tcPr>
            <w:tcW w:w="31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kern w:val="0"/>
                <w:sz w:val="21"/>
                <w:szCs w:val="21"/>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kern w:val="0"/>
                <w:sz w:val="21"/>
                <w:szCs w:val="21"/>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kern w:val="0"/>
                <w:sz w:val="21"/>
                <w:szCs w:val="21"/>
              </w:rPr>
            </w:pPr>
          </w:p>
        </w:tc>
        <w:tc>
          <w:tcPr>
            <w:tcW w:w="31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kern w:val="0"/>
                <w:sz w:val="21"/>
                <w:szCs w:val="21"/>
              </w:rPr>
            </w:pPr>
          </w:p>
        </w:tc>
        <w:tc>
          <w:tcPr>
            <w:tcW w:w="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全社会</w:t>
            </w:r>
          </w:p>
        </w:tc>
        <w:tc>
          <w:tcPr>
            <w:tcW w:w="4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特定群体</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主动</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依申请</w:t>
            </w:r>
          </w:p>
        </w:tc>
        <w:tc>
          <w:tcPr>
            <w:tcW w:w="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lang w:eastAsia="zh-CN"/>
              </w:rPr>
              <w:t>区</w:t>
            </w:r>
            <w:r>
              <w:rPr>
                <w:rFonts w:hint="eastAsia" w:ascii="方正黑体_GBK" w:hAnsi="方正黑体_GBK" w:eastAsia="方正黑体_GBK" w:cs="方正黑体_GBK"/>
                <w:b w:val="0"/>
                <w:bCs w:val="0"/>
                <w:kern w:val="0"/>
                <w:sz w:val="21"/>
                <w:szCs w:val="21"/>
              </w:rPr>
              <w:t>级</w:t>
            </w:r>
          </w:p>
        </w:tc>
        <w:tc>
          <w:tcPr>
            <w:tcW w:w="4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lang w:eastAsia="zh-CN"/>
              </w:rPr>
              <w:t>镇街</w:t>
            </w:r>
            <w:r>
              <w:rPr>
                <w:rFonts w:hint="eastAsia" w:ascii="方正黑体_GBK" w:hAnsi="方正黑体_GBK" w:eastAsia="方正黑体_GBK" w:cs="方正黑体_GBK"/>
                <w:b w:val="0"/>
                <w:bCs w:val="0"/>
                <w:kern w:val="0"/>
                <w:sz w:val="21"/>
                <w:szCs w:val="21"/>
              </w:rPr>
              <w:t>级</w:t>
            </w:r>
          </w:p>
        </w:tc>
      </w:tr>
      <w:tr>
        <w:tblPrEx>
          <w:tblLayout w:type="fixed"/>
          <w:tblCellMar>
            <w:top w:w="0" w:type="dxa"/>
            <w:left w:w="108" w:type="dxa"/>
            <w:bottom w:w="0" w:type="dxa"/>
            <w:right w:w="108" w:type="dxa"/>
          </w:tblCellMar>
        </w:tblPrEx>
        <w:trPr>
          <w:trHeight w:val="6236" w:hRule="atLeast"/>
          <w:jc w:val="center"/>
        </w:trPr>
        <w:tc>
          <w:tcPr>
            <w:tcW w:w="5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1</w:t>
            </w:r>
          </w:p>
        </w:tc>
        <w:tc>
          <w:tcPr>
            <w:tcW w:w="54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法规政策</w:t>
            </w:r>
          </w:p>
        </w:tc>
        <w:tc>
          <w:tcPr>
            <w:tcW w:w="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国家层面法规政策</w:t>
            </w:r>
          </w:p>
        </w:tc>
        <w:tc>
          <w:tcPr>
            <w:tcW w:w="22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1.《国有土地上房屋征收与补偿条例》；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2.《国有土地上房屋征收评估办法》;                     3.《关于推进国有土地上房屋征收与补偿信息公开工作的实施意见》；                  4.《关于进一步加强国有土地上房屋征收与补偿信息公开工作的通知》。</w:t>
            </w:r>
          </w:p>
        </w:tc>
        <w:tc>
          <w:tcPr>
            <w:tcW w:w="31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cstheme="minorEastAsia"/>
                <w:kern w:val="0"/>
                <w:sz w:val="21"/>
                <w:szCs w:val="21"/>
                <w:lang w:eastAsia="zh-CN"/>
              </w:rPr>
              <w:t>中华人民共和国政府信息公开条例</w:t>
            </w:r>
            <w:r>
              <w:rPr>
                <w:rFonts w:hint="eastAsia" w:asciiTheme="minorEastAsia" w:hAnsiTheme="minorEastAsia" w:eastAsiaTheme="minorEastAsia" w:cstheme="minorEastAsia"/>
                <w:kern w:val="0"/>
                <w:sz w:val="21"/>
                <w:szCs w:val="21"/>
              </w:rPr>
              <w:t>》</w:t>
            </w:r>
          </w:p>
        </w:tc>
        <w:tc>
          <w:tcPr>
            <w:tcW w:w="103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r>
              <w:rPr>
                <w:rFonts w:hint="eastAsia" w:asciiTheme="minorEastAsia" w:hAnsiTheme="minorEastAsia" w:eastAsiaTheme="minorEastAsia" w:cstheme="minorEastAsia"/>
                <w:kern w:val="0"/>
                <w:sz w:val="21"/>
                <w:szCs w:val="21"/>
              </w:rPr>
              <w:t>及</w:t>
            </w:r>
            <w:r>
              <w:rPr>
                <w:rFonts w:hint="eastAsia" w:asciiTheme="minorEastAsia" w:hAnsiTheme="minorEastAsia" w:eastAsiaTheme="minorEastAsia" w:cstheme="minorEastAsia"/>
                <w:kern w:val="0"/>
                <w:sz w:val="21"/>
                <w:szCs w:val="21"/>
                <w:lang w:val="en-US" w:eastAsia="zh-CN"/>
              </w:rPr>
              <w:t>重庆市铜梁区住房和城乡建设委员会</w:t>
            </w:r>
          </w:p>
        </w:tc>
        <w:tc>
          <w:tcPr>
            <w:tcW w:w="3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185" w:hRule="atLeast"/>
          <w:jc w:val="center"/>
        </w:trPr>
        <w:tc>
          <w:tcPr>
            <w:tcW w:w="51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5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法规政策</w:t>
            </w:r>
          </w:p>
        </w:tc>
        <w:tc>
          <w:tcPr>
            <w:tcW w:w="5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地方层面法规政策</w:t>
            </w:r>
          </w:p>
        </w:tc>
        <w:tc>
          <w:tcPr>
            <w:tcW w:w="222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《重庆市人民政府办公厅关于印发&lt;重庆市国有土地上房屋征收与补偿办法（暂行）&gt;等有关办法的通知》。</w:t>
            </w:r>
          </w:p>
        </w:tc>
        <w:tc>
          <w:tcPr>
            <w:tcW w:w="316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cstheme="minorEastAsia"/>
                <w:kern w:val="0"/>
                <w:sz w:val="21"/>
                <w:szCs w:val="21"/>
                <w:lang w:eastAsia="zh-CN"/>
              </w:rPr>
              <w:t>中华人民共和国政府信息公开条例</w:t>
            </w:r>
            <w:r>
              <w:rPr>
                <w:rFonts w:hint="eastAsia" w:asciiTheme="minorEastAsia" w:hAnsiTheme="minorEastAsia" w:eastAsiaTheme="minorEastAsia" w:cstheme="minorEastAsia"/>
                <w:kern w:val="0"/>
                <w:sz w:val="21"/>
                <w:szCs w:val="21"/>
              </w:rPr>
              <w:t>》</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r>
              <w:rPr>
                <w:rFonts w:hint="eastAsia" w:asciiTheme="minorEastAsia" w:hAnsiTheme="minorEastAsia" w:eastAsiaTheme="minorEastAsia" w:cstheme="minorEastAsia"/>
                <w:kern w:val="0"/>
                <w:sz w:val="21"/>
                <w:szCs w:val="21"/>
              </w:rPr>
              <w:t>及</w:t>
            </w:r>
            <w:r>
              <w:rPr>
                <w:rFonts w:hint="eastAsia" w:asciiTheme="minorEastAsia" w:hAnsiTheme="minorEastAsia" w:eastAsiaTheme="minorEastAsia" w:cstheme="minorEastAsia"/>
                <w:kern w:val="0"/>
                <w:sz w:val="21"/>
                <w:szCs w:val="21"/>
                <w:lang w:val="en-US" w:eastAsia="zh-CN"/>
              </w:rPr>
              <w:t>重庆市铜梁区住房和城乡建设委员会</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185" w:hRule="atLeast"/>
          <w:jc w:val="center"/>
        </w:trPr>
        <w:tc>
          <w:tcPr>
            <w:tcW w:w="5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p>
        </w:tc>
        <w:tc>
          <w:tcPr>
            <w:tcW w:w="5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p>
        </w:tc>
        <w:tc>
          <w:tcPr>
            <w:tcW w:w="5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p>
        </w:tc>
        <w:tc>
          <w:tcPr>
            <w:tcW w:w="22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《重庆市铜梁区人民政府办公室关于印发铜梁区国有土地上房屋征收与补偿办法（暂行）的通知》。</w:t>
            </w:r>
          </w:p>
        </w:tc>
        <w:tc>
          <w:tcPr>
            <w:tcW w:w="31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cstheme="minorEastAsia"/>
                <w:kern w:val="0"/>
                <w:sz w:val="21"/>
                <w:szCs w:val="21"/>
                <w:lang w:eastAsia="zh-CN"/>
              </w:rPr>
              <w:t>中华人民共和国政府信息公开条例</w:t>
            </w:r>
            <w:r>
              <w:rPr>
                <w:rFonts w:hint="eastAsia" w:asciiTheme="minorEastAsia" w:hAnsiTheme="minorEastAsia" w:eastAsiaTheme="minorEastAsia" w:cstheme="minorEastAsia"/>
                <w:kern w:val="0"/>
                <w:sz w:val="21"/>
                <w:szCs w:val="21"/>
              </w:rPr>
              <w:t>》</w:t>
            </w:r>
          </w:p>
        </w:tc>
        <w:tc>
          <w:tcPr>
            <w:tcW w:w="1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r>
              <w:rPr>
                <w:rFonts w:hint="eastAsia" w:asciiTheme="minorEastAsia" w:hAnsiTheme="minorEastAsia" w:eastAsiaTheme="minorEastAsia" w:cstheme="minorEastAsia"/>
                <w:kern w:val="0"/>
                <w:sz w:val="21"/>
                <w:szCs w:val="21"/>
              </w:rPr>
              <w:t>及</w:t>
            </w:r>
            <w:r>
              <w:rPr>
                <w:rFonts w:hint="eastAsia" w:asciiTheme="minorEastAsia" w:hAnsiTheme="minorEastAsia" w:eastAsiaTheme="minorEastAsia" w:cstheme="minorEastAsia"/>
                <w:kern w:val="0"/>
                <w:sz w:val="21"/>
                <w:szCs w:val="21"/>
                <w:lang w:val="en-US" w:eastAsia="zh-CN"/>
              </w:rPr>
              <w:t>重庆市铜梁区住房和城乡建设委员会</w:t>
            </w:r>
          </w:p>
        </w:tc>
        <w:tc>
          <w:tcPr>
            <w:tcW w:w="3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405"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5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征收</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启动要件</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征收项目符合公共利益的相关材料。</w:t>
            </w:r>
          </w:p>
        </w:tc>
        <w:tc>
          <w:tcPr>
            <w:tcW w:w="3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                           《重庆市人民政府办公厅关于印发&lt;重庆市国有土地上房屋征收与补偿办法（暂行）&gt;等有关办法的通知》</w:t>
            </w:r>
          </w:p>
        </w:tc>
        <w:tc>
          <w:tcPr>
            <w:tcW w:w="1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自收到申请之日起20个工作日内公开</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r>
              <w:rPr>
                <w:rFonts w:hint="eastAsia" w:asciiTheme="minorEastAsia" w:hAnsiTheme="minorEastAsia" w:eastAsiaTheme="minorEastAsia" w:cstheme="minorEastAsia"/>
                <w:kern w:val="0"/>
                <w:sz w:val="21"/>
                <w:szCs w:val="21"/>
              </w:rPr>
              <w:t>及相关部门</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□政府网站      □政府公报□两微一端      □发布会/听证会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□广播电视      □纸质媒体□公开查阅点    □政务服务中心</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□便民服务站    □入户/现场□社区/企事业单位/村公示栏（电子屏）</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□精准推送      ■其他_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申请人</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460"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5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征收</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暂停办理相关手续的通知</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暂停办理相关手续的通知。</w:t>
            </w:r>
          </w:p>
        </w:tc>
        <w:tc>
          <w:tcPr>
            <w:tcW w:w="3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                             《重庆市人民政府办公厅关于印发&lt;重庆市国有土地上房屋征收与补偿办法（暂行）&gt;等有关办法的通知》</w:t>
            </w:r>
          </w:p>
        </w:tc>
        <w:tc>
          <w:tcPr>
            <w:tcW w:w="1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r>
              <w:rPr>
                <w:rFonts w:hint="eastAsia" w:asciiTheme="minorEastAsia" w:hAnsiTheme="minorEastAsia" w:eastAsiaTheme="minorEastAsia" w:cstheme="minorEastAsia"/>
                <w:kern w:val="0"/>
                <w:sz w:val="21"/>
                <w:szCs w:val="21"/>
              </w:rPr>
              <w:t>及相关部门</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310"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5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征收</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房屋调查登记</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1.入户调查通知；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2.调查结果；</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3.认定结果。</w:t>
            </w:r>
          </w:p>
        </w:tc>
        <w:tc>
          <w:tcPr>
            <w:tcW w:w="3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《国有土地上房屋征收评估办法》</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《关于推进国有土地上房屋征收与补偿信息公开工作的实施意见》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《关于进一步加强国有土地上房屋征收与补偿信息公开工作的通知》                                         《重庆市人民政府办公厅关于印发&lt;重庆市国有土地上房屋征收与补偿办法（暂行）&gt;等有关办法的通知》</w:t>
            </w:r>
          </w:p>
        </w:tc>
        <w:tc>
          <w:tcPr>
            <w:tcW w:w="1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r>
              <w:rPr>
                <w:rFonts w:hint="eastAsia" w:asciiTheme="minorEastAsia" w:hAnsiTheme="minorEastAsia" w:eastAsiaTheme="minorEastAsia" w:cstheme="minorEastAsia"/>
                <w:kern w:val="0"/>
                <w:sz w:val="21"/>
                <w:szCs w:val="21"/>
              </w:rPr>
              <w:t>及</w:t>
            </w:r>
            <w:r>
              <w:rPr>
                <w:rFonts w:hint="eastAsia" w:asciiTheme="minorEastAsia" w:hAnsiTheme="minorEastAsia" w:eastAsiaTheme="minorEastAsia" w:cstheme="minorEastAsia"/>
                <w:kern w:val="0"/>
                <w:sz w:val="21"/>
                <w:szCs w:val="21"/>
                <w:lang w:val="en-US" w:eastAsia="zh-CN"/>
              </w:rPr>
              <w:t>重庆市铜梁区住房和城乡建设委员会</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在征收范围内向被征收人</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440"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5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评估</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房地产估价机构确定</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房地产估价机构选定或确定通知。</w:t>
            </w:r>
          </w:p>
        </w:tc>
        <w:tc>
          <w:tcPr>
            <w:tcW w:w="3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《国有土地上房屋征收评估办法》</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《关于推进国有土地上房屋征收与补偿信息公开工作的实施意见》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《关于进一步加强国有土地上房屋征收与补偿信息公开工作的通知》                                         《重庆市人民政府办公厅关于印发&lt;重庆市国有土地上房屋征收与补偿办法（暂行）&gt;等有关办法的通知》</w:t>
            </w:r>
          </w:p>
        </w:tc>
        <w:tc>
          <w:tcPr>
            <w:tcW w:w="1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重庆市铜梁区住房和城乡建设委员会</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在征收范围内向被征收人</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3975" w:hRule="atLeast"/>
          <w:jc w:val="center"/>
        </w:trPr>
        <w:tc>
          <w:tcPr>
            <w:tcW w:w="5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征收</w:t>
            </w:r>
          </w:p>
        </w:tc>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房屋征收补偿方案拟订</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论证结论</w:t>
            </w:r>
          </w:p>
        </w:tc>
        <w:tc>
          <w:tcPr>
            <w:tcW w:w="31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关于推进国有土地上房屋征收与补偿信息公开工作的实施意见》《关于进一步加强国有土地上房屋征收与补偿信息公开工作的通知》《重庆市人民政府办公厅关于印发&lt;重庆市国有土地上房屋征收与补偿办法（暂行）&gt;等有关办法的通知》</w:t>
            </w:r>
          </w:p>
        </w:tc>
        <w:tc>
          <w:tcPr>
            <w:tcW w:w="1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自收到申请之日起20个工作日内公开</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□政府网站      □政府公报□两微一端      □发布会/听证会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□广播电视      □纸质媒体□公开查阅点    □政务服务中心</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□便民服务站    □入户/现场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□社区/企事业单位/村公示栏（电子屏）</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□精准推送      ■其他_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申请人</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275" w:hRule="atLeast"/>
          <w:jc w:val="center"/>
        </w:trPr>
        <w:tc>
          <w:tcPr>
            <w:tcW w:w="51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p>
        </w:tc>
        <w:tc>
          <w:tcPr>
            <w:tcW w:w="5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p>
        </w:tc>
        <w:tc>
          <w:tcPr>
            <w:tcW w:w="5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p>
        </w:tc>
        <w:tc>
          <w:tcPr>
            <w:tcW w:w="22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1.征求意见情况；</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2.根据公众意见修改情况。</w:t>
            </w:r>
          </w:p>
        </w:tc>
        <w:tc>
          <w:tcPr>
            <w:tcW w:w="316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p>
        </w:tc>
        <w:tc>
          <w:tcPr>
            <w:tcW w:w="1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信息形成或者变更之日起20个工作日内予以公开；征求意见期限不得少于30日</w:t>
            </w:r>
          </w:p>
        </w:tc>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p>
        </w:tc>
        <w:tc>
          <w:tcPr>
            <w:tcW w:w="3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在征收范围内向被征收人</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3730"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5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征收</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社会稳定风险评估</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社会稳定风险评估结果。</w:t>
            </w:r>
          </w:p>
        </w:tc>
        <w:tc>
          <w:tcPr>
            <w:tcW w:w="3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                            《重庆市人民政府办公厅关于印发&lt;重庆市国有土地上房屋征收与补偿办法（暂行）&gt;等有关办法的通知》</w:t>
            </w:r>
          </w:p>
        </w:tc>
        <w:tc>
          <w:tcPr>
            <w:tcW w:w="1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自收到申请之日起20个工作日内公开</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申请人</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935" w:hRule="atLeast"/>
          <w:jc w:val="center"/>
        </w:trPr>
        <w:tc>
          <w:tcPr>
            <w:tcW w:w="5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5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征收</w:t>
            </w:r>
          </w:p>
        </w:tc>
        <w:tc>
          <w:tcPr>
            <w:tcW w:w="5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房屋征收决定</w:t>
            </w:r>
          </w:p>
        </w:tc>
        <w:tc>
          <w:tcPr>
            <w:tcW w:w="22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房屋征收决定公告（包括补偿方案和行政复议、行政诉讼权利等事项）。</w:t>
            </w:r>
          </w:p>
        </w:tc>
        <w:tc>
          <w:tcPr>
            <w:tcW w:w="31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《关于推进国有土地上房屋征收与补偿信息公开工作的实施意见》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《关于进一步加强国有土地上房屋征收与补偿信息公开工作的通知》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《重庆市人民政府办公厅关于印发&lt;重庆市国有土地上房屋征收与补偿办法（暂行）&gt;等有关办法的通知》</w:t>
            </w:r>
          </w:p>
        </w:tc>
        <w:tc>
          <w:tcPr>
            <w:tcW w:w="1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p>
        </w:tc>
        <w:tc>
          <w:tcPr>
            <w:tcW w:w="3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在征收范围内向被征收人</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330"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5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评估</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被征收房屋评估</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分户的初步评估结果。</w:t>
            </w:r>
          </w:p>
        </w:tc>
        <w:tc>
          <w:tcPr>
            <w:tcW w:w="3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《国有土地上房屋征收与补偿条例》《国有土地上房屋征收评估办法》《关于推进国有土地上房屋征收与补偿信息公开工作的实施意见》《关于进一步加强国有土地上房屋征收与补偿信息公开工作的通知》                                        《重庆市人民政府办公厅关于印发&lt;重庆市国有土地上房屋征收与补偿办法（暂行）&gt;等有关办法的通知》</w:t>
            </w:r>
          </w:p>
        </w:tc>
        <w:tc>
          <w:tcPr>
            <w:tcW w:w="1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重庆市铜梁区住房和城乡建设委员会</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□政府公报□两微一端      □发布会/听证会</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□广播电视      □纸质媒体□公开查阅点    □政务服务中心</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sym w:font="Wingdings 2" w:char="00A3"/>
            </w:r>
            <w:r>
              <w:rPr>
                <w:rFonts w:hint="eastAsia" w:asciiTheme="minorEastAsia" w:hAnsiTheme="minorEastAsia" w:eastAsiaTheme="minorEastAsia" w:cstheme="minorEastAsia"/>
                <w:kern w:val="0"/>
                <w:sz w:val="21"/>
                <w:szCs w:val="21"/>
              </w:rPr>
              <w:t>便民服务站    ■入户/现场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□社区/企事业单位/村公示栏（电子屏）</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□精准推送</w:t>
            </w:r>
            <w:r>
              <w:rPr>
                <w:rFonts w:hint="eastAsia" w:asciiTheme="minorEastAsia" w:hAnsi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在征收范围内向被征收人</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350" w:hRule="atLeast"/>
          <w:jc w:val="center"/>
        </w:trPr>
        <w:tc>
          <w:tcPr>
            <w:tcW w:w="5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w:t>
            </w:r>
          </w:p>
        </w:tc>
        <w:tc>
          <w:tcPr>
            <w:tcW w:w="54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补偿</w:t>
            </w:r>
          </w:p>
        </w:tc>
        <w:tc>
          <w:tcPr>
            <w:tcW w:w="5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产权调换房屋</w:t>
            </w:r>
          </w:p>
        </w:tc>
        <w:tc>
          <w:tcPr>
            <w:tcW w:w="222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1.房源信息；</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2.选房办法；</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3.选房结果。</w:t>
            </w:r>
          </w:p>
        </w:tc>
        <w:tc>
          <w:tcPr>
            <w:tcW w:w="31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《关于推进国有土地上房屋征收与补偿信息公开工作的实施意见》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《关于进一步加强国有土地上房屋征收与补偿信息公开工作的通知》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《重庆市人民政府办公厅关于印发&lt;重庆市国有土地上房屋征收与补偿办法（暂行）&gt;等有关办法的通知》</w:t>
            </w:r>
          </w:p>
        </w:tc>
        <w:tc>
          <w:tcPr>
            <w:tcW w:w="103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重庆市铜梁区住房和城乡建设委员会</w:t>
            </w:r>
          </w:p>
        </w:tc>
        <w:tc>
          <w:tcPr>
            <w:tcW w:w="31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在征收范围内向被征收人</w:t>
            </w:r>
          </w:p>
        </w:tc>
        <w:tc>
          <w:tcPr>
            <w:tcW w:w="42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kern w:val="0"/>
                <w:sz w:val="21"/>
                <w:szCs w:val="21"/>
                <w:highlight w:val="none"/>
                <w:shd w:val="clear" w:color="auto" w:fill="auto"/>
              </w:rPr>
            </w:pPr>
            <w:r>
              <w:rPr>
                <w:rFonts w:hint="eastAsia" w:asciiTheme="minorEastAsia" w:hAnsiTheme="minorEastAsia" w:eastAsiaTheme="minorEastAsia" w:cstheme="minorEastAsia"/>
                <w:color w:val="auto"/>
                <w:kern w:val="0"/>
                <w:sz w:val="21"/>
                <w:szCs w:val="21"/>
                <w:highlight w:val="none"/>
                <w:shd w:val="clear" w:color="auto" w:fill="auto"/>
              </w:rPr>
              <w:t>　</w:t>
            </w:r>
          </w:p>
        </w:tc>
        <w:tc>
          <w:tcPr>
            <w:tcW w:w="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kern w:val="0"/>
                <w:sz w:val="21"/>
                <w:szCs w:val="21"/>
                <w:shd w:val="clear" w:color="auto" w:fill="auto"/>
              </w:rPr>
            </w:pPr>
            <w:r>
              <w:rPr>
                <w:rFonts w:hint="eastAsia" w:asciiTheme="minorEastAsia" w:hAnsiTheme="minorEastAsia" w:eastAsiaTheme="minorEastAsia" w:cstheme="minorEastAsia"/>
                <w:color w:val="auto"/>
                <w:kern w:val="0"/>
                <w:sz w:val="21"/>
                <w:szCs w:val="21"/>
                <w:shd w:val="clear" w:color="auto" w:fill="auto"/>
              </w:rPr>
              <w:t>√</w:t>
            </w:r>
          </w:p>
        </w:tc>
        <w:tc>
          <w:tcPr>
            <w:tcW w:w="4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auto"/>
                <w:kern w:val="0"/>
                <w:sz w:val="21"/>
                <w:szCs w:val="21"/>
                <w:shd w:val="clear" w:color="auto" w:fill="auto"/>
              </w:rPr>
            </w:pPr>
            <w:r>
              <w:rPr>
                <w:rFonts w:hint="eastAsia" w:asciiTheme="minorEastAsia" w:hAnsiTheme="minorEastAsia" w:eastAsiaTheme="minorEastAsia" w:cstheme="minorEastAsia"/>
                <w:color w:val="auto"/>
                <w:kern w:val="0"/>
                <w:sz w:val="21"/>
                <w:szCs w:val="21"/>
                <w:shd w:val="clear" w:color="auto" w:fill="auto"/>
              </w:rPr>
              <w:t>　</w:t>
            </w:r>
          </w:p>
        </w:tc>
      </w:tr>
      <w:tr>
        <w:tblPrEx>
          <w:tblLayout w:type="fixed"/>
          <w:tblCellMar>
            <w:top w:w="0" w:type="dxa"/>
            <w:left w:w="108" w:type="dxa"/>
            <w:bottom w:w="0" w:type="dxa"/>
            <w:right w:w="108" w:type="dxa"/>
          </w:tblCellMar>
        </w:tblPrEx>
        <w:trPr>
          <w:trHeight w:val="4720"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5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补偿</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分户补偿情况</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分户补偿结果。</w:t>
            </w:r>
          </w:p>
        </w:tc>
        <w:tc>
          <w:tcPr>
            <w:tcW w:w="3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《关于推进国有土地上房屋征收与补偿信息公开工作的实施意见》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《关于进一步加强国有土地上房屋征收与补偿信息公开工作的通知》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《重庆市人民政府办公厅关于印发&lt;重庆市国有土地上房屋征收与补偿办法（暂行）&gt;等有关办法的通知》</w:t>
            </w:r>
          </w:p>
        </w:tc>
        <w:tc>
          <w:tcPr>
            <w:tcW w:w="10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重庆市铜梁区住房和城乡建设委员会</w:t>
            </w:r>
          </w:p>
        </w:tc>
        <w:tc>
          <w:tcPr>
            <w:tcW w:w="31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在征收范围内向被征收人</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3955" w:hRule="atLeast"/>
          <w:jc w:val="center"/>
        </w:trPr>
        <w:tc>
          <w:tcPr>
            <w:tcW w:w="5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w:t>
            </w:r>
          </w:p>
        </w:tc>
        <w:tc>
          <w:tcPr>
            <w:tcW w:w="5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补偿</w:t>
            </w:r>
          </w:p>
        </w:tc>
        <w:tc>
          <w:tcPr>
            <w:tcW w:w="5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房屋征收补偿决定</w:t>
            </w:r>
          </w:p>
        </w:tc>
        <w:tc>
          <w:tcPr>
            <w:tcW w:w="22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房屋征收补偿决定公告。</w:t>
            </w:r>
          </w:p>
        </w:tc>
        <w:tc>
          <w:tcPr>
            <w:tcW w:w="31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《国有土地上房屋征收与补偿条例》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《关于推进国有土地上房屋征收与补偿信息公开工作的实施意见》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《关于进一步加强国有土地上房屋征收与补偿信息公开工作的通知》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《重庆市人民政府办公厅关于印发&lt;重庆市国有土地上房屋征收与补偿办法（暂行）&gt;等有关办法的通知》</w:t>
            </w:r>
          </w:p>
        </w:tc>
        <w:tc>
          <w:tcPr>
            <w:tcW w:w="10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信息形成或者变更之日起20个工作日内予以公开</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重庆市铜梁区人民政府</w:t>
            </w:r>
          </w:p>
        </w:tc>
        <w:tc>
          <w:tcPr>
            <w:tcW w:w="3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□两微一端      □发布会/听证会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□其他_</w:t>
            </w:r>
          </w:p>
        </w:tc>
        <w:tc>
          <w:tcPr>
            <w:tcW w:w="5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在征收范围内向被征收人</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bl>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054EA1"/>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uiPriority w:val="0"/>
    <w:rPr>
      <w:rFonts w:hint="eastAsia" w:ascii="仿宋" w:hAnsi="仿宋" w:eastAsia="仿宋" w:cs="仿宋"/>
      <w:color w:val="000000"/>
      <w:sz w:val="22"/>
      <w:szCs w:val="22"/>
      <w:u w:val="single"/>
    </w:rPr>
  </w:style>
  <w:style w:type="character" w:customStyle="1" w:styleId="15">
    <w:name w:val="font31"/>
    <w:basedOn w:val="8"/>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3</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2020-11-05T02:33:57Z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