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十一、国土空间规划领域</w:t>
      </w:r>
      <w:r>
        <w:rPr>
          <w:rFonts w:hint="eastAsia" w:ascii="方正黑体_GBK" w:hAnsi="方正黑体_GBK" w:eastAsia="方正黑体_GBK" w:cs="方正黑体_GBK"/>
          <w:sz w:val="32"/>
          <w:szCs w:val="32"/>
        </w:rPr>
        <w:t>基层政务公开标准目录</w:t>
      </w:r>
    </w:p>
    <w:tbl>
      <w:tblPr>
        <w:tblStyle w:val="10"/>
        <w:tblW w:w="152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21"/>
        <w:gridCol w:w="691"/>
        <w:gridCol w:w="345"/>
        <w:gridCol w:w="675"/>
        <w:gridCol w:w="1740"/>
        <w:gridCol w:w="3165"/>
        <w:gridCol w:w="1230"/>
        <w:gridCol w:w="1050"/>
        <w:gridCol w:w="3735"/>
        <w:gridCol w:w="360"/>
        <w:gridCol w:w="375"/>
        <w:gridCol w:w="330"/>
        <w:gridCol w:w="420"/>
        <w:gridCol w:w="360"/>
        <w:gridCol w:w="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780" w:hRule="atLeast"/>
        </w:trPr>
        <w:tc>
          <w:tcPr>
            <w:tcW w:w="4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序号</w:t>
            </w:r>
          </w:p>
        </w:tc>
        <w:tc>
          <w:tcPr>
            <w:tcW w:w="171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公开事项</w:t>
            </w:r>
          </w:p>
        </w:tc>
        <w:tc>
          <w:tcPr>
            <w:tcW w:w="1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公开内容（要素）</w:t>
            </w:r>
          </w:p>
        </w:tc>
        <w:tc>
          <w:tcPr>
            <w:tcW w:w="3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公开依据</w:t>
            </w:r>
          </w:p>
        </w:tc>
        <w:tc>
          <w:tcPr>
            <w:tcW w:w="12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公开时限</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公开主体</w:t>
            </w:r>
          </w:p>
        </w:tc>
        <w:tc>
          <w:tcPr>
            <w:tcW w:w="37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公开渠道和载体</w:t>
            </w:r>
          </w:p>
        </w:tc>
        <w:tc>
          <w:tcPr>
            <w:tcW w:w="73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对象</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方式</w:t>
            </w:r>
          </w:p>
        </w:tc>
        <w:tc>
          <w:tcPr>
            <w:tcW w:w="71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公开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02"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i w:val="0"/>
                <w:color w:val="000000"/>
                <w:sz w:val="21"/>
                <w:szCs w:val="21"/>
                <w:u w:val="none"/>
              </w:rPr>
            </w:pP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kern w:val="0"/>
                <w:sz w:val="21"/>
                <w:szCs w:val="21"/>
                <w:u w:val="none"/>
                <w:lang w:val="en-US" w:eastAsia="zh-CN" w:bidi="ar"/>
              </w:rPr>
            </w:pPr>
            <w:r>
              <w:rPr>
                <w:rFonts w:hint="eastAsia" w:ascii="方正黑体_GBK" w:hAnsi="方正黑体_GBK" w:eastAsia="方正黑体_GBK" w:cs="方正黑体_GBK"/>
                <w:i w:val="0"/>
                <w:color w:val="000000"/>
                <w:kern w:val="0"/>
                <w:sz w:val="21"/>
                <w:szCs w:val="21"/>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事项</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二级</w:t>
            </w:r>
            <w:r>
              <w:rPr>
                <w:rFonts w:hint="eastAsia" w:ascii="方正黑体_GBK" w:hAnsi="方正黑体_GBK" w:eastAsia="方正黑体_GBK" w:cs="方正黑体_GBK"/>
                <w:i w:val="0"/>
                <w:color w:val="000000"/>
                <w:kern w:val="0"/>
                <w:sz w:val="21"/>
                <w:szCs w:val="21"/>
                <w:u w:val="none"/>
                <w:lang w:val="en-US" w:eastAsia="zh-CN" w:bidi="ar"/>
              </w:rPr>
              <w:br w:type="textWrapping"/>
            </w:r>
            <w:r>
              <w:rPr>
                <w:rFonts w:hint="eastAsia" w:ascii="方正黑体_GBK" w:hAnsi="方正黑体_GBK" w:eastAsia="方正黑体_GBK" w:cs="方正黑体_GBK"/>
                <w:i w:val="0"/>
                <w:color w:val="000000"/>
                <w:kern w:val="0"/>
                <w:sz w:val="21"/>
                <w:szCs w:val="21"/>
                <w:u w:val="none"/>
                <w:lang w:val="en-US" w:eastAsia="zh-CN" w:bidi="ar"/>
              </w:rPr>
              <w:t>事项</w:t>
            </w:r>
          </w:p>
        </w:tc>
        <w:tc>
          <w:tcPr>
            <w:tcW w:w="1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i w:val="0"/>
                <w:color w:val="000000"/>
                <w:sz w:val="21"/>
                <w:szCs w:val="21"/>
                <w:u w:val="none"/>
              </w:rPr>
            </w:pPr>
          </w:p>
        </w:tc>
        <w:tc>
          <w:tcPr>
            <w:tcW w:w="3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i w:val="0"/>
                <w:color w:val="000000"/>
                <w:sz w:val="21"/>
                <w:szCs w:val="21"/>
                <w:u w:val="none"/>
              </w:rPr>
            </w:pPr>
          </w:p>
        </w:tc>
        <w:tc>
          <w:tcPr>
            <w:tcW w:w="12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i w:val="0"/>
                <w:color w:val="000000"/>
                <w:sz w:val="21"/>
                <w:szCs w:val="21"/>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i w:val="0"/>
                <w:color w:val="000000"/>
                <w:sz w:val="21"/>
                <w:szCs w:val="21"/>
                <w:u w:val="none"/>
              </w:rPr>
            </w:pPr>
          </w:p>
        </w:tc>
        <w:tc>
          <w:tcPr>
            <w:tcW w:w="37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方正黑体_GBK" w:hAnsi="方正黑体_GBK" w:eastAsia="方正黑体_GBK" w:cs="方正黑体_GBK"/>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全社会</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特定群体</w:t>
            </w: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主动</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依申请</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区级</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黑体_GBK" w:hAnsi="方正黑体_GBK" w:eastAsia="方正黑体_GBK" w:cs="方正黑体_GBK"/>
                <w:i w:val="0"/>
                <w:color w:val="000000"/>
                <w:sz w:val="21"/>
                <w:szCs w:val="21"/>
                <w:u w:val="none"/>
              </w:rPr>
            </w:pPr>
            <w:r>
              <w:rPr>
                <w:rFonts w:hint="eastAsia" w:ascii="方正黑体_GBK" w:hAnsi="方正黑体_GBK" w:eastAsia="方正黑体_GBK" w:cs="方正黑体_GBK"/>
                <w:i w:val="0"/>
                <w:color w:val="000000"/>
                <w:kern w:val="0"/>
                <w:sz w:val="21"/>
                <w:szCs w:val="21"/>
                <w:u w:val="none"/>
                <w:lang w:val="en-US" w:eastAsia="zh-CN" w:bidi="ar"/>
              </w:rPr>
              <w:t>镇街级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公共</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服务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法规文件</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城乡规划领域相关法律、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法规、规章、规范性文件</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w:t>
            </w:r>
            <w:bookmarkStart w:id="0" w:name="_GoBack"/>
            <w:r>
              <w:rPr>
                <w:rFonts w:hint="eastAsia" w:asciiTheme="minorEastAsia" w:hAnsiTheme="minorEastAsia" w:eastAsiaTheme="minorEastAsia" w:cstheme="minorEastAsia"/>
                <w:i w:val="0"/>
                <w:color w:val="000000"/>
                <w:kern w:val="0"/>
                <w:sz w:val="21"/>
                <w:szCs w:val="21"/>
                <w:u w:val="none"/>
                <w:lang w:val="en-US" w:eastAsia="zh-CN" w:bidi="ar"/>
              </w:rPr>
              <w:t>信息公开条</w:t>
            </w:r>
            <w:bookmarkEnd w:id="0"/>
            <w:r>
              <w:rPr>
                <w:rFonts w:hint="eastAsia" w:asciiTheme="minorEastAsia" w:hAnsiTheme="minorEastAsia" w:eastAsiaTheme="minorEastAsia" w:cstheme="minorEastAsia"/>
                <w:i w:val="0"/>
                <w:color w:val="000000"/>
                <w:kern w:val="0"/>
                <w:sz w:val="21"/>
                <w:szCs w:val="21"/>
                <w:u w:val="none"/>
                <w:lang w:val="en-US" w:eastAsia="zh-CN" w:bidi="ar"/>
              </w:rPr>
              <w:t>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口公开查阅点口政府服务中心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225"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政民互动</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城乡规划事项的意见征集、咨询、建议等</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实时公开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口两微一端  口发布会/听证会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口纸质载体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口公开査阅点口政府服务中心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口其他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055"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办事服务</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行政许可的事项、依据、条件、数量、程序、期限以及申请行政许可需要提交的全部材料目录</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实时公开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□公开查阅点■政府服务中心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口社区/企事业单位/村公示栏（电子屏）口精准推送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79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编制</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城市、镇总体规划及同级的土地利用规划</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规划批准文件、脱密后的文本及图纸等</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1、《中华人民共和国土地管理 法》；2、《中华人民共和国城乡规划法》；3、《中华人民共和国政府信息公开条例》。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信息形成或者变更之日起20个工作日内以公开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口公开查阅点口政府服务中心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区县级国土空间规划（含区县级城乡总体规划、区县级土地利用总体规划））</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规划批准文件、脱密后的文本及图纸等</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1、《中华人民共和国土地管理 法》；2、《中华人民共和国城乡规划法》；3、《中华人民共和国政府信息公开条例》。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信息形成或者变更之日起20个工作日内以公开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口公开查阅点口政府服务中心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城乡规划及同级的土地利用规划</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脱密后的文本及图纸等</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1、《中华人民共和国土地管理法》；2、《中华人民共和国城乡规划法》；3、《中华人民共和国政府信息公</w:t>
            </w:r>
            <w:r>
              <w:rPr>
                <w:rFonts w:hint="eastAsia" w:asciiTheme="minorEastAsia" w:hAnsiTheme="minorEastAsia" w:cstheme="minorEastAsia"/>
                <w:i w:val="0"/>
                <w:color w:val="000000"/>
                <w:kern w:val="0"/>
                <w:sz w:val="21"/>
                <w:szCs w:val="21"/>
                <w:u w:val="none"/>
                <w:lang w:val="en-US" w:eastAsia="zh-CN" w:bidi="ar"/>
              </w:rPr>
              <w:t>开</w:t>
            </w:r>
            <w:r>
              <w:rPr>
                <w:rFonts w:hint="eastAsia" w:asciiTheme="minorEastAsia" w:hAnsiTheme="minorEastAsia" w:eastAsiaTheme="minorEastAsia" w:cstheme="minorEastAsia"/>
                <w:i w:val="0"/>
                <w:color w:val="000000"/>
                <w:kern w:val="0"/>
                <w:sz w:val="21"/>
                <w:szCs w:val="21"/>
                <w:u w:val="none"/>
                <w:lang w:val="en-US" w:eastAsia="zh-CN" w:bidi="ar"/>
              </w:rPr>
              <w:t>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信息形成或者变更之日起20个工作日内以公开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□公开查阅点 □政府服务中心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口便民服务站□入户/现场 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口精准推送  口其他</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城市、镇详细规划</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脱密后的文本及图表等</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 国城乡规划法》；2、《中华人民共和国政府</w:t>
            </w:r>
            <w:r>
              <w:rPr>
                <w:rFonts w:hint="eastAsia" w:asciiTheme="minorEastAsia" w:hAnsiTheme="minorEastAsia" w:cstheme="minorEastAsia"/>
                <w:i w:val="0"/>
                <w:color w:val="000000"/>
                <w:kern w:val="0"/>
                <w:sz w:val="21"/>
                <w:szCs w:val="21"/>
                <w:u w:val="none"/>
                <w:lang w:val="en-US" w:eastAsia="zh-CN" w:bidi="ar"/>
              </w:rPr>
              <w:t>信</w:t>
            </w:r>
            <w:r>
              <w:rPr>
                <w:rFonts w:hint="eastAsia" w:asciiTheme="minorEastAsia" w:hAnsiTheme="minorEastAsia" w:eastAsiaTheme="minorEastAsia" w:cstheme="minorEastAsia"/>
                <w:i w:val="0"/>
                <w:color w:val="000000"/>
                <w:kern w:val="0"/>
                <w:sz w:val="21"/>
                <w:szCs w:val="21"/>
                <w:u w:val="none"/>
                <w:lang w:val="en-US" w:eastAsia="zh-CN" w:bidi="ar"/>
              </w:rPr>
              <w:t>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区规划自然资源局、镇(街)</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□公开查阅点 □政府服务中心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部分村庄编制完成的村庄规划、村土地利用规划</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脱密后的文本及附图等</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 国土地管理法》；2、《中华人民共和 国城乡规划法》；3、《中华人民共和国政府信息公开条例》；4、《国土资源部关于有序开展村土地利用规划编制工作的指导意见》。</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 起20个工作日予以公开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r>
              <w:rPr>
                <w:rFonts w:hint="eastAsia" w:asciiTheme="minorEastAsia" w:hAnsiTheme="minorEastAsia" w:cstheme="minorEastAsia"/>
                <w:i w:val="0"/>
                <w:color w:val="000000"/>
                <w:kern w:val="0"/>
                <w:sz w:val="21"/>
                <w:szCs w:val="21"/>
                <w:u w:val="none"/>
                <w:lang w:val="en-US" w:eastAsia="zh-CN" w:bidi="ar"/>
              </w:rPr>
              <w:t>、镇街</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□公开查阅点□政府服务中心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专项规划</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脱密后的文本及附图等</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1、《中华人民共和国城乡规划法》；2、《中华人民共和国政府信息公开条例》；3、《中共重庆市委 重庆市人民政府关于建立重庆市国土空间规划体系做好新时代国土空间规划的意见》。</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编制部门</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□公开查阅点□政府服务中心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口精准推送  □其他</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规划</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许可</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建设项目选址意见书</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 续、补证、注销的办理情况（涉密项目除外）</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口两微一端  □发布会/听证会</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口其他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建设用地规划许可证</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建设用地改变用途审核</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 续、补证、注销的办理情况（涉密项目除外）</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口公开查阅点口政府服务中心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建设用地（含临时用地）规划许可证核发</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 续、补证、注销的办理情况（涉密项目除外）</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口社区/企事业单位/村公示栏（电子屏）口精准推送□其他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建设工程规划许可证</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建设工程（含临时建设）规划许可证核发</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 续、补证、注销的办理情况（涉密项目除 外）</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建设工程规划条件核实合格证核发</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新办、变更、延续、补证、注销的办理情况（涉密项目除外）</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区规划自然资源局、镇（街）</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乡村建设规划许可证</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新办、变更、延续、补证、注销 的办理情况</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Theme="minorEastAsia" w:hAnsiTheme="minorEastAsia" w:eastAsiaTheme="minorEastAsia" w:cstheme="minorEastAsia"/>
                <w:i w:val="0"/>
                <w:color w:val="000000"/>
                <w:sz w:val="21"/>
                <w:szCs w:val="21"/>
                <w:u w:val="none"/>
                <w:lang w:val="en-US"/>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w:t>
            </w:r>
            <w:r>
              <w:rPr>
                <w:rFonts w:hint="eastAsia" w:asciiTheme="minorEastAsia" w:hAnsiTheme="minorEastAsia" w:cstheme="minorEastAsia"/>
                <w:i w:val="0"/>
                <w:color w:val="000000"/>
                <w:kern w:val="0"/>
                <w:sz w:val="21"/>
                <w:szCs w:val="21"/>
                <w:u w:val="none"/>
                <w:lang w:val="en-US" w:eastAsia="zh-CN" w:bidi="ar"/>
              </w:rPr>
              <w:t>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区规划自然资源局、镇（街）</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历史建筑实施原址保护审批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新办、变更、延续、补证、注销的办理情况（涉密项目除 外）</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1、《中华人民共和国城乡规划法》；2、《中华人民共和国政府信息公开条例》；3、《历史文化名城名镇名村保护条例》。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历史文化街区、名镇、名村核心保护范围内拆除历史建筑以外的建筑物、构筑物或者其他设施审批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新办、变更、延续、补证、注销 的办理情况（涉密项目除外）</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1、《中华人民共和国城乡规划法》；2、《中华人民共和国政府信息公开条例》；3、《历史文化名城名镇名村保护条例》。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历史建筑外部修缮装饰、添加设施以及改变历史建筑的结构或者使用性质审批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 续、补证、注销的办理情况</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 城乡规划法》；2、《中华人民共和国政府信息公开条例》；3、《历史文化名城名镇名村保护条例》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70"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历史建筑异地保护或者拆除审批</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新办、变更、延续、补证、注销的办理情况（涉密项目除 外）</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1、《中华人民共和国城乡规划法》；2、《中华人民共和国政府信息公开条例》；3、《历史文化名城名镇名村保护条例》。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0" w:hRule="atLeast"/>
        </w:trPr>
        <w:tc>
          <w:tcPr>
            <w:tcW w:w="4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处罚</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行政处罚基本信息</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1.机构职能、权责清单；2.执法程序或行政强制流程图；3.执法依据；</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4.行政处罚自由裁量基准；5.监督投诉方式；6.救济渠道。</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口公开查阅点口政府服务中心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345"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事后</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对规划城镇建设用地外市政道路、管线工程项目未办理建设工程规划许可证或者擅自改变建设工程规划许可证内容进行建设的处罚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135"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对规划城镇建设用地外减少建设工程规划许可证所确定的配套设施面积进行建设的处罚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事后</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对规划城镇建设用地外建设单位或者个人违法建设，拒不停止或者拒不改正、逾期未履行处罚决定的处罚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85"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对未按照规定在施工现场公示经审定的建设工程规划许可证和建设工程施工图的总平面图的处罚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事后</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对规划城镇建设用地外专门管理区域外的违法建筑查处权</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8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历史文化名城、名镇、名村保护范围内破坏传统格局和历史风貌等违法行为的处罚(未取得规划许可或未按照规划许可的内容进行建设活动的，专门管理区域外规划城镇建设用地范围内的，由城市管理部门查处)</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75"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事后</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对在历史建筑上刻划、涂污的处罚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8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对影响传统格局、历史风貌或者历史建筑等违法行为的处罚(未取得规划许可或未按照规划许可的内容进行建设活动的，专门管理区域外规划城镇建设用地范围内的，由城市管理部门查处)</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5"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事后</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对损坏或者擅自迁移、拆除历史建筑的处罚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5"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对擅自设置、移动、涂改或者损毁历史文化街区、名镇、名村标志牌的处罚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对城乡规划编制单位违反规划资质管理的处罚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事后</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对以欺骗手段申请或取得城乡规划编制单位资质证书的处罚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对规划城镇建设用地外已取得相关规划手续而未取得建设工程规划许可证或者未按照建设工程规划许可证的规定进行建设的处罚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39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对规划城镇建设用地外未按批准内容进行临时建设、临时建（构）筑物超过批准期限不拆除的处罚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事后</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对建设单位未按期报送竣工验收资料的处罚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对未经批准擅自建立相对独立的平面坐标系统的处罚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 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对规划城镇建设用地外擅自改变建设工程规划许可证及其附件、附图内容实施外立面建设的处罚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事后</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公开</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对有关设计单位严重违反规划条件或者规划设计要求进行设计的处罚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2800"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对擅自改变城乡规划主管部门核发的乡村建设规划许可证及附件、附图的许可内容进行建设的处罚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585" w:hRule="atLeast"/>
        </w:trPr>
        <w:tc>
          <w:tcPr>
            <w:tcW w:w="4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3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对历史建筑保护责任人未按规定履行保护责任，造成历史建筑有损毁危险的处罚</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1.行政相对人名称；2.行政相对人统一社会信用代码；3.案件名称；4.行政处罚决定书文号；5.处罚事由；6.处罚依据；7.处罚内容；8.处罚机关名称；9.处罚日期。</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1、《中华人民共和国城乡规划法》；2、《中华人民共和国政府信息公开条例》；3、《重庆市全面推行行政执法公示制度执法全过程记录制度重大执法决定法制审核制度实施方案》。</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处罚决定作出之日起7个工作日内予以公开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口政府公报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口广播电视  口纸质载体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口公开查阅点□政府服务中心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75"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行政</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强制</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在村庄规划区内未依法取得乡村建设规划许可证或者未按照乡村建设规划许可证的规定进行建设的强制</w:t>
            </w: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执法事项、依据、程序、当事人、强制决定书文号、强制类型事项、强制日期、强制机关</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1、《中华人民共和国城乡规划法》；2、《中华人民共和国政府信息公开 条例》；3、《中共重庆市委 重庆市人民政府关于建立重庆市国土空间规划体系做好新时代国土空间规划的意见》。</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信息形成或者变更之起20个工作日内予以公开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作出强制决定的机关</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口纸质载体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口公开查阅点□政府服务中心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85" w:hRule="atLeast"/>
        </w:trPr>
        <w:tc>
          <w:tcPr>
            <w:tcW w:w="4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6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城乡规划查询服务</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i w:val="0"/>
                <w:color w:val="000000"/>
                <w:sz w:val="21"/>
                <w:szCs w:val="21"/>
                <w:u w:val="none"/>
              </w:rPr>
            </w:pPr>
          </w:p>
        </w:tc>
        <w:tc>
          <w:tcPr>
            <w:tcW w:w="1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为申请人提供城乡规划和交通规划编制及规划许可方面的基础资料、统计信息、分析报告、城乡规划和交通规划实施监测报告以及承办社会法人针对城乡规划和交通规划相关问题建议受理及回复</w:t>
            </w:r>
          </w:p>
        </w:tc>
        <w:tc>
          <w:tcPr>
            <w:tcW w:w="3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1、《重庆市城乡规划条例》；</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2、《中华人民共和国政府信息公开条例》。</w:t>
            </w: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信息形成或者变更之日起20 个工作日内予以公开</w:t>
            </w:r>
          </w:p>
        </w:tc>
        <w:tc>
          <w:tcPr>
            <w:tcW w:w="1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区规划自然资源局</w:t>
            </w:r>
          </w:p>
        </w:tc>
        <w:tc>
          <w:tcPr>
            <w:tcW w:w="3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i w:val="0"/>
                <w:color w:val="000000"/>
                <w:sz w:val="21"/>
                <w:szCs w:val="21"/>
                <w:u w:val="none"/>
              </w:rPr>
            </w:pPr>
            <w:r>
              <w:rPr>
                <w:rFonts w:hint="eastAsia" w:asciiTheme="minorEastAsia" w:hAnsiTheme="minorEastAsia" w:eastAsiaTheme="minorEastAsia" w:cstheme="minorEastAsia"/>
                <w:i w:val="0"/>
                <w:color w:val="000000"/>
                <w:kern w:val="0"/>
                <w:sz w:val="21"/>
                <w:szCs w:val="21"/>
                <w:u w:val="none"/>
                <w:lang w:val="en-US" w:eastAsia="zh-CN" w:bidi="ar"/>
              </w:rPr>
              <w:t>■区政府网站   □政府公报</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□两微一端  □发布会/听证会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口广播电视  ■纸质载体</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口公开查阅点□政府服务中心</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口便民服务站□入户/现场 </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口社区/企事业单位/村公示栏（电子屏）</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 xml:space="preserve">口精准推送  □其他     </w:t>
            </w: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c>
          <w:tcPr>
            <w:tcW w:w="3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w:t>
            </w:r>
          </w:p>
        </w:tc>
        <w:tc>
          <w:tcPr>
            <w:tcW w:w="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after="0" w:line="300" w:lineRule="exact"/>
              <w:jc w:val="center"/>
              <w:rPr>
                <w:rFonts w:hint="eastAsia" w:asciiTheme="minorEastAsia" w:hAnsiTheme="minorEastAsia" w:eastAsiaTheme="minorEastAsia" w:cstheme="minorEastAsia"/>
                <w:b/>
                <w:i w:val="0"/>
                <w:color w:val="000000"/>
                <w:sz w:val="21"/>
                <w:szCs w:val="21"/>
                <w:u w:val="none"/>
              </w:rPr>
            </w:pPr>
          </w:p>
        </w:tc>
      </w:tr>
    </w:tbl>
    <w:p>
      <w:pPr>
        <w:pStyle w:val="2"/>
        <w:rPr>
          <w:rFonts w:hint="eastAsia"/>
          <w:lang w:eastAsia="zh-CN"/>
        </w:rPr>
      </w:pPr>
    </w:p>
    <w:p>
      <w:pPr>
        <w:pStyle w:val="2"/>
        <w:rPr>
          <w:rFonts w:hint="eastAsia"/>
          <w:lang w:eastAsia="zh-CN"/>
        </w:rPr>
      </w:pPr>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7"/>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7"/>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7"/>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7"/>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95093B"/>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6143B1"/>
    <w:rsid w:val="3C967C00"/>
    <w:rsid w:val="3D5C4646"/>
    <w:rsid w:val="3E0768F2"/>
    <w:rsid w:val="3E355D7B"/>
    <w:rsid w:val="3F1B35F1"/>
    <w:rsid w:val="3F7B6392"/>
    <w:rsid w:val="423667A6"/>
    <w:rsid w:val="43BC1856"/>
    <w:rsid w:val="44273A8B"/>
    <w:rsid w:val="46964683"/>
    <w:rsid w:val="47542844"/>
    <w:rsid w:val="47880223"/>
    <w:rsid w:val="47CA3B48"/>
    <w:rsid w:val="4ABB7228"/>
    <w:rsid w:val="4B9E0BB5"/>
    <w:rsid w:val="4C720175"/>
    <w:rsid w:val="500C5D52"/>
    <w:rsid w:val="505D43DA"/>
    <w:rsid w:val="507F7B2F"/>
    <w:rsid w:val="51F07DAF"/>
    <w:rsid w:val="52111BF0"/>
    <w:rsid w:val="56C42B3D"/>
    <w:rsid w:val="5919096C"/>
    <w:rsid w:val="596B6989"/>
    <w:rsid w:val="5A674378"/>
    <w:rsid w:val="5F57078A"/>
    <w:rsid w:val="5F971097"/>
    <w:rsid w:val="5FCF0377"/>
    <w:rsid w:val="605D0C1E"/>
    <w:rsid w:val="60D2128F"/>
    <w:rsid w:val="62052070"/>
    <w:rsid w:val="62061505"/>
    <w:rsid w:val="62FA2EF5"/>
    <w:rsid w:val="63137486"/>
    <w:rsid w:val="64026755"/>
    <w:rsid w:val="6425084A"/>
    <w:rsid w:val="642F3FD4"/>
    <w:rsid w:val="67F458BB"/>
    <w:rsid w:val="68244D39"/>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style>
  <w:style w:type="character" w:styleId="8">
    <w:name w:val="Emphasis"/>
    <w:qFormat/>
    <w:uiPriority w:val="0"/>
    <w:rPr>
      <w:i/>
      <w:iCs/>
    </w:rPr>
  </w:style>
  <w:style w:type="character" w:styleId="9">
    <w:name w:val="Hyperlink"/>
    <w:basedOn w:val="6"/>
    <w:qFormat/>
    <w:uiPriority w:val="0"/>
    <w:rPr>
      <w:color w:val="0000FF"/>
      <w:u w:val="single"/>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6"/>
    <w:qFormat/>
    <w:uiPriority w:val="0"/>
    <w:rPr>
      <w:rFonts w:hint="eastAsia" w:ascii="仿宋" w:hAnsi="仿宋" w:eastAsia="仿宋" w:cs="仿宋"/>
      <w:color w:val="000000"/>
      <w:sz w:val="22"/>
      <w:szCs w:val="22"/>
      <w:u w:val="none"/>
    </w:rPr>
  </w:style>
  <w:style w:type="character" w:customStyle="1" w:styleId="14">
    <w:name w:val="font01"/>
    <w:basedOn w:val="6"/>
    <w:uiPriority w:val="0"/>
    <w:rPr>
      <w:rFonts w:hint="eastAsia" w:ascii="仿宋" w:hAnsi="仿宋" w:eastAsia="仿宋" w:cs="仿宋"/>
      <w:color w:val="000000"/>
      <w:sz w:val="22"/>
      <w:szCs w:val="22"/>
      <w:u w:val="single"/>
    </w:rPr>
  </w:style>
  <w:style w:type="character" w:customStyle="1" w:styleId="15">
    <w:name w:val="font31"/>
    <w:basedOn w:val="6"/>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6"/>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6"/>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6"/>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6"/>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6"/>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15</TotalTime>
  <ScaleCrop>false</ScaleCrop>
  <LinksUpToDate>false</LinksUpToDate>
  <CharactersWithSpaces>5315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Administrator</cp:lastModifiedBy>
  <cp:lastPrinted>2020-08-28T23:31:00Z</cp:lastPrinted>
  <dcterms:modified xsi:type="dcterms:W3CDTF">2022-06-21T07:39:12Z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