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三、义务教育领域</w:t>
      </w:r>
      <w:r>
        <w:rPr>
          <w:rFonts w:hint="eastAsia" w:ascii="方正黑体_GBK" w:hAnsi="方正黑体_GBK" w:eastAsia="方正黑体_GBK" w:cs="方正黑体_GBK"/>
          <w:sz w:val="32"/>
          <w:szCs w:val="32"/>
        </w:rPr>
        <w:t>基层政务公开标准目录</w:t>
      </w:r>
    </w:p>
    <w:tbl>
      <w:tblPr>
        <w:tblStyle w:val="10"/>
        <w:tblW w:w="15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2"/>
        <w:gridCol w:w="695"/>
        <w:gridCol w:w="730"/>
        <w:gridCol w:w="3314"/>
        <w:gridCol w:w="1900"/>
        <w:gridCol w:w="1003"/>
        <w:gridCol w:w="1004"/>
        <w:gridCol w:w="2722"/>
        <w:gridCol w:w="471"/>
        <w:gridCol w:w="623"/>
        <w:gridCol w:w="593"/>
        <w:gridCol w:w="578"/>
        <w:gridCol w:w="548"/>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号</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公开事项</w:t>
            </w:r>
          </w:p>
        </w:tc>
        <w:tc>
          <w:tcPr>
            <w:tcW w:w="3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公开内容</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（要素）</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公开依据</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时限</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主体</w:t>
            </w:r>
          </w:p>
        </w:tc>
        <w:tc>
          <w:tcPr>
            <w:tcW w:w="27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公开渠道和载体</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公开对象</w:t>
            </w:r>
          </w:p>
        </w:tc>
        <w:tc>
          <w:tcPr>
            <w:tcW w:w="1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公开方式</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3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27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全社会</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特定群体</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主动</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依申请</w:t>
            </w: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区级</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6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政策</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文件</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教育法律</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1.《中华人民共和国教育法》（2015）；</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2.《中华人民共和国义务教育法》（2015）；</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3.《中华人民共和国民办教育促进法》（2016）；</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4.《中华人民共和国教师法》（2009）；</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5.《中华人民共和国国家通用语言文字法》（2000）。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规范性文件</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1.部门和地方政府规章；</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2.各类教育政策文件。</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教育概况</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教育事业发展主要情况</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1.教育事业发展主要情况。</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1.《中华人民共和国统计法》；2.《中华人民共和国政府信息公开条例》；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3.《教育统计管理规定》。</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教育统计数据</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1.学校数据；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2.在校生数据；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3.教师数据；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4.办学条件数据；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5.县级汇总数据。</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义务教育学校名录</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1.学校名称；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2.学校地址；</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3.办学层次；</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4.办学类型；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5.办公电话。</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4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民办学校及民办教育培训机构信息</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民办学校办学基本信息</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1.学校名称；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2.办学许可证；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3.办学规模；</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4.联系方式。</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1.《民办教育促进法》；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3.《国务院关于鼓励社会力量兴办教育促进民办教育健康发展的若干意见》；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4.《民办非企业单位登记管理暂行条例》。</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民办学校设立、变更、终止等事项行政审批、备案信息</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1.法律依据；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2.办理流程；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3.审批结果。</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日常监管信息</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1.年检指标；</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2.年检程序；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3.年检结果；</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4.行政处罚信息。</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财务信息</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财务信息</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1.财务管理及监督办法；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2.年度经费预决算信息；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3.收费项目及收费标准；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4.对学校及其他教育机构违反国家规定收取费用的处分；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5.对学校向学生推销商品的处分。</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2.《中华人民共和国教育法》；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3.《中华人民共和国义务教育法》。</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学校介绍</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1.办学性质；</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2.办学地点；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3.办学规模；</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4.办学基本条件；</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5.联系方式等。</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2.《教育部关于进一步做好小学升入初中免试就近入学工作的实施意见》；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3.《教育部关于推进中小学信息公开工作的意见》；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4.《中华人民共和国民办教育促进法》。</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招生政策</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1.各校招生工作实施方案（含民办学校招生广告备案）；</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2.随迁子女入学办法；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3.部分适龄儿童或少年延缓入学、休学等特殊需求的政策解读等。</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0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招生计划</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1.各校本年度招生计划。</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2.《教育部关于进一步做好小学升入初中免试就近入学工作的实施意见》；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3.《教育部关于推进中小学信息公开工作的意见》；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4.《中华人民共和国教育法》；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5.《国家教育考试违规处理办法》。</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招生范围</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1.招生范围；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2.学区划分详细情况。</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85"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学籍管理</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1.区域内义务教育阶段学生休学、复学、转学、留级、跳级、退学相关政策及所需材料和办理流程、审批及认定情况；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2.适龄儿童延缓入学所需材料及办理流程、审批情况；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3.流动人口随迁子女入学资格认定；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4.学籍证明、毕（结）业证书遗失办理学历证明确认。</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1.《中华人民共和国教育法》；2.《中华人民共和国义务教育法》；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4.《中小学生学籍管理办法》。</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6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义务教育学生资助政策</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1.统一城乡义务教育“两免一补”政策。</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2.《国务院关于进一步完善城乡义务教育经费保障机制的通知》；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3.《中华人民共和国教育法》；4.《国务院办公厅转发财政部教育部关于加快国家扶贫开发工作重点县“两免一补”实施步伐有关工作意见的通知》。</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55"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学生评优奖励</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1.“三好学生”“优秀学生干部”等对各类优秀学生的奖励评选标准；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2.评比方法；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3.表彰名单等。</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1.《中华人民共和国政府信息公开条例》；2.《中共中央国务院关于进一步加强和改进未成年人思想道德建设的若干意见》。</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学生申诉及伤害事故处理</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1.对学生申诉作出的裁决；2.学生伤害事故处理调解。</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1.《中华人民共和国教育法》；2.《学生伤害事故处理办法》。</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6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优待政策</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1.少数民族考生中考加分确认办理的材料、流程和政策要求；</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2.归侨学生、归侨子女、华侨子女和港澳台籍考生中考加分确认。</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2.《国务院办公厅关于严格执行党和国家民族政策有关问题的通知》；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3.《中华人民共和国归侨侨眷权益保护法》；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4.《教育部、国务院台湾事务办公室关于进一步做好台湾同胞子女在大陆中小学和幼儿园就读工作的若干意见》等。</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0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教师培训</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1.教师培训政策文件；</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2.教师培训项目组织实施通知。</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1.《中华人民共和国教育法》；2.《中华人民共和国教师法》；3.《中小学教师继续教育规定》。</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教师资格认定</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1.教师资格认定申请材料；</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2.参加体检时间、医疗机构名单、体检合格标准；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3.咨询方式、监督举报方式、常见问题等。</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1.《中华人民共和国教师法》；2.《中华人民共和国政府信息公开条例》；3.《教师资格条例》及实施办法；4.《教育部关于印发〈教师资格证书管理规定〉的通知》；5.《中小学教师资格定期注册暂行办法》。</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1.教师资格定期注册；</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2.中小学教师资格证书补发、换发政策及流程。</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2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教师公开招聘</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1.教师招聘计划和公告；</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2.拟聘用人员名单公示。</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2.《事业单位公开招聘人员暂行规定》；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3.《中共中央组织部</w:t>
            </w:r>
            <w:bookmarkStart w:id="0" w:name="_GoBack"/>
            <w:r>
              <w:rPr>
                <w:rFonts w:hint="eastAsia" w:asciiTheme="minorEastAsia" w:hAnsiTheme="minorEastAsia" w:eastAsiaTheme="minorEastAsia" w:cstheme="minorEastAsia"/>
                <w:i w:val="0"/>
                <w:color w:val="000000"/>
                <w:kern w:val="0"/>
                <w:sz w:val="21"/>
                <w:szCs w:val="21"/>
                <w:u w:val="none"/>
                <w:lang w:val="en-US" w:eastAsia="zh-CN" w:bidi="ar"/>
              </w:rPr>
              <w:t>人力资源和社会</w:t>
            </w:r>
            <w:bookmarkEnd w:id="0"/>
            <w:r>
              <w:rPr>
                <w:rFonts w:hint="eastAsia" w:asciiTheme="minorEastAsia" w:hAnsiTheme="minorEastAsia" w:cstheme="minorEastAsia"/>
                <w:i w:val="0"/>
                <w:color w:val="000000"/>
                <w:kern w:val="0"/>
                <w:sz w:val="21"/>
                <w:szCs w:val="21"/>
                <w:u w:val="none"/>
                <w:lang w:val="en-US" w:eastAsia="zh-CN" w:bidi="ar"/>
              </w:rPr>
              <w:t>保障</w:t>
            </w:r>
            <w:r>
              <w:rPr>
                <w:rFonts w:hint="eastAsia" w:asciiTheme="minorEastAsia" w:hAnsiTheme="minorEastAsia" w:eastAsiaTheme="minorEastAsia" w:cstheme="minorEastAsia"/>
                <w:i w:val="0"/>
                <w:color w:val="000000"/>
                <w:kern w:val="0"/>
                <w:sz w:val="21"/>
                <w:szCs w:val="21"/>
                <w:u w:val="none"/>
                <w:lang w:val="en-US" w:eastAsia="zh-CN" w:bidi="ar"/>
              </w:rPr>
              <w:t>部关于进一步规范事业单位公开招聘工作的通知》；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4.《人力资源社会保障部关于事业单位公开招聘岗位条件设置有关问题的通知》。</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区</w:t>
            </w:r>
            <w:r>
              <w:rPr>
                <w:rFonts w:hint="eastAsia" w:asciiTheme="minorEastAsia" w:hAnsiTheme="minorEastAsia" w:cstheme="minorEastAsia"/>
                <w:i w:val="0"/>
                <w:color w:val="auto"/>
                <w:kern w:val="0"/>
                <w:sz w:val="21"/>
                <w:szCs w:val="21"/>
                <w:u w:val="none"/>
                <w:lang w:val="en-US" w:eastAsia="zh-CN" w:bidi="ar"/>
              </w:rPr>
              <w:t>人力社保局</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2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行为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规范</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1.教师职业行为准则及违规处理办法。</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1.《中华人民共和国政府信息公开条例》；2.《中华人民共和国教师法》；3.《新时代中小学教师职业行为十项准则》；4.《中小学教师违反职业道德行为处理办法（2018年修订）》。</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8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教师评优评先</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1.市级表彰集体或个人；2.市级教学成果奖励。</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1.《中华人民共和国教师法》；2.《中共中央国务院关于全面深化新时代教师队伍建设改革的意见》；3.《中华人民共和国教育法》；4.《重庆市名师奖评选奖励办法》；5.《教学成果奖励条例》。</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55"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教师职称评审</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1.评审政策；</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2.评审通知；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3.学校拟推荐人选名单；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4.评审结果；</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5.最终结果。</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2.《人力资源社会保障部教育部关于印发深化中小学教师职称制度改革的指导意见的通知》。</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7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教师管理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特岗教师招聘</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1.特岗教师招聘公告；</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2.拟聘用人员名单。</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2.《教育部财政部人事部中央编办关于实施农村义务教育阶段学校教师特设岗位计划的通知》；3.《教育部财政部人力资源社会保障部中央编办关于继续组织实施“农村义务教育阶段学校教师特设岗位计划”的通知》等。</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区教委</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乡村教师生活补助</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1.管理制度；</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2.实施方案；</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3.实施时间；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4.补助范围；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5.发放对象；</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6.补助档次标准；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7.发放情况。</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2.《教育部财政部关于落实2013年中央1号文件要求对在连片特困地区工作的乡村教师给予生活补助的通知》；3.《教育部关于加强乡村教师生活补助经费管理有关工作的通知》。</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Style w:val="13"/>
                <w:rFonts w:hint="eastAsia" w:asciiTheme="minorEastAsia" w:hAnsiTheme="minorEastAsia" w:eastAsiaTheme="minorEastAsia" w:cstheme="minorEastAsia"/>
                <w:sz w:val="21"/>
                <w:szCs w:val="21"/>
                <w:lang w:val="en-US" w:eastAsia="zh-CN" w:bidi="ar"/>
              </w:rPr>
              <w:t>■政府网站□政府公报</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■两微一端□发布会/听证会□广播电视□纸质媒体■公开查阅点□政务服务中心</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□便民服务站□入户/现场</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□社区/企事业单位/村公示栏（电子屏）</w:t>
            </w:r>
            <w:r>
              <w:rPr>
                <w:rStyle w:val="13"/>
                <w:rFonts w:hint="eastAsia" w:asciiTheme="minorEastAsia" w:hAnsiTheme="minorEastAsia" w:eastAsiaTheme="minorEastAsia" w:cstheme="minorEastAsia"/>
                <w:sz w:val="21"/>
                <w:szCs w:val="21"/>
                <w:lang w:val="en-US" w:eastAsia="zh-CN" w:bidi="ar"/>
              </w:rPr>
              <w:br w:type="textWrapping"/>
            </w:r>
            <w:r>
              <w:rPr>
                <w:rStyle w:val="13"/>
                <w:rFonts w:hint="eastAsia" w:asciiTheme="minorEastAsia" w:hAnsiTheme="minorEastAsia" w:eastAsiaTheme="minorEastAsia" w:cstheme="minorEastAsia"/>
                <w:sz w:val="21"/>
                <w:szCs w:val="21"/>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7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普通话培训及测试</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1.开展普通话培训、测试的通知；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2.普通话水平测试等级证书补办。</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2.《普通话水平测试管理规定》。</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35"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重要政策执行情况</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控辍保学</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1.“一县一策”控辍保学工作方案；</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2.典型经验和有效做法。</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1.《中华人民共和国政府信息公开条例》；2.《国务院办公厅关于进一步加强控辍保学提高义务教育巩固水平的通知》。</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0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重要政策执行情况</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农村义务教育学生营养改善计划</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1.有关政策法规、规章、规范性文件；</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2.组织机构和职责，举报电话、信箱或电子邮箱。</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2.《国务院办公厅关于实施农村义务教育学生营养改善计划的意见》；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3.《教育部等十五部门关于印发〈农村义务教育学生营养改善计划实施细则〉等五个配套文件的通知》。</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1.学校食堂饭菜价格、带量食谱；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2.学校膳食委员会名单；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3.学校管理人员陪餐情况；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4.食品安全突发事件应急预案。</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10"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重要政策执行情况</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学校体育评价</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1.学校体育工作自评结果（体育课、体育训练、体育比赛、体育教师、体育场地、条件保障等）；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2.学校体育发展年度报告（重点反映体育教学改革、体育教师配备、体育经费投入和体育场地设施、学生体质健康测试等方面的情况）；3.对侵占、破坏学校体育场地、器材设备的处理。</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1.《中华人民共和国政府信息公开条例》；2.教育部关于印发《学生体质健康监测评价办法》等三个文件的通知；3.《学校体育工作条例》。</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7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学校美育评价</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1.学校艺术教育工作自评结果（艺术课程、艺术活动、艺术教师、条件保障、特色发展及学生艺术素质测评等）；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3.对在学校艺术教育工作中取得突出成绩的单位和个人的奖励。</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2.教育部关于印发《中小学生艺术素质测评办法》等三个文件的通知；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3.《学校艺术教育工作规程》。</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25" w:hRule="atLeast"/>
        </w:trPr>
        <w:tc>
          <w:tcPr>
            <w:tcW w:w="4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教育督导</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机构队伍</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1.督导部门组成；</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2.督学名单。</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1.《中华人民共和国义务教育法》；2.《中华人民共和国职业教育法》；3.《中华人民共和国政府信息公开条例》；4.《中华人民共和国残疾人教育条例》；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5.《教育督导条例》；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6.《县域义务教育均衡发展督导评估暂行办法》；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7.《县域义务教育优质均衡发展督导评估办法》。</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学校督导评估</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1.年度督导工作计划内容；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2.责任区划分和责任督学名单；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3.责任督学日常督导事项；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4.学校督导评估的办法、指标体系、督导评估报告。</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义务教育均衡发展督导评估</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1.义务教育优质均衡发展督导评估政策文件、职责权限等；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2.区县申报义务教育均衡发展国家督导评估认定时的自评报告；</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3.市级教育督导机构对区县的督导评估结果。</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00" w:hRule="atLeast"/>
        </w:trPr>
        <w:tc>
          <w:tcPr>
            <w:tcW w:w="4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校园安全</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校园安全管理</w:t>
            </w:r>
          </w:p>
        </w:tc>
        <w:tc>
          <w:tcPr>
            <w:tcW w:w="3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1.校园安全管理法律法规、配套管理制度；</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2.学生住宿、用餐、组织活动等安全管理情况；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3.校园安全突发事件应急预案、预警信息、应对情况、调查处理情况；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4.校车使用许可申请政策规定及申请流程；对违法使用校车行为的处分；5.对学校管理混乱，存在安全隐患的处罚；6.对在学校安全工作中成绩显著或者作出突出贡献的单位和个人的表彰奖励。</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2.《国务院办公厅关于加强中小学幼儿园安全风险防控体系建设的意见》；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3.《教育部关于推进中小学信息公开工作的意见》；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4.《校车安全管理条例》；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5.《学生伤害事故处理办法》；6.《中小学幼儿园安全</w:t>
            </w:r>
            <w:r>
              <w:rPr>
                <w:rFonts w:hint="eastAsia" w:asciiTheme="minorEastAsia" w:hAnsiTheme="minorEastAsia" w:cstheme="minorEastAsia"/>
                <w:i w:val="0"/>
                <w:color w:val="000000"/>
                <w:kern w:val="0"/>
                <w:sz w:val="21"/>
                <w:szCs w:val="21"/>
                <w:u w:val="none"/>
                <w:lang w:val="en-US" w:eastAsia="zh-CN" w:bidi="ar"/>
              </w:rPr>
              <w:t>管理</w:t>
            </w:r>
            <w:r>
              <w:rPr>
                <w:rFonts w:hint="eastAsia" w:asciiTheme="minorEastAsia" w:hAnsiTheme="minorEastAsia" w:eastAsiaTheme="minorEastAsia" w:cstheme="minorEastAsia"/>
                <w:i w:val="0"/>
                <w:color w:val="000000"/>
                <w:kern w:val="0"/>
                <w:sz w:val="21"/>
                <w:szCs w:val="21"/>
                <w:u w:val="none"/>
                <w:lang w:val="en-US" w:eastAsia="zh-CN" w:bidi="ar"/>
              </w:rPr>
              <w:t>办法》。</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制定或获取信息之日起20个工作日内</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区教委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各镇街</w:t>
            </w:r>
          </w:p>
        </w:tc>
        <w:tc>
          <w:tcPr>
            <w:tcW w:w="2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□两微一端□发布会/听证会■广播电视■纸质媒体■公开查阅点□政务服务中心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□精准推送□其他</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bl>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Noto Sans Mono CJK JP Regular">
    <w:altName w:val="宋体"/>
    <w:panose1 w:val="020B0500000000000000"/>
    <w:charset w:val="86"/>
    <w:family w:val="swiss"/>
    <w:pitch w:val="default"/>
    <w:sig w:usb0="00000000" w:usb1="00000000" w:usb2="00000016" w:usb3="00000000" w:csb0="602E0107"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7"/>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7"/>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7"/>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7"/>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79C3772"/>
    <w:rsid w:val="38927EE6"/>
    <w:rsid w:val="38B224AE"/>
    <w:rsid w:val="392308D1"/>
    <w:rsid w:val="3A853CD7"/>
    <w:rsid w:val="3C284045"/>
    <w:rsid w:val="3C6143B1"/>
    <w:rsid w:val="3C967C00"/>
    <w:rsid w:val="3D5C4646"/>
    <w:rsid w:val="3E0768F2"/>
    <w:rsid w:val="3E355D7B"/>
    <w:rsid w:val="3F1B35F1"/>
    <w:rsid w:val="3F7B6392"/>
    <w:rsid w:val="417F663C"/>
    <w:rsid w:val="423667A6"/>
    <w:rsid w:val="437A689B"/>
    <w:rsid w:val="43BC1856"/>
    <w:rsid w:val="44211ACE"/>
    <w:rsid w:val="44273A8B"/>
    <w:rsid w:val="46964683"/>
    <w:rsid w:val="47542844"/>
    <w:rsid w:val="47880223"/>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 w:val="FDF7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Emphasis"/>
    <w:qFormat/>
    <w:uiPriority w:val="0"/>
    <w:rPr>
      <w:i/>
      <w:iCs/>
    </w:rPr>
  </w:style>
  <w:style w:type="character" w:styleId="9">
    <w:name w:val="Hyperlink"/>
    <w:basedOn w:val="6"/>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6"/>
    <w:qFormat/>
    <w:uiPriority w:val="0"/>
    <w:rPr>
      <w:rFonts w:hint="eastAsia" w:ascii="仿宋" w:hAnsi="仿宋" w:eastAsia="仿宋" w:cs="仿宋"/>
      <w:color w:val="000000"/>
      <w:sz w:val="22"/>
      <w:szCs w:val="22"/>
      <w:u w:val="none"/>
    </w:rPr>
  </w:style>
  <w:style w:type="character" w:customStyle="1" w:styleId="14">
    <w:name w:val="font01"/>
    <w:basedOn w:val="6"/>
    <w:qFormat/>
    <w:uiPriority w:val="0"/>
    <w:rPr>
      <w:rFonts w:hint="eastAsia" w:ascii="仿宋" w:hAnsi="仿宋" w:eastAsia="仿宋" w:cs="仿宋"/>
      <w:color w:val="000000"/>
      <w:sz w:val="22"/>
      <w:szCs w:val="22"/>
      <w:u w:val="single"/>
    </w:rPr>
  </w:style>
  <w:style w:type="character" w:customStyle="1" w:styleId="15">
    <w:name w:val="font31"/>
    <w:basedOn w:val="6"/>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6"/>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6"/>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6"/>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6"/>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6"/>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95</TotalTime>
  <ScaleCrop>false</ScaleCrop>
  <LinksUpToDate>false</LinksUpToDate>
  <CharactersWithSpaces>5315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2020-06-11T08:18:00Z</dcterms:created>
  <dc:creator>dzb</dc:creator>
  <cp:lastModifiedBy>Administrator</cp:lastModifiedBy>
  <cp:lastPrinted>2020-08-29T07:31:00Z</cp:lastPrinted>
  <dcterms:modified xsi:type="dcterms:W3CDTF">2022-09-16T06:26:25Z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