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十八、市政服务领域</w:t>
      </w:r>
      <w:r>
        <w:rPr>
          <w:rFonts w:hint="eastAsia" w:ascii="方正黑体_GBK" w:hAnsi="方正黑体_GBK" w:eastAsia="方正黑体_GBK" w:cs="方正黑体_GBK"/>
          <w:sz w:val="32"/>
          <w:szCs w:val="32"/>
        </w:rPr>
        <w:t>基层政务公开标准目录</w:t>
      </w:r>
    </w:p>
    <w:tbl>
      <w:tblPr>
        <w:tblStyle w:val="6"/>
        <w:tblW w:w="15250" w:type="dxa"/>
        <w:jc w:val="center"/>
        <w:tblLayout w:type="fixed"/>
        <w:tblCellMar>
          <w:top w:w="0" w:type="dxa"/>
          <w:left w:w="108" w:type="dxa"/>
          <w:bottom w:w="0" w:type="dxa"/>
          <w:right w:w="108" w:type="dxa"/>
        </w:tblCellMar>
      </w:tblPr>
      <w:tblGrid>
        <w:gridCol w:w="515"/>
        <w:gridCol w:w="901"/>
        <w:gridCol w:w="1036"/>
        <w:gridCol w:w="1456"/>
        <w:gridCol w:w="2402"/>
        <w:gridCol w:w="1149"/>
        <w:gridCol w:w="1186"/>
        <w:gridCol w:w="3353"/>
        <w:gridCol w:w="585"/>
        <w:gridCol w:w="540"/>
        <w:gridCol w:w="540"/>
        <w:gridCol w:w="525"/>
        <w:gridCol w:w="523"/>
        <w:gridCol w:w="539"/>
      </w:tblGrid>
      <w:tr>
        <w:tblPrEx>
          <w:tblCellMar>
            <w:top w:w="0" w:type="dxa"/>
            <w:left w:w="108" w:type="dxa"/>
            <w:bottom w:w="0" w:type="dxa"/>
            <w:right w:w="108" w:type="dxa"/>
          </w:tblCellMar>
        </w:tblPrEx>
        <w:trPr>
          <w:trHeight w:val="634"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序号</w:t>
            </w:r>
          </w:p>
        </w:tc>
        <w:tc>
          <w:tcPr>
            <w:tcW w:w="193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公开事项</w:t>
            </w:r>
          </w:p>
        </w:tc>
        <w:tc>
          <w:tcPr>
            <w:tcW w:w="14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公开内容</w:t>
            </w:r>
            <w:r>
              <w:rPr>
                <w:rFonts w:hint="eastAsia" w:ascii="方正黑体_GBK" w:hAnsi="方正黑体_GBK" w:eastAsia="方正黑体_GBK" w:cs="方正黑体_GBK"/>
                <w:color w:val="000000"/>
                <w:kern w:val="0"/>
                <w:sz w:val="21"/>
                <w:szCs w:val="21"/>
              </w:rPr>
              <w:br w:type="textWrapping"/>
            </w:r>
            <w:r>
              <w:rPr>
                <w:rFonts w:hint="eastAsia" w:ascii="方正黑体_GBK" w:hAnsi="方正黑体_GBK" w:eastAsia="方正黑体_GBK" w:cs="方正黑体_GBK"/>
                <w:color w:val="000000"/>
                <w:kern w:val="0"/>
                <w:sz w:val="21"/>
                <w:szCs w:val="21"/>
              </w:rPr>
              <w:t>(要素)</w:t>
            </w:r>
          </w:p>
        </w:tc>
        <w:tc>
          <w:tcPr>
            <w:tcW w:w="24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公开依据</w:t>
            </w:r>
          </w:p>
        </w:tc>
        <w:tc>
          <w:tcPr>
            <w:tcW w:w="11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w:t>
            </w:r>
            <w:r>
              <w:rPr>
                <w:rFonts w:hint="eastAsia" w:ascii="方正黑体_GBK" w:hAnsi="方正黑体_GBK" w:eastAsia="方正黑体_GBK" w:cs="方正黑体_GBK"/>
                <w:color w:val="000000"/>
                <w:kern w:val="0"/>
                <w:sz w:val="21"/>
                <w:szCs w:val="21"/>
              </w:rPr>
              <w:br w:type="textWrapping"/>
            </w:r>
            <w:r>
              <w:rPr>
                <w:rFonts w:hint="eastAsia" w:ascii="方正黑体_GBK" w:hAnsi="方正黑体_GBK" w:eastAsia="方正黑体_GBK" w:cs="方正黑体_GBK"/>
                <w:color w:val="000000"/>
                <w:kern w:val="0"/>
                <w:sz w:val="21"/>
                <w:szCs w:val="21"/>
              </w:rPr>
              <w:t>时限</w:t>
            </w:r>
          </w:p>
        </w:tc>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w:t>
            </w:r>
            <w:r>
              <w:rPr>
                <w:rFonts w:hint="eastAsia" w:ascii="方正黑体_GBK" w:hAnsi="方正黑体_GBK" w:eastAsia="方正黑体_GBK" w:cs="方正黑体_GBK"/>
                <w:color w:val="000000"/>
                <w:kern w:val="0"/>
                <w:sz w:val="21"/>
                <w:szCs w:val="21"/>
              </w:rPr>
              <w:br w:type="textWrapping"/>
            </w:r>
            <w:r>
              <w:rPr>
                <w:rFonts w:hint="eastAsia" w:ascii="方正黑体_GBK" w:hAnsi="方正黑体_GBK" w:eastAsia="方正黑体_GBK" w:cs="方正黑体_GBK"/>
                <w:color w:val="000000"/>
                <w:kern w:val="0"/>
                <w:sz w:val="21"/>
                <w:szCs w:val="21"/>
              </w:rPr>
              <w:t>主体</w:t>
            </w:r>
          </w:p>
        </w:tc>
        <w:tc>
          <w:tcPr>
            <w:tcW w:w="33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公开渠道和载体</w:t>
            </w:r>
          </w:p>
        </w:tc>
        <w:tc>
          <w:tcPr>
            <w:tcW w:w="11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公开对象</w:t>
            </w:r>
          </w:p>
        </w:tc>
        <w:tc>
          <w:tcPr>
            <w:tcW w:w="106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公开方式</w:t>
            </w:r>
          </w:p>
        </w:tc>
        <w:tc>
          <w:tcPr>
            <w:tcW w:w="106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公开层级</w:t>
            </w:r>
          </w:p>
        </w:tc>
      </w:tr>
      <w:tr>
        <w:tblPrEx>
          <w:tblCellMar>
            <w:top w:w="0" w:type="dxa"/>
            <w:left w:w="108" w:type="dxa"/>
            <w:bottom w:w="0" w:type="dxa"/>
            <w:right w:w="108" w:type="dxa"/>
          </w:tblCellMar>
        </w:tblPrEx>
        <w:trPr>
          <w:trHeight w:val="130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p>
        </w:tc>
        <w:tc>
          <w:tcPr>
            <w:tcW w:w="90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一级   事项</w:t>
            </w:r>
          </w:p>
        </w:tc>
        <w:tc>
          <w:tcPr>
            <w:tcW w:w="103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二级       事项</w:t>
            </w:r>
          </w:p>
        </w:tc>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p>
        </w:tc>
        <w:tc>
          <w:tcPr>
            <w:tcW w:w="24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p>
        </w:tc>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p>
        </w:tc>
        <w:tc>
          <w:tcPr>
            <w:tcW w:w="33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p>
        </w:tc>
        <w:tc>
          <w:tcPr>
            <w:tcW w:w="58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全</w:t>
            </w:r>
          </w:p>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社会</w:t>
            </w:r>
          </w:p>
        </w:tc>
        <w:tc>
          <w:tcPr>
            <w:tcW w:w="54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特定</w:t>
            </w:r>
          </w:p>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群体</w:t>
            </w:r>
          </w:p>
        </w:tc>
        <w:tc>
          <w:tcPr>
            <w:tcW w:w="54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主动</w:t>
            </w:r>
          </w:p>
        </w:tc>
        <w:tc>
          <w:tcPr>
            <w:tcW w:w="5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lang w:eastAsia="zh-CN"/>
              </w:rPr>
              <w:t>依</w:t>
            </w:r>
            <w:r>
              <w:rPr>
                <w:rFonts w:hint="eastAsia" w:ascii="方正黑体_GBK" w:hAnsi="方正黑体_GBK" w:eastAsia="方正黑体_GBK" w:cs="方正黑体_GBK"/>
                <w:color w:val="000000"/>
                <w:kern w:val="0"/>
                <w:sz w:val="21"/>
                <w:szCs w:val="21"/>
              </w:rPr>
              <w:t>申请</w:t>
            </w:r>
          </w:p>
        </w:tc>
        <w:tc>
          <w:tcPr>
            <w:tcW w:w="52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lang w:eastAsia="zh-CN"/>
              </w:rPr>
              <w:t>区</w:t>
            </w:r>
            <w:r>
              <w:rPr>
                <w:rFonts w:hint="eastAsia" w:ascii="方正黑体_GBK" w:hAnsi="方正黑体_GBK" w:eastAsia="方正黑体_GBK" w:cs="方正黑体_GBK"/>
                <w:color w:val="000000"/>
                <w:kern w:val="0"/>
                <w:sz w:val="21"/>
                <w:szCs w:val="21"/>
              </w:rPr>
              <w:t>级</w:t>
            </w:r>
          </w:p>
        </w:tc>
        <w:tc>
          <w:tcPr>
            <w:tcW w:w="53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lang w:eastAsia="zh-CN"/>
              </w:rPr>
              <w:t>镇街</w:t>
            </w:r>
            <w:r>
              <w:rPr>
                <w:rFonts w:hint="eastAsia" w:ascii="方正黑体_GBK" w:hAnsi="方正黑体_GBK" w:eastAsia="方正黑体_GBK" w:cs="方正黑体_GBK"/>
                <w:color w:val="000000"/>
                <w:kern w:val="0"/>
                <w:sz w:val="21"/>
                <w:szCs w:val="21"/>
              </w:rPr>
              <w:t>级</w:t>
            </w:r>
          </w:p>
        </w:tc>
      </w:tr>
      <w:tr>
        <w:tblPrEx>
          <w:tblCellMar>
            <w:top w:w="0" w:type="dxa"/>
            <w:left w:w="108" w:type="dxa"/>
            <w:bottom w:w="0" w:type="dxa"/>
            <w:right w:w="108" w:type="dxa"/>
          </w:tblCellMar>
        </w:tblPrEx>
        <w:trPr>
          <w:trHeight w:val="288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1</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城镇燃气管理</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燃气经营许可证核发</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申请条件；</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申请材料；</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申请流程；</w:t>
            </w:r>
          </w:p>
          <w:p>
            <w:pPr>
              <w:keepNext w:val="0"/>
              <w:keepLines w:val="0"/>
              <w:pageBreakBefore w:val="0"/>
              <w:widowControl w:val="0"/>
              <w:numPr>
                <w:ilvl w:val="0"/>
                <w:numId w:val="1"/>
              </w:numPr>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《城镇燃气管理条例》；</w:t>
            </w:r>
          </w:p>
          <w:p>
            <w:pPr>
              <w:keepNext w:val="0"/>
              <w:keepLines w:val="0"/>
              <w:pageBreakBefore w:val="0"/>
              <w:widowControl w:val="0"/>
              <w:numPr>
                <w:ilvl w:val="0"/>
                <w:numId w:val="2"/>
              </w:numPr>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《重庆市天然气管理条例》。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区经济信息委</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82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燃气经营者改动市政燃气设施审批</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1.《城镇燃气管理条例》；</w:t>
            </w:r>
          </w:p>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2.《重庆市天然气管理条例》。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区经济信息委</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720" w:hRule="atLeast"/>
          <w:jc w:val="center"/>
        </w:trPr>
        <w:tc>
          <w:tcPr>
            <w:tcW w:w="5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90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城市供水、</w:t>
            </w:r>
            <w:bookmarkStart w:id="0" w:name="_GoBack"/>
            <w:r>
              <w:rPr>
                <w:rFonts w:hint="eastAsia" w:asciiTheme="minorEastAsia" w:hAnsiTheme="minorEastAsia" w:eastAsiaTheme="minorEastAsia" w:cstheme="minorEastAsia"/>
                <w:color w:val="000000"/>
                <w:kern w:val="0"/>
                <w:sz w:val="21"/>
                <w:szCs w:val="21"/>
              </w:rPr>
              <w:t>城镇排水</w:t>
            </w:r>
            <w:bookmarkEnd w:id="0"/>
            <w:r>
              <w:rPr>
                <w:rFonts w:hint="eastAsia" w:asciiTheme="minorEastAsia" w:hAnsiTheme="minorEastAsia" w:eastAsiaTheme="minorEastAsia" w:cstheme="minorEastAsia"/>
                <w:color w:val="000000"/>
                <w:kern w:val="0"/>
                <w:sz w:val="21"/>
                <w:szCs w:val="21"/>
              </w:rPr>
              <w:t>与污水处理</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由于工程施工、设备维修等原因确需停止供水的审批</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《城市供水条例》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区</w:t>
            </w:r>
            <w:r>
              <w:rPr>
                <w:rFonts w:hint="eastAsia" w:asciiTheme="minorEastAsia" w:hAnsiTheme="minorEastAsia" w:eastAsiaTheme="minorEastAsia" w:cstheme="minorEastAsia"/>
                <w:color w:val="000000"/>
                <w:kern w:val="0"/>
                <w:sz w:val="21"/>
                <w:szCs w:val="21"/>
                <w:lang w:eastAsia="zh-CN"/>
              </w:rPr>
              <w:t>水利局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660" w:hRule="atLeast"/>
          <w:jc w:val="center"/>
        </w:trPr>
        <w:tc>
          <w:tcPr>
            <w:tcW w:w="51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供水工程建设方案审查</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《重庆市城市供水节水管理条例》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区</w:t>
            </w:r>
            <w:r>
              <w:rPr>
                <w:rFonts w:hint="eastAsia" w:asciiTheme="minorEastAsia" w:hAnsiTheme="minorEastAsia" w:eastAsiaTheme="minorEastAsia" w:cstheme="minorEastAsia"/>
                <w:color w:val="000000"/>
                <w:kern w:val="0"/>
                <w:sz w:val="21"/>
                <w:szCs w:val="21"/>
                <w:lang w:eastAsia="zh-CN"/>
              </w:rPr>
              <w:t>水利局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765"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城镇污水排入排水管网许可</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《城镇排水与污水处理条例》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区住房城乡建委</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600" w:hRule="atLeast"/>
          <w:jc w:val="center"/>
        </w:trPr>
        <w:tc>
          <w:tcPr>
            <w:tcW w:w="515"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因工程建设需要拆除、改动、迁移排水与污水处理设施审核</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cstheme="minorEastAsia"/>
                <w:color w:val="000000"/>
                <w:kern w:val="0"/>
                <w:sz w:val="21"/>
                <w:szCs w:val="21"/>
                <w:lang w:eastAsia="zh-CN"/>
              </w:rPr>
              <w:t>城镇排水与污水处理条例</w:t>
            </w:r>
            <w:r>
              <w:rPr>
                <w:rFonts w:hint="eastAsia" w:asciiTheme="minorEastAsia" w:hAnsiTheme="minorEastAsia" w:eastAsiaTheme="minorEastAsia" w:cstheme="minorEastAsia"/>
                <w:color w:val="000000"/>
                <w:kern w:val="0"/>
                <w:sz w:val="21"/>
                <w:szCs w:val="21"/>
              </w:rPr>
              <w:t>》</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区住房城乡建委</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1723" w:hRule="atLeast"/>
          <w:jc w:val="center"/>
        </w:trPr>
        <w:tc>
          <w:tcPr>
            <w:tcW w:w="5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城镇排水与污水处理规划范围内有关建设项目建设工程规划许可审核</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cstheme="minorEastAsia"/>
                <w:color w:val="000000"/>
                <w:kern w:val="0"/>
                <w:sz w:val="21"/>
                <w:szCs w:val="21"/>
                <w:lang w:eastAsia="zh-CN"/>
              </w:rPr>
              <w:t>城镇排水与污水处理条例</w:t>
            </w:r>
            <w:r>
              <w:rPr>
                <w:rFonts w:hint="eastAsia" w:asciiTheme="minorEastAsia" w:hAnsiTheme="minorEastAsia" w:eastAsiaTheme="minorEastAsia" w:cstheme="minorEastAsia"/>
                <w:color w:val="000000"/>
                <w:kern w:val="0"/>
                <w:sz w:val="21"/>
                <w:szCs w:val="21"/>
              </w:rPr>
              <w:t>》</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区住房城乡建委</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885"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城市园林绿化管理</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建设项目涉及园林绿地指标事项审查</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1.《城市绿化条例》；                                    2.《重庆市</w:t>
            </w:r>
            <w:r>
              <w:rPr>
                <w:rFonts w:hint="eastAsia" w:asciiTheme="minorEastAsia" w:hAnsiTheme="minorEastAsia" w:eastAsiaTheme="minorEastAsia" w:cstheme="minorEastAsia"/>
                <w:color w:val="000000"/>
                <w:kern w:val="0"/>
                <w:sz w:val="21"/>
                <w:szCs w:val="21"/>
                <w:lang w:eastAsia="zh-CN"/>
              </w:rPr>
              <w:t>城市</w:t>
            </w:r>
            <w:r>
              <w:rPr>
                <w:rFonts w:hint="eastAsia" w:asciiTheme="minorEastAsia" w:hAnsiTheme="minorEastAsia" w:eastAsiaTheme="minorEastAsia" w:cstheme="minorEastAsia"/>
                <w:color w:val="000000"/>
                <w:kern w:val="0"/>
                <w:sz w:val="21"/>
                <w:szCs w:val="21"/>
              </w:rPr>
              <w:t>园林绿化条例》；                                             3.《重庆市人民政府关于印发重庆市工程建设项目审批制度改革试点实施方案的通知》。</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93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工程建设涉及城市绿地、树木审批</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1.《国务院对确需保留的行政审批项目设定行政许可的决定》；                                           2.《城市绿化条例》；                                    3.《重庆市城市园林绿化条例》。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区城市管理局</w:t>
            </w:r>
            <w:r>
              <w:rPr>
                <w:rFonts w:hint="eastAsia" w:asciiTheme="minorEastAsia" w:hAnsiTheme="minorEastAsia" w:cstheme="minorEastAsia"/>
                <w:color w:val="000000"/>
                <w:kern w:val="0"/>
                <w:sz w:val="21"/>
                <w:szCs w:val="21"/>
                <w:lang w:eastAsia="zh-CN"/>
              </w:rPr>
              <w:t>、</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高新区管委会</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64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公园内举办大型游乐、展览等活动审批</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《重庆市公园管理条例》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305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市容环卫管理</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城市建筑垃圾处置核准</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1.《国务院对确需保留的行政审批项目设定行政许可的决定》；                   2.《城市建筑垃圾管理规定》。</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76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非主干道临时占道经营许可</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《重庆市市容环境卫生管理条例》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1723"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户外广告管理</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7"/>
              </w:tabs>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设置大型户外广告及在城市建筑物、设施上悬挂、张贴宣传品审批</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《城市市容和环境卫生管理条例》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3020"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临时户外广告设置许可</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《重庆市户外广告管理条例》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600" w:hRule="atLeast"/>
          <w:jc w:val="center"/>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市政设施建设管理</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关闭、闲置、拆除城市环卫设施许可</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1.《中华人民共和国固体废物污染环境防治法》；                           2.《城市市容和环境卫生管理条例》。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8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市政设施建设类审批</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1.《城市道路管理条例》；                                              2.《国务院对确需保留的行政审批项目设定行政许可的决定》；                                                   3.《国务院关于印发清理规范投资项目报建审批事项实施方案的通知》。</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区城市管理局</w:t>
            </w:r>
            <w:r>
              <w:rPr>
                <w:rFonts w:hint="eastAsia" w:asciiTheme="minorEastAsia" w:hAnsiTheme="minorEastAsia" w:cstheme="minorEastAsia"/>
                <w:color w:val="000000"/>
                <w:kern w:val="0"/>
                <w:sz w:val="21"/>
                <w:szCs w:val="21"/>
                <w:lang w:eastAsia="zh-CN"/>
              </w:rPr>
              <w:t>、</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高新区管委会</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294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特殊车辆在城市道路上行驶（包括经过城市桥梁）审批</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《城市道路管理条例》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区城市管理局</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3485" w:hRule="atLeast"/>
          <w:jc w:val="center"/>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占用、迁移、拆除城市道路照明设施审核</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《重庆市市政设施管理条例》</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区城市管理局</w:t>
            </w:r>
            <w:r>
              <w:rPr>
                <w:rFonts w:hint="eastAsia" w:asciiTheme="minorEastAsia" w:hAnsiTheme="minorEastAsia" w:cstheme="minorEastAsia"/>
                <w:color w:val="000000"/>
                <w:kern w:val="0"/>
                <w:sz w:val="21"/>
                <w:szCs w:val="21"/>
                <w:lang w:eastAsia="zh-CN"/>
              </w:rPr>
              <w:t>、</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val="en-US" w:eastAsia="zh-CN"/>
              </w:rPr>
              <w:t>高新区管委会</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r>
        <w:tblPrEx>
          <w:tblCellMar>
            <w:top w:w="0" w:type="dxa"/>
            <w:left w:w="108" w:type="dxa"/>
            <w:bottom w:w="0" w:type="dxa"/>
            <w:right w:w="108" w:type="dxa"/>
          </w:tblCellMar>
        </w:tblPrEx>
        <w:trPr>
          <w:trHeight w:val="487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市政设施建设管理</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危及市政公用设施安全的建设项目规划审查</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2.申请材料；</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3.申请流程；</w:t>
            </w:r>
          </w:p>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4.法定依据。</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1.《重庆市市政设施管理条例》；                        2.《重庆市建设领域行政审批制度改革试点方案》。</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制定或获取信息之日起20个工作日内</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区城市管理局</w:t>
            </w:r>
          </w:p>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p>
        </w:tc>
        <w:tc>
          <w:tcPr>
            <w:tcW w:w="3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（电子屏）                                                                                                                                                                                          □精准推送    □其他</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c>
          <w:tcPr>
            <w:tcW w:w="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000000"/>
                <w:kern w:val="0"/>
                <w:sz w:val="21"/>
                <w:szCs w:val="21"/>
              </w:rPr>
            </w:pPr>
          </w:p>
        </w:tc>
      </w:tr>
    </w:tbl>
    <w:p>
      <w:pPr>
        <w:pStyle w:val="2"/>
        <w:rPr>
          <w:rFonts w:hint="eastAsia"/>
          <w:lang w:eastAsia="zh-CN"/>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Noto Sans Mono CJK JP Regular">
    <w:panose1 w:val="020B0500000000000000"/>
    <w:charset w:val="86"/>
    <w:family w:val="swiss"/>
    <w:pitch w:val="default"/>
    <w:sig w:usb0="30000003" w:usb1="2BDF3C10" w:usb2="00000016" w:usb3="00000000" w:csb0="602E0107" w:csb1="00000000"/>
  </w:font>
  <w:font w:name="等线">
    <w:altName w:val="汉仪仿宋S"/>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altName w:val="方正书宋_GBK"/>
    <w:panose1 w:val="02020509000000000000"/>
    <w:charset w:val="88"/>
    <w:family w:val="modern"/>
    <w:pitch w:val="default"/>
    <w:sig w:usb0="00000000" w:usb1="00000000"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12779"/>
    <w:multiLevelType w:val="singleLevel"/>
    <w:tmpl w:val="5F112779"/>
    <w:lvl w:ilvl="0" w:tentative="0">
      <w:start w:val="1"/>
      <w:numFmt w:val="decimal"/>
      <w:suff w:val="nothing"/>
      <w:lvlText w:val="%1."/>
      <w:lvlJc w:val="left"/>
    </w:lvl>
  </w:abstractNum>
  <w:abstractNum w:abstractNumId="1">
    <w:nsid w:val="5F150311"/>
    <w:multiLevelType w:val="singleLevel"/>
    <w:tmpl w:val="5F1503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1554CD0"/>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AD66983"/>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6</TotalTime>
  <ScaleCrop>false</ScaleCrop>
  <LinksUpToDate>false</LinksUpToDate>
  <CharactersWithSpaces>5315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2020-06-11T08:18:00Z</dcterms:created>
  <dc:creator>dzb</dc:creator>
  <cp:lastModifiedBy>oiioh</cp:lastModifiedBy>
  <cp:lastPrinted>2020-08-29T07:31:00Z</cp:lastPrinted>
  <dcterms:modified xsi:type="dcterms:W3CDTF">2024-04-16T15:42:56Z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