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B044B">
      <w:pPr>
        <w:spacing w:line="360" w:lineRule="auto"/>
        <w:jc w:val="center"/>
        <w:rPr>
          <w:rFonts w:ascii="Arial Narrow" w:hAnsi="Arial Narrow"/>
          <w:b/>
          <w:bCs/>
          <w:sz w:val="36"/>
          <w:szCs w:val="36"/>
        </w:rPr>
      </w:pPr>
    </w:p>
    <w:p w14:paraId="1C26F135">
      <w:pPr>
        <w:spacing w:line="360" w:lineRule="auto"/>
        <w:jc w:val="center"/>
        <w:rPr>
          <w:rFonts w:ascii="Arial Narrow" w:hAnsi="Arial Narrow"/>
          <w:b/>
          <w:bCs/>
          <w:sz w:val="36"/>
          <w:szCs w:val="36"/>
        </w:rPr>
      </w:pPr>
    </w:p>
    <w:p w14:paraId="50D3077C">
      <w:pPr>
        <w:spacing w:line="360" w:lineRule="auto"/>
        <w:jc w:val="center"/>
        <w:rPr>
          <w:rFonts w:ascii="Arial Narrow" w:hAnsi="Arial Narrow"/>
          <w:b/>
          <w:bCs/>
          <w:sz w:val="36"/>
          <w:szCs w:val="36"/>
        </w:rPr>
      </w:pPr>
    </w:p>
    <w:p w14:paraId="434DB424">
      <w:pPr>
        <w:spacing w:line="360" w:lineRule="auto"/>
        <w:jc w:val="center"/>
        <w:rPr>
          <w:rFonts w:ascii="Arial Narrow" w:hAnsi="Arial Narrow"/>
          <w:b/>
          <w:bCs/>
          <w:sz w:val="36"/>
          <w:szCs w:val="36"/>
        </w:rPr>
      </w:pPr>
    </w:p>
    <w:p w14:paraId="0C683A45">
      <w:pPr>
        <w:adjustRightInd w:val="0"/>
        <w:snapToGrid w:val="0"/>
        <w:spacing w:line="360" w:lineRule="auto"/>
        <w:jc w:val="center"/>
        <w:rPr>
          <w:rFonts w:ascii="Arial Narrow" w:hAnsi="Arial Narrow" w:eastAsia="仿宋"/>
          <w:b/>
          <w:sz w:val="36"/>
          <w:szCs w:val="36"/>
        </w:rPr>
      </w:pPr>
      <w:r>
        <w:rPr>
          <w:rFonts w:hint="eastAsia" w:ascii="Arial Narrow" w:hAnsi="Arial Narrow" w:eastAsia="仿宋"/>
          <w:b/>
          <w:sz w:val="36"/>
          <w:szCs w:val="36"/>
        </w:rPr>
        <w:t>铜梁区太平水厂工程（一期）项目</w:t>
      </w:r>
    </w:p>
    <w:p w14:paraId="559236B2">
      <w:pPr>
        <w:adjustRightInd w:val="0"/>
        <w:snapToGrid w:val="0"/>
        <w:spacing w:line="360" w:lineRule="auto"/>
        <w:jc w:val="center"/>
        <w:rPr>
          <w:rFonts w:ascii="Arial Narrow" w:hAnsi="Arial Narrow"/>
          <w:b/>
          <w:spacing w:val="100"/>
          <w:sz w:val="32"/>
          <w:szCs w:val="32"/>
        </w:rPr>
      </w:pPr>
    </w:p>
    <w:p w14:paraId="7D61E3C5">
      <w:pPr>
        <w:adjustRightInd w:val="0"/>
        <w:snapToGrid w:val="0"/>
        <w:spacing w:line="360" w:lineRule="auto"/>
        <w:jc w:val="center"/>
        <w:rPr>
          <w:rFonts w:ascii="Arial Narrow" w:hAnsi="Arial Narrow"/>
          <w:b/>
          <w:sz w:val="36"/>
          <w:szCs w:val="36"/>
        </w:rPr>
      </w:pPr>
    </w:p>
    <w:p w14:paraId="1B742208">
      <w:pPr>
        <w:adjustRightInd w:val="0"/>
        <w:snapToGrid w:val="0"/>
        <w:spacing w:line="360" w:lineRule="auto"/>
        <w:jc w:val="center"/>
        <w:rPr>
          <w:rFonts w:ascii="Arial Narrow" w:hAnsi="Arial Narrow"/>
          <w:b/>
          <w:spacing w:val="100"/>
          <w:sz w:val="32"/>
          <w:szCs w:val="32"/>
        </w:rPr>
      </w:pPr>
    </w:p>
    <w:p w14:paraId="40012BC4">
      <w:pPr>
        <w:adjustRightInd w:val="0"/>
        <w:snapToGrid w:val="0"/>
        <w:spacing w:line="360" w:lineRule="auto"/>
        <w:jc w:val="center"/>
        <w:rPr>
          <w:rFonts w:ascii="Arial Narrow" w:hAnsi="Arial Narrow"/>
          <w:b/>
          <w:spacing w:val="100"/>
          <w:sz w:val="32"/>
          <w:szCs w:val="32"/>
        </w:rPr>
      </w:pPr>
    </w:p>
    <w:p w14:paraId="53FF5C59">
      <w:pPr>
        <w:tabs>
          <w:tab w:val="center" w:pos="4393"/>
          <w:tab w:val="left" w:pos="7258"/>
        </w:tabs>
        <w:adjustRightInd w:val="0"/>
        <w:snapToGrid w:val="0"/>
        <w:spacing w:line="360" w:lineRule="auto"/>
        <w:jc w:val="center"/>
        <w:rPr>
          <w:rFonts w:ascii="Arial Narrow" w:hAnsi="Arial Narrow" w:eastAsia="仿宋"/>
          <w:b/>
          <w:w w:val="102"/>
          <w:sz w:val="44"/>
          <w:szCs w:val="44"/>
        </w:rPr>
      </w:pPr>
      <w:r>
        <w:rPr>
          <w:rFonts w:ascii="Arial Narrow" w:hAnsi="Arial Narrow" w:eastAsia="仿宋"/>
          <w:b/>
          <w:w w:val="102"/>
          <w:sz w:val="44"/>
          <w:szCs w:val="44"/>
        </w:rPr>
        <w:t>绩效评价</w:t>
      </w:r>
      <w:bookmarkStart w:id="0" w:name="_Toc488804777"/>
      <w:bookmarkStart w:id="1" w:name="_Toc488637980"/>
      <w:r>
        <w:rPr>
          <w:rFonts w:ascii="Arial Narrow" w:hAnsi="Arial Narrow" w:eastAsia="仿宋"/>
          <w:b/>
          <w:w w:val="102"/>
          <w:sz w:val="44"/>
          <w:szCs w:val="44"/>
        </w:rPr>
        <w:t>报告</w:t>
      </w:r>
    </w:p>
    <w:p w14:paraId="67A080AD">
      <w:pPr>
        <w:spacing w:line="360" w:lineRule="auto"/>
        <w:jc w:val="center"/>
        <w:rPr>
          <w:rFonts w:ascii="Arial Narrow" w:hAnsi="Arial Narrow" w:eastAsia="仿宋"/>
          <w:bCs/>
          <w:sz w:val="32"/>
          <w:szCs w:val="32"/>
        </w:rPr>
      </w:pPr>
      <w:r>
        <w:rPr>
          <w:rFonts w:ascii="Arial Narrow" w:hAnsi="Arial Narrow" w:eastAsia="仿宋"/>
          <w:bCs/>
          <w:sz w:val="32"/>
          <w:szCs w:val="32"/>
        </w:rPr>
        <w:t>铭鸿</w:t>
      </w:r>
      <w:r>
        <w:rPr>
          <w:rFonts w:hint="eastAsia" w:ascii="Arial Narrow" w:hAnsi="Arial Narrow" w:eastAsia="仿宋"/>
          <w:bCs/>
          <w:sz w:val="32"/>
          <w:szCs w:val="32"/>
        </w:rPr>
        <w:t>咨字</w:t>
      </w:r>
      <w:r>
        <w:rPr>
          <w:rFonts w:ascii="Arial Narrow" w:hAnsi="Arial Narrow" w:eastAsia="仿宋"/>
          <w:bCs/>
          <w:sz w:val="32"/>
          <w:szCs w:val="32"/>
        </w:rPr>
        <w:t>【2024】第</w:t>
      </w:r>
      <w:r>
        <w:rPr>
          <w:rFonts w:hint="eastAsia" w:ascii="Arial Narrow" w:hAnsi="Arial Narrow" w:eastAsia="仿宋"/>
          <w:bCs/>
          <w:sz w:val="32"/>
          <w:szCs w:val="32"/>
        </w:rPr>
        <w:t>0043</w:t>
      </w:r>
      <w:r>
        <w:rPr>
          <w:rFonts w:ascii="Arial Narrow" w:hAnsi="Arial Narrow" w:eastAsia="仿宋"/>
          <w:bCs/>
          <w:sz w:val="32"/>
          <w:szCs w:val="32"/>
        </w:rPr>
        <w:t>号</w:t>
      </w:r>
    </w:p>
    <w:p w14:paraId="0B6D0838">
      <w:pPr>
        <w:adjustRightInd w:val="0"/>
        <w:snapToGrid w:val="0"/>
        <w:spacing w:line="360" w:lineRule="auto"/>
        <w:jc w:val="center"/>
        <w:rPr>
          <w:rFonts w:ascii="Arial Narrow" w:hAnsi="Arial Narrow"/>
          <w:b/>
          <w:spacing w:val="100"/>
          <w:sz w:val="32"/>
          <w:szCs w:val="32"/>
        </w:rPr>
      </w:pPr>
    </w:p>
    <w:p w14:paraId="72DC50F6">
      <w:pPr>
        <w:adjustRightInd w:val="0"/>
        <w:snapToGrid w:val="0"/>
        <w:spacing w:line="360" w:lineRule="auto"/>
        <w:jc w:val="center"/>
        <w:rPr>
          <w:rFonts w:ascii="Arial Narrow" w:hAnsi="Arial Narrow"/>
          <w:b/>
          <w:spacing w:val="100"/>
          <w:sz w:val="32"/>
          <w:szCs w:val="32"/>
        </w:rPr>
      </w:pPr>
    </w:p>
    <w:p w14:paraId="42C098A1">
      <w:pPr>
        <w:adjustRightInd w:val="0"/>
        <w:snapToGrid w:val="0"/>
        <w:spacing w:line="360" w:lineRule="auto"/>
        <w:jc w:val="center"/>
        <w:rPr>
          <w:rFonts w:ascii="Arial Narrow" w:hAnsi="Arial Narrow"/>
          <w:b/>
          <w:spacing w:val="100"/>
          <w:sz w:val="32"/>
          <w:szCs w:val="32"/>
        </w:rPr>
      </w:pPr>
    </w:p>
    <w:p w14:paraId="3B7E8000">
      <w:pPr>
        <w:adjustRightInd w:val="0"/>
        <w:snapToGrid w:val="0"/>
        <w:spacing w:line="360" w:lineRule="auto"/>
        <w:jc w:val="center"/>
        <w:rPr>
          <w:rFonts w:ascii="Arial Narrow" w:hAnsi="Arial Narrow"/>
          <w:b/>
          <w:spacing w:val="100"/>
          <w:sz w:val="32"/>
          <w:szCs w:val="32"/>
        </w:rPr>
      </w:pPr>
    </w:p>
    <w:p w14:paraId="4C1491F0">
      <w:pPr>
        <w:adjustRightInd w:val="0"/>
        <w:snapToGrid w:val="0"/>
        <w:spacing w:line="360" w:lineRule="auto"/>
        <w:jc w:val="center"/>
        <w:rPr>
          <w:rFonts w:ascii="Arial Narrow" w:hAnsi="Arial Narrow"/>
          <w:b/>
          <w:spacing w:val="100"/>
          <w:sz w:val="32"/>
          <w:szCs w:val="32"/>
        </w:rPr>
      </w:pPr>
    </w:p>
    <w:p w14:paraId="64B084D1">
      <w:pPr>
        <w:adjustRightInd w:val="0"/>
        <w:snapToGrid w:val="0"/>
        <w:spacing w:line="360" w:lineRule="auto"/>
        <w:jc w:val="center"/>
        <w:rPr>
          <w:rFonts w:ascii="Arial Narrow" w:hAnsi="Arial Narrow"/>
          <w:b/>
          <w:spacing w:val="100"/>
          <w:sz w:val="32"/>
          <w:szCs w:val="32"/>
        </w:rPr>
      </w:pPr>
    </w:p>
    <w:p w14:paraId="6DD6FF43">
      <w:pPr>
        <w:adjustRightInd w:val="0"/>
        <w:snapToGrid w:val="0"/>
        <w:spacing w:line="360" w:lineRule="auto"/>
        <w:jc w:val="center"/>
        <w:rPr>
          <w:rFonts w:ascii="Arial Narrow" w:hAnsi="Arial Narrow"/>
          <w:b/>
          <w:spacing w:val="100"/>
          <w:sz w:val="32"/>
          <w:szCs w:val="32"/>
        </w:rPr>
      </w:pPr>
    </w:p>
    <w:p w14:paraId="1DE1C16C">
      <w:pPr>
        <w:spacing w:line="360" w:lineRule="auto"/>
        <w:jc w:val="center"/>
        <w:rPr>
          <w:rFonts w:ascii="Arial Narrow" w:hAnsi="Arial Narrow" w:eastAsia="仿宋"/>
          <w:sz w:val="32"/>
          <w:szCs w:val="32"/>
        </w:rPr>
      </w:pPr>
      <w:r>
        <w:rPr>
          <w:rFonts w:ascii="Arial Narrow" w:hAnsi="Arial Narrow" w:eastAsia="仿宋"/>
          <w:sz w:val="32"/>
          <w:szCs w:val="32"/>
        </w:rPr>
        <w:t>重庆铭鸿金全会计师事务所有限公司</w:t>
      </w:r>
    </w:p>
    <w:p w14:paraId="22911A66">
      <w:pPr>
        <w:spacing w:line="360" w:lineRule="auto"/>
        <w:jc w:val="center"/>
        <w:rPr>
          <w:rFonts w:ascii="Arial Narrow" w:hAnsi="Arial Narrow"/>
          <w:sz w:val="44"/>
          <w:szCs w:val="44"/>
        </w:rPr>
      </w:pPr>
      <w:r>
        <w:rPr>
          <w:rFonts w:ascii="Arial Narrow" w:hAnsi="Arial Narrow" w:eastAsia="仿宋"/>
          <w:sz w:val="32"/>
          <w:szCs w:val="32"/>
        </w:rPr>
        <w:t>二</w:t>
      </w:r>
      <w:r>
        <w:rPr>
          <w:rFonts w:hint="eastAsia" w:ascii="Arial Narrow" w:hAnsi="Arial Narrow" w:eastAsia="仿宋"/>
          <w:sz w:val="32"/>
          <w:szCs w:val="32"/>
          <w:lang w:val="en-US" w:eastAsia="zh-CN"/>
        </w:rPr>
        <w:t>〇</w:t>
      </w:r>
      <w:r>
        <w:rPr>
          <w:rFonts w:ascii="Arial Narrow" w:hAnsi="Arial Narrow" w:eastAsia="仿宋"/>
          <w:sz w:val="32"/>
          <w:szCs w:val="32"/>
        </w:rPr>
        <w:t>二</w:t>
      </w:r>
      <w:r>
        <w:rPr>
          <w:rFonts w:hint="eastAsia" w:ascii="Arial Narrow" w:hAnsi="Arial Narrow" w:eastAsia="仿宋"/>
          <w:sz w:val="32"/>
          <w:szCs w:val="32"/>
          <w:lang w:val="en-US" w:eastAsia="zh-CN"/>
        </w:rPr>
        <w:t>四</w:t>
      </w:r>
      <w:r>
        <w:rPr>
          <w:rFonts w:ascii="Arial Narrow" w:hAnsi="Arial Narrow" w:eastAsia="仿宋"/>
          <w:sz w:val="32"/>
          <w:szCs w:val="32"/>
        </w:rPr>
        <w:t>年</w:t>
      </w:r>
      <w:r>
        <w:rPr>
          <w:rFonts w:hint="eastAsia" w:ascii="Arial Narrow" w:hAnsi="Arial Narrow" w:eastAsia="仿宋"/>
          <w:sz w:val="32"/>
          <w:szCs w:val="32"/>
        </w:rPr>
        <w:t>六</w:t>
      </w:r>
      <w:r>
        <w:rPr>
          <w:rFonts w:ascii="Arial Narrow" w:hAnsi="Arial Narrow" w:eastAsia="仿宋"/>
          <w:sz w:val="32"/>
          <w:szCs w:val="32"/>
        </w:rPr>
        <w:t>月</w:t>
      </w:r>
      <w:r>
        <w:rPr>
          <w:rFonts w:ascii="Arial Narrow" w:hAnsi="Arial Narrow"/>
          <w:b/>
          <w:spacing w:val="100"/>
          <w:sz w:val="52"/>
          <w:szCs w:val="52"/>
        </w:rPr>
        <w:br w:type="page"/>
      </w:r>
      <w:bookmarkEnd w:id="0"/>
      <w:bookmarkEnd w:id="1"/>
      <w:r>
        <w:rPr>
          <w:rFonts w:ascii="Arial Narrow" w:hAnsi="Arial Narrow"/>
          <w:sz w:val="44"/>
          <w:szCs w:val="44"/>
        </w:rPr>
        <w:t>目   录</w:t>
      </w:r>
    </w:p>
    <w:p w14:paraId="2E07E188">
      <w:pPr>
        <w:spacing w:line="360" w:lineRule="auto"/>
        <w:jc w:val="center"/>
        <w:rPr>
          <w:rFonts w:ascii="Arial Narrow" w:hAnsi="Arial Narrow"/>
          <w:sz w:val="24"/>
        </w:rPr>
      </w:pPr>
    </w:p>
    <w:p w14:paraId="518EA5B6">
      <w:pPr>
        <w:pStyle w:val="6"/>
        <w:tabs>
          <w:tab w:val="right" w:leader="dot" w:pos="8788"/>
          <w:tab w:val="clear" w:pos="8778"/>
        </w:tabs>
        <w:rPr>
          <w:b w:val="0"/>
          <w:bCs w:val="0"/>
        </w:rPr>
      </w:pPr>
      <w:r>
        <w:rPr>
          <w:rStyle w:val="10"/>
          <w:b w:val="0"/>
          <w:bCs w:val="0"/>
          <w:color w:val="auto"/>
          <w:u w:val="none"/>
        </w:rPr>
        <w:fldChar w:fldCharType="begin"/>
      </w:r>
      <w:r>
        <w:rPr>
          <w:rStyle w:val="10"/>
          <w:rFonts w:ascii="仿宋" w:hAnsi="仿宋" w:eastAsia="仿宋"/>
          <w:b w:val="0"/>
          <w:bCs w:val="0"/>
          <w:color w:val="auto"/>
          <w:szCs w:val="21"/>
          <w:u w:val="none"/>
        </w:rPr>
        <w:instrText xml:space="preserve"> TOC \o "1-3" \h \z \u </w:instrText>
      </w:r>
      <w:r>
        <w:rPr>
          <w:rStyle w:val="10"/>
          <w:b w:val="0"/>
          <w:bCs w:val="0"/>
          <w:color w:val="auto"/>
          <w:u w:val="none"/>
        </w:rPr>
        <w:fldChar w:fldCharType="separate"/>
      </w:r>
      <w:r>
        <w:fldChar w:fldCharType="begin"/>
      </w:r>
      <w:r>
        <w:instrText xml:space="preserve"> HYPERLINK \l "_Toc30848" </w:instrText>
      </w:r>
      <w:r>
        <w:fldChar w:fldCharType="separate"/>
      </w:r>
      <w:r>
        <w:rPr>
          <w:b w:val="0"/>
          <w:bCs w:val="0"/>
        </w:rPr>
        <w:t>一、基本情况</w:t>
      </w:r>
      <w:r>
        <w:rPr>
          <w:b w:val="0"/>
          <w:bCs w:val="0"/>
        </w:rPr>
        <w:tab/>
      </w:r>
      <w:r>
        <w:rPr>
          <w:b w:val="0"/>
          <w:bCs w:val="0"/>
        </w:rPr>
        <w:fldChar w:fldCharType="begin"/>
      </w:r>
      <w:r>
        <w:rPr>
          <w:b w:val="0"/>
          <w:bCs w:val="0"/>
        </w:rPr>
        <w:instrText xml:space="preserve"> PAGEREF _Toc30848 \h </w:instrText>
      </w:r>
      <w:r>
        <w:rPr>
          <w:b w:val="0"/>
          <w:bCs w:val="0"/>
        </w:rPr>
        <w:fldChar w:fldCharType="separate"/>
      </w:r>
      <w:r>
        <w:rPr>
          <w:b w:val="0"/>
          <w:bCs w:val="0"/>
        </w:rPr>
        <w:t>1</w:t>
      </w:r>
      <w:r>
        <w:rPr>
          <w:b w:val="0"/>
          <w:bCs w:val="0"/>
        </w:rPr>
        <w:fldChar w:fldCharType="end"/>
      </w:r>
      <w:r>
        <w:rPr>
          <w:b w:val="0"/>
          <w:bCs w:val="0"/>
        </w:rPr>
        <w:fldChar w:fldCharType="end"/>
      </w:r>
    </w:p>
    <w:p w14:paraId="280492C0">
      <w:pPr>
        <w:pStyle w:val="6"/>
        <w:tabs>
          <w:tab w:val="right" w:leader="dot" w:pos="8788"/>
          <w:tab w:val="clear" w:pos="8778"/>
        </w:tabs>
        <w:rPr>
          <w:b w:val="0"/>
          <w:bCs w:val="0"/>
        </w:rPr>
      </w:pPr>
      <w:r>
        <w:fldChar w:fldCharType="begin"/>
      </w:r>
      <w:r>
        <w:instrText xml:space="preserve"> HYPERLINK \l "_Toc7430" </w:instrText>
      </w:r>
      <w:r>
        <w:fldChar w:fldCharType="separate"/>
      </w:r>
      <w:r>
        <w:rPr>
          <w:rFonts w:hint="eastAsia"/>
          <w:b w:val="0"/>
          <w:bCs w:val="0"/>
        </w:rPr>
        <w:t>（一）项目概况</w:t>
      </w:r>
      <w:r>
        <w:rPr>
          <w:b w:val="0"/>
          <w:bCs w:val="0"/>
        </w:rPr>
        <w:tab/>
      </w:r>
      <w:r>
        <w:rPr>
          <w:b w:val="0"/>
          <w:bCs w:val="0"/>
        </w:rPr>
        <w:fldChar w:fldCharType="begin"/>
      </w:r>
      <w:r>
        <w:rPr>
          <w:b w:val="0"/>
          <w:bCs w:val="0"/>
        </w:rPr>
        <w:instrText xml:space="preserve"> PAGEREF _Toc7430 \h </w:instrText>
      </w:r>
      <w:r>
        <w:rPr>
          <w:b w:val="0"/>
          <w:bCs w:val="0"/>
        </w:rPr>
        <w:fldChar w:fldCharType="separate"/>
      </w:r>
      <w:r>
        <w:rPr>
          <w:b w:val="0"/>
          <w:bCs w:val="0"/>
        </w:rPr>
        <w:t>1</w:t>
      </w:r>
      <w:r>
        <w:rPr>
          <w:b w:val="0"/>
          <w:bCs w:val="0"/>
        </w:rPr>
        <w:fldChar w:fldCharType="end"/>
      </w:r>
      <w:r>
        <w:rPr>
          <w:b w:val="0"/>
          <w:bCs w:val="0"/>
        </w:rPr>
        <w:fldChar w:fldCharType="end"/>
      </w:r>
    </w:p>
    <w:p w14:paraId="3972D5E6">
      <w:pPr>
        <w:pStyle w:val="6"/>
        <w:tabs>
          <w:tab w:val="right" w:leader="dot" w:pos="8788"/>
          <w:tab w:val="clear" w:pos="8778"/>
        </w:tabs>
        <w:rPr>
          <w:b w:val="0"/>
          <w:bCs w:val="0"/>
        </w:rPr>
      </w:pPr>
      <w:r>
        <w:fldChar w:fldCharType="begin"/>
      </w:r>
      <w:r>
        <w:instrText xml:space="preserve"> HYPERLINK \l "_Toc6781" </w:instrText>
      </w:r>
      <w:r>
        <w:fldChar w:fldCharType="separate"/>
      </w:r>
      <w:r>
        <w:rPr>
          <w:rFonts w:hint="eastAsia"/>
          <w:b w:val="0"/>
          <w:bCs w:val="0"/>
        </w:rPr>
        <w:t>（二）项目内容及实施情况</w:t>
      </w:r>
      <w:r>
        <w:rPr>
          <w:b w:val="0"/>
          <w:bCs w:val="0"/>
        </w:rPr>
        <w:tab/>
      </w:r>
      <w:r>
        <w:rPr>
          <w:b w:val="0"/>
          <w:bCs w:val="0"/>
        </w:rPr>
        <w:fldChar w:fldCharType="begin"/>
      </w:r>
      <w:r>
        <w:rPr>
          <w:b w:val="0"/>
          <w:bCs w:val="0"/>
        </w:rPr>
        <w:instrText xml:space="preserve"> PAGEREF _Toc6781 \h </w:instrText>
      </w:r>
      <w:r>
        <w:rPr>
          <w:b w:val="0"/>
          <w:bCs w:val="0"/>
        </w:rPr>
        <w:fldChar w:fldCharType="separate"/>
      </w:r>
      <w:r>
        <w:rPr>
          <w:b w:val="0"/>
          <w:bCs w:val="0"/>
        </w:rPr>
        <w:t>2</w:t>
      </w:r>
      <w:r>
        <w:rPr>
          <w:b w:val="0"/>
          <w:bCs w:val="0"/>
        </w:rPr>
        <w:fldChar w:fldCharType="end"/>
      </w:r>
      <w:r>
        <w:rPr>
          <w:b w:val="0"/>
          <w:bCs w:val="0"/>
        </w:rPr>
        <w:fldChar w:fldCharType="end"/>
      </w:r>
    </w:p>
    <w:p w14:paraId="249073F4">
      <w:pPr>
        <w:pStyle w:val="6"/>
        <w:tabs>
          <w:tab w:val="right" w:leader="dot" w:pos="8788"/>
          <w:tab w:val="clear" w:pos="8778"/>
        </w:tabs>
        <w:rPr>
          <w:b w:val="0"/>
          <w:bCs w:val="0"/>
        </w:rPr>
      </w:pPr>
      <w:r>
        <w:fldChar w:fldCharType="begin"/>
      </w:r>
      <w:r>
        <w:instrText xml:space="preserve"> HYPERLINK \l "_Toc12975" </w:instrText>
      </w:r>
      <w:r>
        <w:fldChar w:fldCharType="separate"/>
      </w:r>
      <w:r>
        <w:rPr>
          <w:rFonts w:hint="eastAsia"/>
          <w:b w:val="0"/>
          <w:bCs w:val="0"/>
        </w:rPr>
        <w:t xml:space="preserve">（三） </w:t>
      </w:r>
      <w:r>
        <w:rPr>
          <w:b w:val="0"/>
          <w:bCs w:val="0"/>
        </w:rPr>
        <w:t>资金投入及使用情况</w:t>
      </w:r>
      <w:r>
        <w:rPr>
          <w:b w:val="0"/>
          <w:bCs w:val="0"/>
        </w:rPr>
        <w:tab/>
      </w:r>
      <w:r>
        <w:rPr>
          <w:b w:val="0"/>
          <w:bCs w:val="0"/>
        </w:rPr>
        <w:fldChar w:fldCharType="begin"/>
      </w:r>
      <w:r>
        <w:rPr>
          <w:b w:val="0"/>
          <w:bCs w:val="0"/>
        </w:rPr>
        <w:instrText xml:space="preserve"> PAGEREF _Toc12975 \h </w:instrText>
      </w:r>
      <w:r>
        <w:rPr>
          <w:b w:val="0"/>
          <w:bCs w:val="0"/>
        </w:rPr>
        <w:fldChar w:fldCharType="separate"/>
      </w:r>
      <w:r>
        <w:rPr>
          <w:b w:val="0"/>
          <w:bCs w:val="0"/>
        </w:rPr>
        <w:t>3</w:t>
      </w:r>
      <w:r>
        <w:rPr>
          <w:b w:val="0"/>
          <w:bCs w:val="0"/>
        </w:rPr>
        <w:fldChar w:fldCharType="end"/>
      </w:r>
      <w:r>
        <w:rPr>
          <w:b w:val="0"/>
          <w:bCs w:val="0"/>
        </w:rPr>
        <w:fldChar w:fldCharType="end"/>
      </w:r>
    </w:p>
    <w:p w14:paraId="65DEA845">
      <w:pPr>
        <w:pStyle w:val="6"/>
        <w:tabs>
          <w:tab w:val="right" w:leader="dot" w:pos="8788"/>
          <w:tab w:val="clear" w:pos="8778"/>
        </w:tabs>
        <w:rPr>
          <w:b w:val="0"/>
          <w:bCs w:val="0"/>
        </w:rPr>
      </w:pPr>
      <w:r>
        <w:fldChar w:fldCharType="begin"/>
      </w:r>
      <w:r>
        <w:instrText xml:space="preserve"> HYPERLINK \l "_Toc840" </w:instrText>
      </w:r>
      <w:r>
        <w:fldChar w:fldCharType="separate"/>
      </w:r>
      <w:r>
        <w:rPr>
          <w:b w:val="0"/>
          <w:bCs w:val="0"/>
        </w:rPr>
        <w:t>二、绩效评价工作情况</w:t>
      </w:r>
      <w:r>
        <w:rPr>
          <w:b w:val="0"/>
          <w:bCs w:val="0"/>
        </w:rPr>
        <w:tab/>
      </w:r>
      <w:r>
        <w:rPr>
          <w:b w:val="0"/>
          <w:bCs w:val="0"/>
        </w:rPr>
        <w:fldChar w:fldCharType="begin"/>
      </w:r>
      <w:r>
        <w:rPr>
          <w:b w:val="0"/>
          <w:bCs w:val="0"/>
        </w:rPr>
        <w:instrText xml:space="preserve"> PAGEREF _Toc840 \h </w:instrText>
      </w:r>
      <w:r>
        <w:rPr>
          <w:b w:val="0"/>
          <w:bCs w:val="0"/>
        </w:rPr>
        <w:fldChar w:fldCharType="separate"/>
      </w:r>
      <w:r>
        <w:rPr>
          <w:b w:val="0"/>
          <w:bCs w:val="0"/>
        </w:rPr>
        <w:t>3</w:t>
      </w:r>
      <w:r>
        <w:rPr>
          <w:b w:val="0"/>
          <w:bCs w:val="0"/>
        </w:rPr>
        <w:fldChar w:fldCharType="end"/>
      </w:r>
      <w:r>
        <w:rPr>
          <w:b w:val="0"/>
          <w:bCs w:val="0"/>
        </w:rPr>
        <w:fldChar w:fldCharType="end"/>
      </w:r>
    </w:p>
    <w:p w14:paraId="349F00A2">
      <w:pPr>
        <w:pStyle w:val="6"/>
        <w:tabs>
          <w:tab w:val="right" w:leader="dot" w:pos="8788"/>
          <w:tab w:val="clear" w:pos="8778"/>
        </w:tabs>
        <w:rPr>
          <w:b w:val="0"/>
          <w:bCs w:val="0"/>
        </w:rPr>
      </w:pPr>
      <w:r>
        <w:fldChar w:fldCharType="begin"/>
      </w:r>
      <w:r>
        <w:instrText xml:space="preserve"> HYPERLINK \l "_Toc9505" </w:instrText>
      </w:r>
      <w:r>
        <w:fldChar w:fldCharType="separate"/>
      </w:r>
      <w:r>
        <w:rPr>
          <w:b w:val="0"/>
          <w:bCs w:val="0"/>
        </w:rPr>
        <w:t>（一）绩效评价目的</w:t>
      </w:r>
      <w:r>
        <w:rPr>
          <w:b w:val="0"/>
          <w:bCs w:val="0"/>
        </w:rPr>
        <w:tab/>
      </w:r>
      <w:r>
        <w:rPr>
          <w:b w:val="0"/>
          <w:bCs w:val="0"/>
        </w:rPr>
        <w:fldChar w:fldCharType="begin"/>
      </w:r>
      <w:r>
        <w:rPr>
          <w:b w:val="0"/>
          <w:bCs w:val="0"/>
        </w:rPr>
        <w:instrText xml:space="preserve"> PAGEREF _Toc9505 \h </w:instrText>
      </w:r>
      <w:r>
        <w:rPr>
          <w:b w:val="0"/>
          <w:bCs w:val="0"/>
        </w:rPr>
        <w:fldChar w:fldCharType="separate"/>
      </w:r>
      <w:r>
        <w:rPr>
          <w:b w:val="0"/>
          <w:bCs w:val="0"/>
        </w:rPr>
        <w:t>3</w:t>
      </w:r>
      <w:r>
        <w:rPr>
          <w:b w:val="0"/>
          <w:bCs w:val="0"/>
        </w:rPr>
        <w:fldChar w:fldCharType="end"/>
      </w:r>
      <w:r>
        <w:rPr>
          <w:b w:val="0"/>
          <w:bCs w:val="0"/>
        </w:rPr>
        <w:fldChar w:fldCharType="end"/>
      </w:r>
    </w:p>
    <w:p w14:paraId="7C076A88">
      <w:pPr>
        <w:pStyle w:val="6"/>
        <w:tabs>
          <w:tab w:val="right" w:leader="dot" w:pos="8788"/>
          <w:tab w:val="clear" w:pos="8778"/>
        </w:tabs>
        <w:rPr>
          <w:b w:val="0"/>
          <w:bCs w:val="0"/>
        </w:rPr>
      </w:pPr>
      <w:r>
        <w:fldChar w:fldCharType="begin"/>
      </w:r>
      <w:r>
        <w:instrText xml:space="preserve"> HYPERLINK \l "_Toc10005" </w:instrText>
      </w:r>
      <w:r>
        <w:fldChar w:fldCharType="separate"/>
      </w:r>
      <w:r>
        <w:rPr>
          <w:b w:val="0"/>
          <w:bCs w:val="0"/>
        </w:rPr>
        <w:t>（二）绩效评价的对象和范围</w:t>
      </w:r>
      <w:r>
        <w:rPr>
          <w:b w:val="0"/>
          <w:bCs w:val="0"/>
        </w:rPr>
        <w:tab/>
      </w:r>
      <w:r>
        <w:rPr>
          <w:b w:val="0"/>
          <w:bCs w:val="0"/>
        </w:rPr>
        <w:fldChar w:fldCharType="begin"/>
      </w:r>
      <w:r>
        <w:rPr>
          <w:b w:val="0"/>
          <w:bCs w:val="0"/>
        </w:rPr>
        <w:instrText xml:space="preserve"> PAGEREF _Toc10005 \h </w:instrText>
      </w:r>
      <w:r>
        <w:rPr>
          <w:b w:val="0"/>
          <w:bCs w:val="0"/>
        </w:rPr>
        <w:fldChar w:fldCharType="separate"/>
      </w:r>
      <w:r>
        <w:rPr>
          <w:b w:val="0"/>
          <w:bCs w:val="0"/>
        </w:rPr>
        <w:t>3</w:t>
      </w:r>
      <w:r>
        <w:rPr>
          <w:b w:val="0"/>
          <w:bCs w:val="0"/>
        </w:rPr>
        <w:fldChar w:fldCharType="end"/>
      </w:r>
      <w:r>
        <w:rPr>
          <w:b w:val="0"/>
          <w:bCs w:val="0"/>
        </w:rPr>
        <w:fldChar w:fldCharType="end"/>
      </w:r>
    </w:p>
    <w:p w14:paraId="5E2995D6">
      <w:pPr>
        <w:pStyle w:val="6"/>
        <w:tabs>
          <w:tab w:val="right" w:leader="dot" w:pos="8788"/>
          <w:tab w:val="clear" w:pos="8778"/>
        </w:tabs>
        <w:rPr>
          <w:b w:val="0"/>
          <w:bCs w:val="0"/>
        </w:rPr>
      </w:pPr>
      <w:r>
        <w:fldChar w:fldCharType="begin"/>
      </w:r>
      <w:r>
        <w:instrText xml:space="preserve"> HYPERLINK \l "_Toc17264" </w:instrText>
      </w:r>
      <w:r>
        <w:fldChar w:fldCharType="separate"/>
      </w:r>
      <w:r>
        <w:rPr>
          <w:b w:val="0"/>
          <w:bCs w:val="0"/>
        </w:rPr>
        <w:t>（三）绩效评价依据</w:t>
      </w:r>
      <w:r>
        <w:rPr>
          <w:b w:val="0"/>
          <w:bCs w:val="0"/>
        </w:rPr>
        <w:tab/>
      </w:r>
      <w:r>
        <w:rPr>
          <w:b w:val="0"/>
          <w:bCs w:val="0"/>
        </w:rPr>
        <w:fldChar w:fldCharType="begin"/>
      </w:r>
      <w:r>
        <w:rPr>
          <w:b w:val="0"/>
          <w:bCs w:val="0"/>
        </w:rPr>
        <w:instrText xml:space="preserve"> PAGEREF _Toc17264 \h </w:instrText>
      </w:r>
      <w:r>
        <w:rPr>
          <w:b w:val="0"/>
          <w:bCs w:val="0"/>
        </w:rPr>
        <w:fldChar w:fldCharType="separate"/>
      </w:r>
      <w:r>
        <w:rPr>
          <w:b w:val="0"/>
          <w:bCs w:val="0"/>
        </w:rPr>
        <w:t>4</w:t>
      </w:r>
      <w:r>
        <w:rPr>
          <w:b w:val="0"/>
          <w:bCs w:val="0"/>
        </w:rPr>
        <w:fldChar w:fldCharType="end"/>
      </w:r>
      <w:r>
        <w:rPr>
          <w:b w:val="0"/>
          <w:bCs w:val="0"/>
        </w:rPr>
        <w:fldChar w:fldCharType="end"/>
      </w:r>
    </w:p>
    <w:p w14:paraId="1DB886EE">
      <w:pPr>
        <w:pStyle w:val="6"/>
        <w:tabs>
          <w:tab w:val="right" w:leader="dot" w:pos="8788"/>
          <w:tab w:val="clear" w:pos="8778"/>
        </w:tabs>
        <w:rPr>
          <w:b w:val="0"/>
          <w:bCs w:val="0"/>
        </w:rPr>
      </w:pPr>
      <w:r>
        <w:fldChar w:fldCharType="begin"/>
      </w:r>
      <w:r>
        <w:instrText xml:space="preserve"> HYPERLINK \l "_Toc15792" </w:instrText>
      </w:r>
      <w:r>
        <w:fldChar w:fldCharType="separate"/>
      </w:r>
      <w:r>
        <w:rPr>
          <w:b w:val="0"/>
          <w:bCs w:val="0"/>
        </w:rPr>
        <w:t>（四）绩效评价原则和指标体系</w:t>
      </w:r>
      <w:r>
        <w:rPr>
          <w:b w:val="0"/>
          <w:bCs w:val="0"/>
        </w:rPr>
        <w:tab/>
      </w:r>
      <w:r>
        <w:rPr>
          <w:b w:val="0"/>
          <w:bCs w:val="0"/>
        </w:rPr>
        <w:fldChar w:fldCharType="begin"/>
      </w:r>
      <w:r>
        <w:rPr>
          <w:b w:val="0"/>
          <w:bCs w:val="0"/>
        </w:rPr>
        <w:instrText xml:space="preserve"> PAGEREF _Toc15792 \h </w:instrText>
      </w:r>
      <w:r>
        <w:rPr>
          <w:b w:val="0"/>
          <w:bCs w:val="0"/>
        </w:rPr>
        <w:fldChar w:fldCharType="separate"/>
      </w:r>
      <w:r>
        <w:rPr>
          <w:b w:val="0"/>
          <w:bCs w:val="0"/>
        </w:rPr>
        <w:t>4</w:t>
      </w:r>
      <w:r>
        <w:rPr>
          <w:b w:val="0"/>
          <w:bCs w:val="0"/>
        </w:rPr>
        <w:fldChar w:fldCharType="end"/>
      </w:r>
      <w:r>
        <w:rPr>
          <w:b w:val="0"/>
          <w:bCs w:val="0"/>
        </w:rPr>
        <w:fldChar w:fldCharType="end"/>
      </w:r>
    </w:p>
    <w:p w14:paraId="5B9B0A09">
      <w:pPr>
        <w:pStyle w:val="6"/>
        <w:tabs>
          <w:tab w:val="right" w:leader="dot" w:pos="8788"/>
          <w:tab w:val="clear" w:pos="8778"/>
        </w:tabs>
        <w:rPr>
          <w:b w:val="0"/>
          <w:bCs w:val="0"/>
        </w:rPr>
      </w:pPr>
      <w:r>
        <w:fldChar w:fldCharType="begin"/>
      </w:r>
      <w:r>
        <w:instrText xml:space="preserve"> HYPERLINK \l "_Toc32554" </w:instrText>
      </w:r>
      <w:r>
        <w:fldChar w:fldCharType="separate"/>
      </w:r>
      <w:r>
        <w:rPr>
          <w:b w:val="0"/>
          <w:bCs w:val="0"/>
        </w:rPr>
        <w:t>（五）绩效评价标准和评价方法</w:t>
      </w:r>
      <w:r>
        <w:rPr>
          <w:b w:val="0"/>
          <w:bCs w:val="0"/>
        </w:rPr>
        <w:tab/>
      </w:r>
      <w:r>
        <w:rPr>
          <w:b w:val="0"/>
          <w:bCs w:val="0"/>
        </w:rPr>
        <w:fldChar w:fldCharType="begin"/>
      </w:r>
      <w:r>
        <w:rPr>
          <w:b w:val="0"/>
          <w:bCs w:val="0"/>
        </w:rPr>
        <w:instrText xml:space="preserve"> PAGEREF _Toc32554 \h </w:instrText>
      </w:r>
      <w:r>
        <w:rPr>
          <w:b w:val="0"/>
          <w:bCs w:val="0"/>
        </w:rPr>
        <w:fldChar w:fldCharType="separate"/>
      </w:r>
      <w:r>
        <w:rPr>
          <w:b w:val="0"/>
          <w:bCs w:val="0"/>
        </w:rPr>
        <w:t>4</w:t>
      </w:r>
      <w:r>
        <w:rPr>
          <w:b w:val="0"/>
          <w:bCs w:val="0"/>
        </w:rPr>
        <w:fldChar w:fldCharType="end"/>
      </w:r>
      <w:r>
        <w:rPr>
          <w:b w:val="0"/>
          <w:bCs w:val="0"/>
        </w:rPr>
        <w:fldChar w:fldCharType="end"/>
      </w:r>
    </w:p>
    <w:p w14:paraId="02642AF6">
      <w:pPr>
        <w:pStyle w:val="6"/>
        <w:tabs>
          <w:tab w:val="right" w:leader="dot" w:pos="8788"/>
          <w:tab w:val="clear" w:pos="8778"/>
        </w:tabs>
        <w:rPr>
          <w:b w:val="0"/>
          <w:bCs w:val="0"/>
        </w:rPr>
      </w:pPr>
      <w:r>
        <w:fldChar w:fldCharType="begin"/>
      </w:r>
      <w:r>
        <w:instrText xml:space="preserve"> HYPERLINK \l "_Toc3964" </w:instrText>
      </w:r>
      <w:r>
        <w:fldChar w:fldCharType="separate"/>
      </w:r>
      <w:r>
        <w:rPr>
          <w:b w:val="0"/>
          <w:bCs w:val="0"/>
        </w:rPr>
        <w:t>（六）绩效评价工作过程</w:t>
      </w:r>
      <w:r>
        <w:rPr>
          <w:b w:val="0"/>
          <w:bCs w:val="0"/>
        </w:rPr>
        <w:tab/>
      </w:r>
      <w:r>
        <w:rPr>
          <w:b w:val="0"/>
          <w:bCs w:val="0"/>
        </w:rPr>
        <w:fldChar w:fldCharType="begin"/>
      </w:r>
      <w:r>
        <w:rPr>
          <w:b w:val="0"/>
          <w:bCs w:val="0"/>
        </w:rPr>
        <w:instrText xml:space="preserve"> PAGEREF _Toc3964 \h </w:instrText>
      </w:r>
      <w:r>
        <w:rPr>
          <w:b w:val="0"/>
          <w:bCs w:val="0"/>
        </w:rPr>
        <w:fldChar w:fldCharType="separate"/>
      </w:r>
      <w:r>
        <w:rPr>
          <w:b w:val="0"/>
          <w:bCs w:val="0"/>
        </w:rPr>
        <w:t>5</w:t>
      </w:r>
      <w:r>
        <w:rPr>
          <w:b w:val="0"/>
          <w:bCs w:val="0"/>
        </w:rPr>
        <w:fldChar w:fldCharType="end"/>
      </w:r>
      <w:r>
        <w:rPr>
          <w:b w:val="0"/>
          <w:bCs w:val="0"/>
        </w:rPr>
        <w:fldChar w:fldCharType="end"/>
      </w:r>
    </w:p>
    <w:p w14:paraId="6B609AB7">
      <w:pPr>
        <w:pStyle w:val="6"/>
        <w:tabs>
          <w:tab w:val="right" w:leader="dot" w:pos="8788"/>
          <w:tab w:val="clear" w:pos="8778"/>
        </w:tabs>
        <w:rPr>
          <w:b w:val="0"/>
          <w:bCs w:val="0"/>
        </w:rPr>
      </w:pPr>
      <w:r>
        <w:fldChar w:fldCharType="begin"/>
      </w:r>
      <w:r>
        <w:instrText xml:space="preserve"> HYPERLINK \l "_Toc28661" </w:instrText>
      </w:r>
      <w:r>
        <w:fldChar w:fldCharType="separate"/>
      </w:r>
      <w:r>
        <w:rPr>
          <w:b w:val="0"/>
          <w:bCs w:val="0"/>
        </w:rPr>
        <w:t>三、综合评价情况及评价结论</w:t>
      </w:r>
      <w:r>
        <w:rPr>
          <w:b w:val="0"/>
          <w:bCs w:val="0"/>
        </w:rPr>
        <w:tab/>
      </w:r>
      <w:r>
        <w:rPr>
          <w:b w:val="0"/>
          <w:bCs w:val="0"/>
        </w:rPr>
        <w:fldChar w:fldCharType="begin"/>
      </w:r>
      <w:r>
        <w:rPr>
          <w:b w:val="0"/>
          <w:bCs w:val="0"/>
        </w:rPr>
        <w:instrText xml:space="preserve"> PAGEREF _Toc28661 \h </w:instrText>
      </w:r>
      <w:r>
        <w:rPr>
          <w:b w:val="0"/>
          <w:bCs w:val="0"/>
        </w:rPr>
        <w:fldChar w:fldCharType="separate"/>
      </w:r>
      <w:r>
        <w:rPr>
          <w:b w:val="0"/>
          <w:bCs w:val="0"/>
        </w:rPr>
        <w:t>6</w:t>
      </w:r>
      <w:r>
        <w:rPr>
          <w:b w:val="0"/>
          <w:bCs w:val="0"/>
        </w:rPr>
        <w:fldChar w:fldCharType="end"/>
      </w:r>
      <w:r>
        <w:rPr>
          <w:b w:val="0"/>
          <w:bCs w:val="0"/>
        </w:rPr>
        <w:fldChar w:fldCharType="end"/>
      </w:r>
    </w:p>
    <w:p w14:paraId="2BCE85A8">
      <w:pPr>
        <w:pStyle w:val="6"/>
        <w:tabs>
          <w:tab w:val="right" w:leader="dot" w:pos="8788"/>
          <w:tab w:val="clear" w:pos="8778"/>
        </w:tabs>
        <w:rPr>
          <w:b w:val="0"/>
          <w:bCs w:val="0"/>
        </w:rPr>
      </w:pPr>
      <w:r>
        <w:fldChar w:fldCharType="begin"/>
      </w:r>
      <w:r>
        <w:instrText xml:space="preserve"> HYPERLINK \l "_Toc11052" </w:instrText>
      </w:r>
      <w:r>
        <w:fldChar w:fldCharType="separate"/>
      </w:r>
      <w:r>
        <w:rPr>
          <w:b w:val="0"/>
          <w:bCs w:val="0"/>
        </w:rPr>
        <w:t>（一）绩效评价结论</w:t>
      </w:r>
      <w:r>
        <w:rPr>
          <w:b w:val="0"/>
          <w:bCs w:val="0"/>
        </w:rPr>
        <w:tab/>
      </w:r>
      <w:r>
        <w:rPr>
          <w:b w:val="0"/>
          <w:bCs w:val="0"/>
        </w:rPr>
        <w:fldChar w:fldCharType="begin"/>
      </w:r>
      <w:r>
        <w:rPr>
          <w:b w:val="0"/>
          <w:bCs w:val="0"/>
        </w:rPr>
        <w:instrText xml:space="preserve"> PAGEREF _Toc11052 \h </w:instrText>
      </w:r>
      <w:r>
        <w:rPr>
          <w:b w:val="0"/>
          <w:bCs w:val="0"/>
        </w:rPr>
        <w:fldChar w:fldCharType="separate"/>
      </w:r>
      <w:r>
        <w:rPr>
          <w:b w:val="0"/>
          <w:bCs w:val="0"/>
        </w:rPr>
        <w:t>6</w:t>
      </w:r>
      <w:r>
        <w:rPr>
          <w:b w:val="0"/>
          <w:bCs w:val="0"/>
        </w:rPr>
        <w:fldChar w:fldCharType="end"/>
      </w:r>
      <w:r>
        <w:rPr>
          <w:b w:val="0"/>
          <w:bCs w:val="0"/>
        </w:rPr>
        <w:fldChar w:fldCharType="end"/>
      </w:r>
    </w:p>
    <w:p w14:paraId="2A96015F">
      <w:pPr>
        <w:pStyle w:val="6"/>
        <w:tabs>
          <w:tab w:val="right" w:leader="dot" w:pos="8788"/>
          <w:tab w:val="clear" w:pos="8778"/>
        </w:tabs>
        <w:rPr>
          <w:b w:val="0"/>
          <w:bCs w:val="0"/>
        </w:rPr>
      </w:pPr>
      <w:r>
        <w:fldChar w:fldCharType="begin"/>
      </w:r>
      <w:r>
        <w:instrText xml:space="preserve"> HYPERLINK \l "_Toc28882" </w:instrText>
      </w:r>
      <w:r>
        <w:fldChar w:fldCharType="separate"/>
      </w:r>
      <w:r>
        <w:rPr>
          <w:b w:val="0"/>
          <w:bCs w:val="0"/>
        </w:rPr>
        <w:t>（二）综合评价情况</w:t>
      </w:r>
      <w:r>
        <w:rPr>
          <w:b w:val="0"/>
          <w:bCs w:val="0"/>
        </w:rPr>
        <w:tab/>
      </w:r>
      <w:r>
        <w:rPr>
          <w:b w:val="0"/>
          <w:bCs w:val="0"/>
        </w:rPr>
        <w:fldChar w:fldCharType="begin"/>
      </w:r>
      <w:r>
        <w:rPr>
          <w:b w:val="0"/>
          <w:bCs w:val="0"/>
        </w:rPr>
        <w:instrText xml:space="preserve"> PAGEREF _Toc28882 \h </w:instrText>
      </w:r>
      <w:r>
        <w:rPr>
          <w:b w:val="0"/>
          <w:bCs w:val="0"/>
        </w:rPr>
        <w:fldChar w:fldCharType="separate"/>
      </w:r>
      <w:r>
        <w:rPr>
          <w:b w:val="0"/>
          <w:bCs w:val="0"/>
        </w:rPr>
        <w:t>7</w:t>
      </w:r>
      <w:r>
        <w:rPr>
          <w:b w:val="0"/>
          <w:bCs w:val="0"/>
        </w:rPr>
        <w:fldChar w:fldCharType="end"/>
      </w:r>
      <w:r>
        <w:rPr>
          <w:b w:val="0"/>
          <w:bCs w:val="0"/>
        </w:rPr>
        <w:fldChar w:fldCharType="end"/>
      </w:r>
    </w:p>
    <w:p w14:paraId="25DFB09D">
      <w:pPr>
        <w:pStyle w:val="6"/>
        <w:tabs>
          <w:tab w:val="right" w:leader="dot" w:pos="8788"/>
          <w:tab w:val="clear" w:pos="8778"/>
        </w:tabs>
        <w:rPr>
          <w:b w:val="0"/>
          <w:bCs w:val="0"/>
        </w:rPr>
      </w:pPr>
      <w:r>
        <w:fldChar w:fldCharType="begin"/>
      </w:r>
      <w:r>
        <w:instrText xml:space="preserve"> HYPERLINK \l "_Toc21103" </w:instrText>
      </w:r>
      <w:r>
        <w:fldChar w:fldCharType="separate"/>
      </w:r>
      <w:r>
        <w:rPr>
          <w:b w:val="0"/>
          <w:bCs w:val="0"/>
        </w:rPr>
        <w:t>四、绩效评价指标分析</w:t>
      </w:r>
      <w:r>
        <w:rPr>
          <w:b w:val="0"/>
          <w:bCs w:val="0"/>
        </w:rPr>
        <w:tab/>
      </w:r>
      <w:r>
        <w:rPr>
          <w:b w:val="0"/>
          <w:bCs w:val="0"/>
        </w:rPr>
        <w:fldChar w:fldCharType="begin"/>
      </w:r>
      <w:r>
        <w:rPr>
          <w:b w:val="0"/>
          <w:bCs w:val="0"/>
        </w:rPr>
        <w:instrText xml:space="preserve"> PAGEREF _Toc21103 \h </w:instrText>
      </w:r>
      <w:r>
        <w:rPr>
          <w:b w:val="0"/>
          <w:bCs w:val="0"/>
        </w:rPr>
        <w:fldChar w:fldCharType="separate"/>
      </w:r>
      <w:r>
        <w:rPr>
          <w:b w:val="0"/>
          <w:bCs w:val="0"/>
        </w:rPr>
        <w:t>7</w:t>
      </w:r>
      <w:r>
        <w:rPr>
          <w:b w:val="0"/>
          <w:bCs w:val="0"/>
        </w:rPr>
        <w:fldChar w:fldCharType="end"/>
      </w:r>
      <w:r>
        <w:rPr>
          <w:b w:val="0"/>
          <w:bCs w:val="0"/>
        </w:rPr>
        <w:fldChar w:fldCharType="end"/>
      </w:r>
    </w:p>
    <w:p w14:paraId="3C8DF554">
      <w:pPr>
        <w:pStyle w:val="6"/>
        <w:tabs>
          <w:tab w:val="right" w:leader="dot" w:pos="8788"/>
          <w:tab w:val="clear" w:pos="8778"/>
        </w:tabs>
        <w:rPr>
          <w:b w:val="0"/>
          <w:bCs w:val="0"/>
        </w:rPr>
      </w:pPr>
      <w:r>
        <w:fldChar w:fldCharType="begin"/>
      </w:r>
      <w:r>
        <w:instrText xml:space="preserve"> HYPERLINK \l "_Toc3230" </w:instrText>
      </w:r>
      <w:r>
        <w:fldChar w:fldCharType="separate"/>
      </w:r>
      <w:r>
        <w:rPr>
          <w:b w:val="0"/>
          <w:bCs w:val="0"/>
        </w:rPr>
        <w:t>（一）</w:t>
      </w:r>
      <w:r>
        <w:rPr>
          <w:rFonts w:hint="eastAsia"/>
          <w:b w:val="0"/>
          <w:bCs w:val="0"/>
        </w:rPr>
        <w:t>投入（前期投入）</w:t>
      </w:r>
      <w:r>
        <w:rPr>
          <w:b w:val="0"/>
          <w:bCs w:val="0"/>
        </w:rPr>
        <w:tab/>
      </w:r>
      <w:r>
        <w:rPr>
          <w:b w:val="0"/>
          <w:bCs w:val="0"/>
        </w:rPr>
        <w:fldChar w:fldCharType="begin"/>
      </w:r>
      <w:r>
        <w:rPr>
          <w:b w:val="0"/>
          <w:bCs w:val="0"/>
        </w:rPr>
        <w:instrText xml:space="preserve"> PAGEREF _Toc3230 \h </w:instrText>
      </w:r>
      <w:r>
        <w:rPr>
          <w:b w:val="0"/>
          <w:bCs w:val="0"/>
        </w:rPr>
        <w:fldChar w:fldCharType="separate"/>
      </w:r>
      <w:r>
        <w:rPr>
          <w:b w:val="0"/>
          <w:bCs w:val="0"/>
        </w:rPr>
        <w:t>8</w:t>
      </w:r>
      <w:r>
        <w:rPr>
          <w:b w:val="0"/>
          <w:bCs w:val="0"/>
        </w:rPr>
        <w:fldChar w:fldCharType="end"/>
      </w:r>
      <w:r>
        <w:rPr>
          <w:b w:val="0"/>
          <w:bCs w:val="0"/>
        </w:rPr>
        <w:fldChar w:fldCharType="end"/>
      </w:r>
    </w:p>
    <w:p w14:paraId="1786F305">
      <w:pPr>
        <w:pStyle w:val="6"/>
        <w:tabs>
          <w:tab w:val="right" w:leader="dot" w:pos="8788"/>
          <w:tab w:val="clear" w:pos="8778"/>
        </w:tabs>
        <w:rPr>
          <w:b w:val="0"/>
          <w:bCs w:val="0"/>
        </w:rPr>
      </w:pPr>
      <w:r>
        <w:fldChar w:fldCharType="begin"/>
      </w:r>
      <w:r>
        <w:instrText xml:space="preserve"> HYPERLINK \l "_Toc7407" </w:instrText>
      </w:r>
      <w:r>
        <w:fldChar w:fldCharType="separate"/>
      </w:r>
      <w:r>
        <w:rPr>
          <w:rFonts w:hint="eastAsia" w:ascii="仿宋_GB2312"/>
          <w:b w:val="0"/>
          <w:bCs w:val="0"/>
        </w:rPr>
        <w:t>（二）管理（项目实施过程管理）</w:t>
      </w:r>
      <w:r>
        <w:rPr>
          <w:b w:val="0"/>
          <w:bCs w:val="0"/>
        </w:rPr>
        <w:tab/>
      </w:r>
      <w:r>
        <w:rPr>
          <w:b w:val="0"/>
          <w:bCs w:val="0"/>
        </w:rPr>
        <w:fldChar w:fldCharType="begin"/>
      </w:r>
      <w:r>
        <w:rPr>
          <w:b w:val="0"/>
          <w:bCs w:val="0"/>
        </w:rPr>
        <w:instrText xml:space="preserve"> PAGEREF _Toc7407 \h </w:instrText>
      </w:r>
      <w:r>
        <w:rPr>
          <w:b w:val="0"/>
          <w:bCs w:val="0"/>
        </w:rPr>
        <w:fldChar w:fldCharType="separate"/>
      </w:r>
      <w:r>
        <w:rPr>
          <w:b w:val="0"/>
          <w:bCs w:val="0"/>
        </w:rPr>
        <w:t>11</w:t>
      </w:r>
      <w:r>
        <w:rPr>
          <w:b w:val="0"/>
          <w:bCs w:val="0"/>
        </w:rPr>
        <w:fldChar w:fldCharType="end"/>
      </w:r>
      <w:r>
        <w:rPr>
          <w:b w:val="0"/>
          <w:bCs w:val="0"/>
        </w:rPr>
        <w:fldChar w:fldCharType="end"/>
      </w:r>
    </w:p>
    <w:p w14:paraId="2739D967">
      <w:pPr>
        <w:pStyle w:val="6"/>
        <w:tabs>
          <w:tab w:val="right" w:leader="dot" w:pos="8788"/>
          <w:tab w:val="clear" w:pos="8778"/>
        </w:tabs>
        <w:rPr>
          <w:b w:val="0"/>
          <w:bCs w:val="0"/>
        </w:rPr>
      </w:pPr>
      <w:r>
        <w:fldChar w:fldCharType="begin"/>
      </w:r>
      <w:r>
        <w:instrText xml:space="preserve"> HYPERLINK \l "_Toc23443" </w:instrText>
      </w:r>
      <w:r>
        <w:fldChar w:fldCharType="separate"/>
      </w:r>
      <w:r>
        <w:rPr>
          <w:b w:val="0"/>
          <w:bCs w:val="0"/>
        </w:rPr>
        <w:t>（三）产出</w:t>
      </w:r>
      <w:r>
        <w:rPr>
          <w:b w:val="0"/>
          <w:bCs w:val="0"/>
        </w:rPr>
        <w:tab/>
      </w:r>
      <w:r>
        <w:rPr>
          <w:b w:val="0"/>
          <w:bCs w:val="0"/>
        </w:rPr>
        <w:fldChar w:fldCharType="begin"/>
      </w:r>
      <w:r>
        <w:rPr>
          <w:b w:val="0"/>
          <w:bCs w:val="0"/>
        </w:rPr>
        <w:instrText xml:space="preserve"> PAGEREF _Toc23443 \h </w:instrText>
      </w:r>
      <w:r>
        <w:rPr>
          <w:b w:val="0"/>
          <w:bCs w:val="0"/>
        </w:rPr>
        <w:fldChar w:fldCharType="separate"/>
      </w:r>
      <w:r>
        <w:rPr>
          <w:b w:val="0"/>
          <w:bCs w:val="0"/>
        </w:rPr>
        <w:t>16</w:t>
      </w:r>
      <w:r>
        <w:rPr>
          <w:b w:val="0"/>
          <w:bCs w:val="0"/>
        </w:rPr>
        <w:fldChar w:fldCharType="end"/>
      </w:r>
      <w:r>
        <w:rPr>
          <w:b w:val="0"/>
          <w:bCs w:val="0"/>
        </w:rPr>
        <w:fldChar w:fldCharType="end"/>
      </w:r>
    </w:p>
    <w:p w14:paraId="584689B8">
      <w:pPr>
        <w:pStyle w:val="6"/>
        <w:tabs>
          <w:tab w:val="right" w:leader="dot" w:pos="8788"/>
          <w:tab w:val="clear" w:pos="8778"/>
        </w:tabs>
        <w:rPr>
          <w:b w:val="0"/>
          <w:bCs w:val="0"/>
        </w:rPr>
      </w:pPr>
      <w:r>
        <w:fldChar w:fldCharType="begin"/>
      </w:r>
      <w:r>
        <w:instrText xml:space="preserve"> HYPERLINK \l "_Toc3151" </w:instrText>
      </w:r>
      <w:r>
        <w:fldChar w:fldCharType="separate"/>
      </w:r>
      <w:r>
        <w:rPr>
          <w:b w:val="0"/>
          <w:bCs w:val="0"/>
        </w:rPr>
        <w:t>（四）</w:t>
      </w:r>
      <w:r>
        <w:rPr>
          <w:rFonts w:hint="eastAsia"/>
          <w:b w:val="0"/>
          <w:bCs w:val="0"/>
        </w:rPr>
        <w:t>效果</w:t>
      </w:r>
      <w:r>
        <w:rPr>
          <w:b w:val="0"/>
          <w:bCs w:val="0"/>
        </w:rPr>
        <w:tab/>
      </w:r>
      <w:r>
        <w:rPr>
          <w:b w:val="0"/>
          <w:bCs w:val="0"/>
        </w:rPr>
        <w:fldChar w:fldCharType="begin"/>
      </w:r>
      <w:r>
        <w:rPr>
          <w:b w:val="0"/>
          <w:bCs w:val="0"/>
        </w:rPr>
        <w:instrText xml:space="preserve"> PAGEREF _Toc3151 \h </w:instrText>
      </w:r>
      <w:r>
        <w:rPr>
          <w:b w:val="0"/>
          <w:bCs w:val="0"/>
        </w:rPr>
        <w:fldChar w:fldCharType="separate"/>
      </w:r>
      <w:r>
        <w:rPr>
          <w:b w:val="0"/>
          <w:bCs w:val="0"/>
        </w:rPr>
        <w:t>16</w:t>
      </w:r>
      <w:r>
        <w:rPr>
          <w:b w:val="0"/>
          <w:bCs w:val="0"/>
        </w:rPr>
        <w:fldChar w:fldCharType="end"/>
      </w:r>
      <w:r>
        <w:rPr>
          <w:b w:val="0"/>
          <w:bCs w:val="0"/>
        </w:rPr>
        <w:fldChar w:fldCharType="end"/>
      </w:r>
    </w:p>
    <w:p w14:paraId="45E5C71A">
      <w:pPr>
        <w:pStyle w:val="6"/>
        <w:tabs>
          <w:tab w:val="right" w:leader="dot" w:pos="8788"/>
          <w:tab w:val="clear" w:pos="8778"/>
        </w:tabs>
        <w:rPr>
          <w:b w:val="0"/>
          <w:bCs w:val="0"/>
        </w:rPr>
      </w:pPr>
      <w:r>
        <w:fldChar w:fldCharType="begin"/>
      </w:r>
      <w:r>
        <w:instrText xml:space="preserve"> HYPERLINK \l "_Toc16851" </w:instrText>
      </w:r>
      <w:r>
        <w:fldChar w:fldCharType="separate"/>
      </w:r>
      <w:r>
        <w:rPr>
          <w:rFonts w:hint="eastAsia"/>
          <w:b w:val="0"/>
          <w:bCs w:val="0"/>
        </w:rPr>
        <w:t>五</w:t>
      </w:r>
      <w:r>
        <w:rPr>
          <w:b w:val="0"/>
          <w:bCs w:val="0"/>
        </w:rPr>
        <w:t>、存在的</w:t>
      </w:r>
      <w:r>
        <w:rPr>
          <w:rFonts w:hint="eastAsia"/>
          <w:b w:val="0"/>
          <w:bCs w:val="0"/>
        </w:rPr>
        <w:t>主要</w:t>
      </w:r>
      <w:r>
        <w:rPr>
          <w:b w:val="0"/>
          <w:bCs w:val="0"/>
        </w:rPr>
        <w:t>问题和建议</w:t>
      </w:r>
      <w:r>
        <w:rPr>
          <w:b w:val="0"/>
          <w:bCs w:val="0"/>
        </w:rPr>
        <w:tab/>
      </w:r>
      <w:r>
        <w:rPr>
          <w:b w:val="0"/>
          <w:bCs w:val="0"/>
        </w:rPr>
        <w:fldChar w:fldCharType="begin"/>
      </w:r>
      <w:r>
        <w:rPr>
          <w:b w:val="0"/>
          <w:bCs w:val="0"/>
        </w:rPr>
        <w:instrText xml:space="preserve"> PAGEREF _Toc16851 \h </w:instrText>
      </w:r>
      <w:r>
        <w:rPr>
          <w:b w:val="0"/>
          <w:bCs w:val="0"/>
        </w:rPr>
        <w:fldChar w:fldCharType="separate"/>
      </w:r>
      <w:r>
        <w:rPr>
          <w:b w:val="0"/>
          <w:bCs w:val="0"/>
        </w:rPr>
        <w:t>17</w:t>
      </w:r>
      <w:r>
        <w:rPr>
          <w:b w:val="0"/>
          <w:bCs w:val="0"/>
        </w:rPr>
        <w:fldChar w:fldCharType="end"/>
      </w:r>
      <w:r>
        <w:rPr>
          <w:b w:val="0"/>
          <w:bCs w:val="0"/>
        </w:rPr>
        <w:fldChar w:fldCharType="end"/>
      </w:r>
    </w:p>
    <w:p w14:paraId="72D9363E">
      <w:pPr>
        <w:pStyle w:val="6"/>
        <w:tabs>
          <w:tab w:val="right" w:leader="dot" w:pos="8788"/>
          <w:tab w:val="clear" w:pos="8778"/>
        </w:tabs>
        <w:rPr>
          <w:b w:val="0"/>
          <w:bCs w:val="0"/>
        </w:rPr>
      </w:pPr>
      <w:r>
        <w:fldChar w:fldCharType="begin"/>
      </w:r>
      <w:r>
        <w:instrText xml:space="preserve"> HYPERLINK \l "_Toc24844" </w:instrText>
      </w:r>
      <w:r>
        <w:fldChar w:fldCharType="separate"/>
      </w:r>
      <w:r>
        <w:rPr>
          <w:rFonts w:hint="eastAsia" w:ascii="仿宋_GB2312"/>
          <w:b w:val="0"/>
          <w:bCs w:val="0"/>
        </w:rPr>
        <w:t>（一）存在的主要问题</w:t>
      </w:r>
      <w:r>
        <w:rPr>
          <w:b w:val="0"/>
          <w:bCs w:val="0"/>
        </w:rPr>
        <w:tab/>
      </w:r>
      <w:r>
        <w:rPr>
          <w:b w:val="0"/>
          <w:bCs w:val="0"/>
        </w:rPr>
        <w:fldChar w:fldCharType="begin"/>
      </w:r>
      <w:r>
        <w:rPr>
          <w:b w:val="0"/>
          <w:bCs w:val="0"/>
        </w:rPr>
        <w:instrText xml:space="preserve"> PAGEREF _Toc24844 \h </w:instrText>
      </w:r>
      <w:r>
        <w:rPr>
          <w:b w:val="0"/>
          <w:bCs w:val="0"/>
        </w:rPr>
        <w:fldChar w:fldCharType="separate"/>
      </w:r>
      <w:r>
        <w:rPr>
          <w:b w:val="0"/>
          <w:bCs w:val="0"/>
        </w:rPr>
        <w:t>17</w:t>
      </w:r>
      <w:r>
        <w:rPr>
          <w:b w:val="0"/>
          <w:bCs w:val="0"/>
        </w:rPr>
        <w:fldChar w:fldCharType="end"/>
      </w:r>
      <w:r>
        <w:rPr>
          <w:b w:val="0"/>
          <w:bCs w:val="0"/>
        </w:rPr>
        <w:fldChar w:fldCharType="end"/>
      </w:r>
    </w:p>
    <w:p w14:paraId="531407F4">
      <w:pPr>
        <w:pStyle w:val="6"/>
        <w:tabs>
          <w:tab w:val="right" w:leader="dot" w:pos="8788"/>
          <w:tab w:val="clear" w:pos="8778"/>
        </w:tabs>
        <w:rPr>
          <w:b w:val="0"/>
          <w:bCs w:val="0"/>
        </w:rPr>
      </w:pPr>
      <w:r>
        <w:fldChar w:fldCharType="begin"/>
      </w:r>
      <w:r>
        <w:instrText xml:space="preserve"> HYPERLINK \l "_Toc16195" </w:instrText>
      </w:r>
      <w:r>
        <w:fldChar w:fldCharType="separate"/>
      </w:r>
      <w:r>
        <w:rPr>
          <w:rFonts w:hint="eastAsia" w:ascii="仿宋_GB2312"/>
          <w:b w:val="0"/>
          <w:bCs w:val="0"/>
        </w:rPr>
        <w:t>（二）建议</w:t>
      </w:r>
      <w:r>
        <w:rPr>
          <w:b w:val="0"/>
          <w:bCs w:val="0"/>
        </w:rPr>
        <w:tab/>
      </w:r>
      <w:r>
        <w:rPr>
          <w:b w:val="0"/>
          <w:bCs w:val="0"/>
        </w:rPr>
        <w:fldChar w:fldCharType="begin"/>
      </w:r>
      <w:r>
        <w:rPr>
          <w:b w:val="0"/>
          <w:bCs w:val="0"/>
        </w:rPr>
        <w:instrText xml:space="preserve"> PAGEREF _Toc16195 \h </w:instrText>
      </w:r>
      <w:r>
        <w:rPr>
          <w:b w:val="0"/>
          <w:bCs w:val="0"/>
        </w:rPr>
        <w:fldChar w:fldCharType="separate"/>
      </w:r>
      <w:r>
        <w:rPr>
          <w:b w:val="0"/>
          <w:bCs w:val="0"/>
        </w:rPr>
        <w:t>17</w:t>
      </w:r>
      <w:r>
        <w:rPr>
          <w:b w:val="0"/>
          <w:bCs w:val="0"/>
        </w:rPr>
        <w:fldChar w:fldCharType="end"/>
      </w:r>
      <w:r>
        <w:rPr>
          <w:b w:val="0"/>
          <w:bCs w:val="0"/>
        </w:rPr>
        <w:fldChar w:fldCharType="end"/>
      </w:r>
    </w:p>
    <w:p w14:paraId="74A8700F">
      <w:pPr>
        <w:pStyle w:val="12"/>
        <w:spacing w:line="460" w:lineRule="exact"/>
        <w:rPr>
          <w:rFonts w:ascii="Arial Narrow" w:hAnsi="Arial Narrow" w:eastAsia="仿宋_GB2312"/>
          <w:bCs/>
          <w:w w:val="80"/>
        </w:rPr>
        <w:sectPr>
          <w:footerReference r:id="rId3" w:type="default"/>
          <w:pgSz w:w="11907" w:h="16840"/>
          <w:pgMar w:top="1418" w:right="1418" w:bottom="1134" w:left="1701" w:header="851" w:footer="851" w:gutter="0"/>
          <w:pgNumType w:start="1"/>
          <w:cols w:space="425" w:num="1"/>
          <w:docGrid w:linePitch="312" w:charSpace="0"/>
        </w:sectPr>
      </w:pPr>
      <w:r>
        <w:rPr>
          <w:szCs w:val="21"/>
        </w:rPr>
        <w:fldChar w:fldCharType="end"/>
      </w:r>
    </w:p>
    <w:p w14:paraId="6D5CF9B2">
      <w:pPr>
        <w:spacing w:line="360" w:lineRule="auto"/>
        <w:jc w:val="right"/>
        <w:rPr>
          <w:rFonts w:ascii="Arial Narrow" w:hAnsi="Arial Narrow"/>
          <w:bCs/>
          <w:w w:val="80"/>
          <w:sz w:val="28"/>
          <w:szCs w:val="28"/>
        </w:rPr>
      </w:pPr>
    </w:p>
    <w:p w14:paraId="6CA67109">
      <w:pPr>
        <w:spacing w:line="360" w:lineRule="auto"/>
        <w:jc w:val="right"/>
        <w:rPr>
          <w:rFonts w:ascii="Arial Narrow" w:hAnsi="Arial Narrow"/>
          <w:bCs/>
          <w:w w:val="80"/>
          <w:sz w:val="28"/>
          <w:szCs w:val="28"/>
        </w:rPr>
      </w:pPr>
    </w:p>
    <w:p w14:paraId="46157A6D">
      <w:pPr>
        <w:widowControl/>
        <w:jc w:val="distribute"/>
        <w:rPr>
          <w:rFonts w:ascii="Arial Narrow" w:hAnsi="Arial Narrow" w:eastAsia="仿宋_GB2312" w:cs="楷体"/>
          <w:bCs/>
          <w:kern w:val="0"/>
          <w:sz w:val="28"/>
          <w:szCs w:val="28"/>
        </w:rPr>
      </w:pPr>
      <w:r>
        <w:rPr>
          <w:rFonts w:ascii="Arial Narrow" w:hAnsi="Arial Narrow" w:eastAsia="楷体" w:cs="楷体"/>
          <w:b/>
          <w:kern w:val="0"/>
          <w:sz w:val="72"/>
          <w:szCs w:val="72"/>
        </w:rPr>
        <w:t>重庆铭鸿金全会计师事务所</w:t>
      </w:r>
    </w:p>
    <w:p w14:paraId="5A54B33C">
      <w:pPr>
        <w:widowControl/>
        <w:spacing w:line="360" w:lineRule="auto"/>
        <w:ind w:right="-2"/>
        <w:jc w:val="distribute"/>
        <w:rPr>
          <w:rFonts w:ascii="MS Mincho" w:hAnsi="MS Mincho" w:eastAsia="MS Mincho"/>
          <w:kern w:val="0"/>
          <w:sz w:val="28"/>
          <w:szCs w:val="28"/>
          <w:lang w:eastAsia="zh-TW"/>
        </w:rPr>
      </w:pPr>
      <w:r>
        <w:rPr>
          <w:rFonts w:ascii="MS Mincho" w:hAnsi="MS Mincho" w:eastAsia="MS Mincho"/>
          <w:b/>
          <w:kern w:val="0"/>
          <w:sz w:val="32"/>
          <w:szCs w:val="20"/>
          <w:lang w:eastAsia="zh-TW"/>
        </w:rPr>
        <w:t xml:space="preserve">Chongqing </w:t>
      </w:r>
      <w:r>
        <w:rPr>
          <w:rFonts w:ascii="MS Mincho" w:hAnsi="MS Mincho" w:eastAsia="MS Mincho"/>
          <w:b/>
          <w:kern w:val="0"/>
          <w:sz w:val="32"/>
          <w:szCs w:val="20"/>
        </w:rPr>
        <w:t>MingHong</w:t>
      </w:r>
      <w:r>
        <w:rPr>
          <w:rFonts w:ascii="MS Mincho" w:hAnsi="MS Mincho" w:eastAsia="MS Mincho"/>
          <w:b/>
          <w:kern w:val="0"/>
          <w:sz w:val="32"/>
          <w:szCs w:val="20"/>
          <w:lang w:eastAsia="zh-TW"/>
        </w:rPr>
        <w:t xml:space="preserve"> </w:t>
      </w:r>
      <w:r>
        <w:rPr>
          <w:rFonts w:ascii="MS Mincho" w:hAnsi="MS Mincho" w:eastAsia="MS Mincho"/>
          <w:b/>
          <w:kern w:val="0"/>
          <w:sz w:val="32"/>
          <w:szCs w:val="20"/>
        </w:rPr>
        <w:t>JinQuan</w:t>
      </w:r>
      <w:r>
        <w:rPr>
          <w:rFonts w:ascii="MS Mincho" w:hAnsi="MS Mincho" w:eastAsia="MS Mincho"/>
          <w:b/>
          <w:kern w:val="0"/>
          <w:sz w:val="32"/>
          <w:szCs w:val="20"/>
          <w:lang w:eastAsia="zh-TW"/>
        </w:rPr>
        <w:t xml:space="preserve"> Certified Public Accountants</w:t>
      </w:r>
    </w:p>
    <w:p w14:paraId="7B82DFDA">
      <w:pPr>
        <w:spacing w:line="360" w:lineRule="auto"/>
        <w:jc w:val="center"/>
        <w:rPr>
          <w:rFonts w:ascii="Arial Narrow" w:hAnsi="Arial Narrow" w:eastAsia="仿宋_GB2312"/>
          <w:sz w:val="28"/>
          <w:szCs w:val="28"/>
        </w:rPr>
      </w:pPr>
      <w:r>
        <w:rPr>
          <w:rFonts w:ascii="Arial Narrow" w:hAnsi="Arial Narrow" w:eastAsia="仿宋_GB2312"/>
          <w:kern w:val="0"/>
          <w:sz w:val="28"/>
          <w:szCs w:val="28"/>
        </w:rPr>
        <w:t>铭</w:t>
      </w:r>
      <w:r>
        <w:rPr>
          <w:rFonts w:ascii="Arial Narrow" w:hAnsi="Arial Narrow" w:eastAsia="仿宋_GB2312"/>
          <w:sz w:val="28"/>
          <w:szCs w:val="28"/>
        </w:rPr>
        <w:t>鸿</w:t>
      </w:r>
      <w:r>
        <w:rPr>
          <w:rFonts w:hint="eastAsia" w:ascii="Arial Narrow" w:hAnsi="Arial Narrow" w:eastAsia="仿宋_GB2312"/>
          <w:sz w:val="28"/>
          <w:szCs w:val="28"/>
        </w:rPr>
        <w:t>咨字〔2024〕</w:t>
      </w:r>
      <w:r>
        <w:rPr>
          <w:rFonts w:ascii="Arial Narrow" w:hAnsi="Arial Narrow" w:eastAsia="仿宋_GB2312"/>
          <w:sz w:val="28"/>
          <w:szCs w:val="28"/>
        </w:rPr>
        <w:t>第</w:t>
      </w:r>
      <w:r>
        <w:rPr>
          <w:rFonts w:hint="eastAsia" w:ascii="Arial Narrow" w:hAnsi="Arial Narrow" w:eastAsia="仿宋_GB2312"/>
          <w:sz w:val="28"/>
          <w:szCs w:val="28"/>
        </w:rPr>
        <w:t>0043号</w:t>
      </w:r>
    </w:p>
    <w:p w14:paraId="04AC9B39">
      <w:pPr>
        <w:spacing w:line="360" w:lineRule="auto"/>
        <w:jc w:val="distribute"/>
        <w:rPr>
          <w:rFonts w:ascii="Arial Narrow" w:hAnsi="Arial Narrow"/>
          <w:w w:val="94"/>
        </w:rPr>
      </w:pPr>
      <w:r>
        <w:rPr>
          <w:rFonts w:hint="eastAsia" w:ascii="宋体" w:hAnsi="宋体" w:cs="宋体"/>
          <w:b/>
          <w:bCs/>
          <w:w w:val="94"/>
          <w:sz w:val="36"/>
          <w:szCs w:val="36"/>
        </w:rPr>
        <w:t>━━━━━━━━━━━━</w:t>
      </w:r>
      <w:r>
        <w:rPr>
          <w:rFonts w:ascii="Arial Narrow" w:hAnsi="Arial Narrow"/>
          <w:b/>
          <w:bCs/>
          <w:w w:val="94"/>
          <w:sz w:val="36"/>
          <w:szCs w:val="36"/>
        </w:rPr>
        <w:t xml:space="preserve"> </w:t>
      </w:r>
      <w:r>
        <w:rPr>
          <w:rFonts w:ascii="Segoe UI Symbol" w:hAnsi="Segoe UI Symbol" w:cs="Segoe UI Symbol"/>
          <w:b/>
          <w:bCs/>
          <w:w w:val="94"/>
          <w:sz w:val="36"/>
          <w:szCs w:val="36"/>
        </w:rPr>
        <w:t>★</w:t>
      </w:r>
      <w:r>
        <w:rPr>
          <w:rFonts w:ascii="Arial Narrow" w:hAnsi="Arial Narrow"/>
          <w:b/>
          <w:bCs/>
          <w:w w:val="94"/>
          <w:sz w:val="36"/>
          <w:szCs w:val="36"/>
        </w:rPr>
        <w:t xml:space="preserve"> </w:t>
      </w:r>
      <w:r>
        <w:rPr>
          <w:rFonts w:hint="eastAsia" w:ascii="宋体" w:hAnsi="宋体" w:cs="宋体"/>
          <w:b/>
          <w:bCs/>
          <w:w w:val="94"/>
          <w:sz w:val="36"/>
          <w:szCs w:val="36"/>
        </w:rPr>
        <w:t>━━━━━━━━━━━</w:t>
      </w:r>
      <w:bookmarkStart w:id="2" w:name="_Hlk51614207"/>
      <w:r>
        <w:rPr>
          <w:rFonts w:hint="eastAsia" w:ascii="宋体" w:hAnsi="宋体" w:cs="宋体"/>
          <w:b/>
          <w:bCs/>
          <w:w w:val="94"/>
          <w:sz w:val="36"/>
          <w:szCs w:val="36"/>
        </w:rPr>
        <w:t>━</w:t>
      </w:r>
      <w:bookmarkEnd w:id="2"/>
    </w:p>
    <w:p w14:paraId="27C7E1DB">
      <w:pPr>
        <w:adjustRightInd w:val="0"/>
        <w:snapToGrid w:val="0"/>
        <w:spacing w:line="360" w:lineRule="auto"/>
        <w:jc w:val="center"/>
        <w:rPr>
          <w:rStyle w:val="10"/>
          <w:rFonts w:ascii="Arial Narrow" w:hAnsi="Arial Narrow" w:eastAsia="仿宋_GB2312"/>
          <w:b/>
          <w:color w:val="auto"/>
          <w:sz w:val="36"/>
          <w:szCs w:val="36"/>
          <w:u w:val="none"/>
        </w:rPr>
      </w:pPr>
      <w:r>
        <w:rPr>
          <w:rStyle w:val="10"/>
          <w:rFonts w:hint="eastAsia" w:ascii="Arial Narrow" w:hAnsi="Arial Narrow" w:eastAsia="仿宋_GB2312"/>
          <w:b/>
          <w:color w:val="auto"/>
          <w:sz w:val="36"/>
          <w:szCs w:val="36"/>
          <w:u w:val="none"/>
        </w:rPr>
        <w:t>铜梁区“太平水厂工程（一期）项目”</w:t>
      </w:r>
    </w:p>
    <w:p w14:paraId="6D3B1A66">
      <w:pPr>
        <w:adjustRightInd w:val="0"/>
        <w:snapToGrid w:val="0"/>
        <w:spacing w:line="360" w:lineRule="auto"/>
        <w:jc w:val="center"/>
        <w:rPr>
          <w:rFonts w:ascii="仿宋_GB2312" w:eastAsia="仿宋_GB2312"/>
          <w:b/>
          <w:sz w:val="36"/>
          <w:szCs w:val="36"/>
        </w:rPr>
      </w:pPr>
      <w:r>
        <w:rPr>
          <w:rFonts w:hint="eastAsia" w:ascii="仿宋_GB2312" w:eastAsia="仿宋_GB2312"/>
          <w:b/>
          <w:sz w:val="36"/>
          <w:szCs w:val="36"/>
        </w:rPr>
        <w:t>绩效评价报告</w:t>
      </w:r>
    </w:p>
    <w:p w14:paraId="213CB91A">
      <w:pPr>
        <w:pStyle w:val="13"/>
        <w:spacing w:line="360" w:lineRule="auto"/>
        <w:ind w:firstLine="480" w:firstLineChars="200"/>
        <w:jc w:val="both"/>
        <w:rPr>
          <w:rFonts w:ascii="Arial Narrow" w:hAnsi="Arial Narrow" w:eastAsia="仿宋_GB2312"/>
          <w:color w:val="auto"/>
        </w:rPr>
      </w:pPr>
      <w:r>
        <w:rPr>
          <w:rFonts w:ascii="Arial Narrow" w:hAnsi="Arial Narrow" w:eastAsia="仿宋_GB2312"/>
          <w:color w:val="auto"/>
        </w:rPr>
        <w:t>为深入贯彻落实党的十九大“全面实施绩效管理”决策部署，进一步提高政府投入资金的使用效益，促进公共服务资源的优化配置，根据《中华人民共和国预算法》、</w:t>
      </w:r>
      <w:r>
        <w:rPr>
          <w:rFonts w:hint="eastAsia" w:ascii="Arial Narrow" w:hAnsi="Arial Narrow" w:eastAsia="仿宋_GB2312"/>
          <w:color w:val="auto"/>
        </w:rPr>
        <w:t>项目</w:t>
      </w:r>
      <w:r>
        <w:rPr>
          <w:rFonts w:ascii="Arial Narrow" w:hAnsi="Arial Narrow" w:eastAsia="仿宋_GB2312"/>
          <w:color w:val="auto"/>
        </w:rPr>
        <w:t>《项目支出绩效评价管理办法》</w:t>
      </w:r>
      <w:r>
        <w:rPr>
          <w:rFonts w:hint="eastAsia" w:ascii="Arial Narrow" w:hAnsi="Arial Narrow" w:eastAsia="仿宋_GB2312"/>
          <w:color w:val="auto"/>
        </w:rPr>
        <w:t>（财预〔2020〕1</w:t>
      </w:r>
      <w:r>
        <w:rPr>
          <w:rFonts w:ascii="Arial Narrow" w:hAnsi="Arial Narrow" w:eastAsia="仿宋_GB2312"/>
          <w:color w:val="auto"/>
        </w:rPr>
        <w:t>0</w:t>
      </w:r>
      <w:r>
        <w:rPr>
          <w:rFonts w:hint="eastAsia" w:ascii="Arial Narrow" w:hAnsi="Arial Narrow" w:eastAsia="仿宋_GB2312"/>
          <w:color w:val="auto"/>
        </w:rPr>
        <w:t>号）</w:t>
      </w:r>
      <w:r>
        <w:rPr>
          <w:rFonts w:ascii="Arial Narrow" w:hAnsi="Arial Narrow" w:eastAsia="仿宋_GB2312"/>
          <w:color w:val="auto"/>
        </w:rPr>
        <w:t>《重庆市市级政策和项目预算绩效管理办法（试行）》</w:t>
      </w:r>
      <w:r>
        <w:rPr>
          <w:rFonts w:hint="eastAsia" w:ascii="Arial Narrow" w:hAnsi="Arial Narrow" w:eastAsia="仿宋_GB2312"/>
          <w:color w:val="auto"/>
        </w:rPr>
        <w:t>（渝财绩〔2019〕1</w:t>
      </w:r>
      <w:r>
        <w:rPr>
          <w:rFonts w:ascii="Arial Narrow" w:hAnsi="Arial Narrow" w:eastAsia="仿宋_GB2312"/>
          <w:color w:val="auto"/>
        </w:rPr>
        <w:t>9</w:t>
      </w:r>
      <w:r>
        <w:rPr>
          <w:rFonts w:hint="eastAsia" w:ascii="Arial Narrow" w:hAnsi="Arial Narrow" w:eastAsia="仿宋_GB2312"/>
          <w:color w:val="auto"/>
        </w:rPr>
        <w:t>号）</w:t>
      </w:r>
      <w:r>
        <w:rPr>
          <w:rFonts w:ascii="Arial Narrow" w:hAnsi="Arial Narrow" w:eastAsia="仿宋_GB2312"/>
          <w:color w:val="auto"/>
        </w:rPr>
        <w:t>，受</w:t>
      </w:r>
      <w:r>
        <w:rPr>
          <w:rFonts w:hint="eastAsia" w:ascii="Arial Narrow" w:hAnsi="Arial Narrow" w:eastAsia="仿宋_GB2312"/>
          <w:color w:val="auto"/>
        </w:rPr>
        <w:t>重庆市铜梁区财政局</w:t>
      </w:r>
      <w:r>
        <w:rPr>
          <w:rFonts w:ascii="Arial Narrow" w:hAnsi="Arial Narrow" w:eastAsia="仿宋_GB2312"/>
          <w:color w:val="auto"/>
        </w:rPr>
        <w:t>（以下简称“</w:t>
      </w:r>
      <w:r>
        <w:rPr>
          <w:rFonts w:hint="eastAsia" w:ascii="Arial Narrow" w:hAnsi="Arial Narrow" w:eastAsia="仿宋_GB2312"/>
          <w:color w:val="auto"/>
        </w:rPr>
        <w:t>财政局</w:t>
      </w:r>
      <w:r>
        <w:rPr>
          <w:rFonts w:ascii="Arial Narrow" w:hAnsi="Arial Narrow" w:eastAsia="仿宋_GB2312"/>
          <w:color w:val="auto"/>
        </w:rPr>
        <w:t>”）的委托，我们对</w:t>
      </w:r>
      <w:r>
        <w:rPr>
          <w:rFonts w:hint="eastAsia" w:ascii="Arial Narrow" w:hAnsi="Arial Narrow" w:eastAsia="仿宋_GB2312"/>
          <w:color w:val="auto"/>
        </w:rPr>
        <w:t>重庆市铜梁区龙泽水务有限责任公司“太平水厂工程（一期）项目”</w:t>
      </w:r>
      <w:r>
        <w:rPr>
          <w:rFonts w:ascii="Arial Narrow" w:hAnsi="Arial Narrow" w:eastAsia="仿宋_GB2312"/>
          <w:color w:val="auto"/>
        </w:rPr>
        <w:t>进行绩效评价，现将评价情况报告如下：</w:t>
      </w:r>
    </w:p>
    <w:p w14:paraId="2B6754BD">
      <w:pPr>
        <w:spacing w:before="240" w:beforeLines="100" w:line="360" w:lineRule="auto"/>
        <w:ind w:firstLine="482" w:firstLineChars="200"/>
        <w:jc w:val="left"/>
        <w:outlineLvl w:val="0"/>
        <w:rPr>
          <w:rFonts w:ascii="Arial Narrow" w:hAnsi="Arial Narrow" w:eastAsia="仿宋_GB2312"/>
          <w:b/>
          <w:sz w:val="24"/>
        </w:rPr>
      </w:pPr>
      <w:bookmarkStart w:id="3" w:name="_Toc30848"/>
      <w:r>
        <w:rPr>
          <w:rFonts w:ascii="Arial Narrow" w:hAnsi="Arial Narrow" w:eastAsia="仿宋_GB2312"/>
          <w:b/>
          <w:sz w:val="24"/>
        </w:rPr>
        <w:t>一、基本情况</w:t>
      </w:r>
      <w:bookmarkEnd w:id="3"/>
    </w:p>
    <w:p w14:paraId="15747898">
      <w:pPr>
        <w:spacing w:before="120" w:beforeLines="50" w:line="360" w:lineRule="auto"/>
        <w:ind w:firstLine="482" w:firstLineChars="200"/>
        <w:jc w:val="left"/>
        <w:outlineLvl w:val="0"/>
        <w:rPr>
          <w:rFonts w:ascii="Arial Narrow" w:hAnsi="Arial Narrow" w:eastAsia="仿宋_GB2312"/>
          <w:b/>
          <w:sz w:val="24"/>
        </w:rPr>
      </w:pPr>
      <w:bookmarkStart w:id="4" w:name="_Toc7430"/>
      <w:r>
        <w:rPr>
          <w:rFonts w:hint="eastAsia" w:ascii="Arial Narrow" w:hAnsi="Arial Narrow" w:eastAsia="仿宋_GB2312"/>
          <w:b/>
          <w:sz w:val="24"/>
        </w:rPr>
        <w:t>（一）项目概况</w:t>
      </w:r>
      <w:bookmarkEnd w:id="4"/>
    </w:p>
    <w:p w14:paraId="75359CF0">
      <w:pPr>
        <w:pStyle w:val="13"/>
        <w:spacing w:line="360" w:lineRule="auto"/>
        <w:ind w:firstLine="480" w:firstLineChars="200"/>
        <w:jc w:val="both"/>
        <w:rPr>
          <w:rFonts w:ascii="Arial Narrow" w:hAnsi="Arial Narrow" w:eastAsia="仿宋_GB2312"/>
          <w:color w:val="auto"/>
        </w:rPr>
      </w:pPr>
      <w:r>
        <w:rPr>
          <w:rFonts w:hint="eastAsia" w:ascii="Arial Narrow" w:hAnsi="Arial Narrow" w:eastAsia="仿宋_GB2312"/>
          <w:color w:val="auto"/>
        </w:rPr>
        <w:t>1.项目设立背景目的</w:t>
      </w:r>
    </w:p>
    <w:p w14:paraId="2A058521">
      <w:pPr>
        <w:pStyle w:val="13"/>
        <w:spacing w:line="360" w:lineRule="auto"/>
        <w:ind w:firstLine="480" w:firstLineChars="200"/>
        <w:jc w:val="both"/>
        <w:rPr>
          <w:rFonts w:ascii="Arial Narrow" w:hAnsi="Arial Narrow" w:eastAsia="仿宋_GB2312"/>
          <w:color w:val="auto"/>
        </w:rPr>
      </w:pPr>
      <w:r>
        <w:rPr>
          <w:rFonts w:hint="eastAsia" w:ascii="Arial Narrow" w:hAnsi="Arial Narrow" w:eastAsia="仿宋_GB2312"/>
          <w:color w:val="auto"/>
        </w:rPr>
        <w:t>铜梁中心城区仅有一座水厂，即小北海水厂（设计供水规模为10万m</w:t>
      </w:r>
      <w:r>
        <w:rPr>
          <w:rFonts w:hint="eastAsia" w:ascii="Arial Narrow" w:hAnsi="Arial Narrow" w:eastAsia="仿宋_GB2312"/>
          <w:color w:val="auto"/>
          <w:vertAlign w:val="superscript"/>
        </w:rPr>
        <w:t>3</w:t>
      </w:r>
      <w:r>
        <w:rPr>
          <w:rFonts w:hint="eastAsia" w:ascii="Arial Narrow" w:hAnsi="Arial Narrow" w:eastAsia="仿宋_GB2312"/>
          <w:color w:val="auto"/>
        </w:rPr>
        <w:t>/d），供水服务范围主要为中心城区、周边的镇街和工业园区。根据2019-2020年小北海水厂的供水量统计数据，2019年日最大供水量为9.68万m</w:t>
      </w:r>
      <w:r>
        <w:rPr>
          <w:rFonts w:hint="eastAsia" w:ascii="Arial Narrow" w:hAnsi="Arial Narrow" w:eastAsia="仿宋_GB2312"/>
          <w:color w:val="auto"/>
          <w:vertAlign w:val="superscript"/>
        </w:rPr>
        <w:t>3</w:t>
      </w:r>
      <w:r>
        <w:rPr>
          <w:rFonts w:hint="eastAsia" w:ascii="Arial Narrow" w:hAnsi="Arial Narrow" w:eastAsia="仿宋_GB2312"/>
          <w:color w:val="auto"/>
        </w:rPr>
        <w:t>，2020年日最大供水量为9.8万m</w:t>
      </w:r>
      <w:r>
        <w:rPr>
          <w:rFonts w:hint="eastAsia" w:ascii="Arial Narrow" w:hAnsi="Arial Narrow" w:eastAsia="仿宋_GB2312"/>
          <w:color w:val="auto"/>
          <w:vertAlign w:val="superscript"/>
        </w:rPr>
        <w:t>3</w:t>
      </w:r>
      <w:r>
        <w:rPr>
          <w:rFonts w:hint="eastAsia" w:ascii="Arial Narrow" w:hAnsi="Arial Narrow" w:eastAsia="仿宋_GB2312"/>
          <w:color w:val="auto"/>
        </w:rPr>
        <w:t>，小北海水厂已处于满负荷运行状态，根据用水量增长趋势，2021年用水高峰期供水量将严重不足。根据《重庆市铜梁区城镇供水专业规划（2019-2030年）》及《重庆市渝西水资源配置工程可行性研究报告》，规划在太平镇新建一座供水规模为10万m</w:t>
      </w:r>
      <w:r>
        <w:rPr>
          <w:rFonts w:hint="eastAsia" w:ascii="Arial Narrow" w:hAnsi="Arial Narrow" w:eastAsia="仿宋_GB2312"/>
          <w:color w:val="auto"/>
          <w:vertAlign w:val="superscript"/>
        </w:rPr>
        <w:t>3</w:t>
      </w:r>
      <w:r>
        <w:rPr>
          <w:rFonts w:hint="eastAsia" w:ascii="Arial Narrow" w:hAnsi="Arial Narrow" w:eastAsia="仿宋_GB2312"/>
          <w:color w:val="auto"/>
        </w:rPr>
        <w:t>/d的水厂，水源为涪江，提水工程为铜梁涪江安居（新）泵站，该提水工程为渝西水资源配置工程的一部分，目前正在建设中，预计2022年完工。为了满足城市发展对供水的需要，增强铜梁区供水系统的可靠性，保障水厂工程和提水工程同步建设，开展铜梁区太平水厂工程建设已成当务之急。</w:t>
      </w:r>
    </w:p>
    <w:p w14:paraId="335C3BFD">
      <w:pPr>
        <w:pStyle w:val="13"/>
        <w:spacing w:line="360" w:lineRule="auto"/>
        <w:ind w:firstLine="480" w:firstLineChars="200"/>
        <w:jc w:val="both"/>
        <w:rPr>
          <w:rFonts w:ascii="Arial Narrow" w:hAnsi="Arial Narrow" w:eastAsia="仿宋_GB2312"/>
          <w:color w:val="auto"/>
        </w:rPr>
      </w:pPr>
      <w:bookmarkStart w:id="5" w:name="_Toc38035074"/>
      <w:bookmarkStart w:id="6" w:name="_Toc79851995"/>
      <w:r>
        <w:rPr>
          <w:rFonts w:hint="eastAsia" w:ascii="Arial Narrow" w:hAnsi="Arial Narrow" w:eastAsia="仿宋_GB2312"/>
          <w:color w:val="auto"/>
        </w:rPr>
        <w:t>2.工程概况</w:t>
      </w:r>
      <w:bookmarkEnd w:id="5"/>
      <w:bookmarkEnd w:id="6"/>
    </w:p>
    <w:p w14:paraId="2E8F1893">
      <w:pPr>
        <w:pStyle w:val="13"/>
        <w:spacing w:line="360" w:lineRule="auto"/>
        <w:ind w:firstLine="480" w:firstLineChars="200"/>
        <w:jc w:val="both"/>
        <w:rPr>
          <w:rFonts w:ascii="Arial Narrow" w:hAnsi="Arial Narrow" w:eastAsia="仿宋_GB2312"/>
          <w:color w:val="auto"/>
          <w:highlight w:val="red"/>
        </w:rPr>
      </w:pPr>
      <w:r>
        <w:rPr>
          <w:rFonts w:hint="eastAsia" w:ascii="Arial Narrow" w:hAnsi="Arial Narrow" w:eastAsia="仿宋_GB2312"/>
          <w:color w:val="auto"/>
        </w:rPr>
        <w:t>工程名称：铜梁区太平水厂工程（一期），建设单位：重庆市铜梁区龙泽水务有限责任公司，建设地点：重庆市铜梁区太平镇，征地面积59,383.8m</w:t>
      </w:r>
      <w:r>
        <w:rPr>
          <w:rFonts w:hint="eastAsia" w:ascii="Arial Narrow" w:hAnsi="Arial Narrow" w:eastAsia="仿宋_GB2312"/>
          <w:color w:val="auto"/>
          <w:vertAlign w:val="superscript"/>
        </w:rPr>
        <w:t>2</w:t>
      </w:r>
      <w:r>
        <w:rPr>
          <w:rFonts w:hint="eastAsia" w:ascii="Arial Narrow" w:hAnsi="Arial Narrow" w:eastAsia="仿宋_GB2312"/>
          <w:color w:val="auto"/>
        </w:rPr>
        <w:t>(89.1亩)，咨询单位：上海勘测设计研究院有限公司，建设规模：太平水厂设计总规模为10万m</w:t>
      </w:r>
      <w:r>
        <w:rPr>
          <w:rFonts w:hint="eastAsia" w:ascii="Arial Narrow" w:hAnsi="Arial Narrow" w:eastAsia="仿宋_GB2312"/>
          <w:color w:val="auto"/>
          <w:vertAlign w:val="superscript"/>
        </w:rPr>
        <w:t>3</w:t>
      </w:r>
      <w:r>
        <w:rPr>
          <w:rFonts w:hint="eastAsia" w:ascii="Arial Narrow" w:hAnsi="Arial Narrow" w:eastAsia="仿宋_GB2312"/>
          <w:color w:val="auto"/>
        </w:rPr>
        <w:t>/d，一期设计规模为5万m</w:t>
      </w:r>
      <w:r>
        <w:rPr>
          <w:rFonts w:hint="eastAsia" w:ascii="Arial Narrow" w:hAnsi="Arial Narrow" w:eastAsia="仿宋_GB2312"/>
          <w:color w:val="auto"/>
          <w:vertAlign w:val="superscript"/>
        </w:rPr>
        <w:t>3</w:t>
      </w:r>
      <w:r>
        <w:rPr>
          <w:rFonts w:hint="eastAsia" w:ascii="Arial Narrow" w:hAnsi="Arial Narrow" w:eastAsia="仿宋_GB2312"/>
          <w:color w:val="auto"/>
        </w:rPr>
        <w:t>/d，设计供水水质：供水水质满足《生活饮用水卫生标准》（GB5749-2006）指标，其中浊度值不超过1.0NTU。主要处理工艺：净水处理工艺：采用“预沉池+预臭氧接触池+混凝沉淀+气水反冲洗滤池”，本期预留深度处理用地；排泥水处理工艺：采用“重力浓缩+离心脱水”工艺。</w:t>
      </w:r>
    </w:p>
    <w:p w14:paraId="456B9A0D">
      <w:pPr>
        <w:spacing w:before="240" w:beforeLines="100" w:line="360" w:lineRule="auto"/>
        <w:ind w:firstLine="482" w:firstLineChars="200"/>
        <w:jc w:val="left"/>
        <w:outlineLvl w:val="0"/>
        <w:rPr>
          <w:rFonts w:ascii="Arial Narrow" w:hAnsi="Arial Narrow" w:eastAsia="仿宋_GB2312"/>
          <w:b/>
          <w:sz w:val="24"/>
        </w:rPr>
      </w:pPr>
      <w:bookmarkStart w:id="7" w:name="_Toc6781"/>
      <w:r>
        <w:rPr>
          <w:rFonts w:hint="eastAsia" w:ascii="Arial Narrow" w:hAnsi="Arial Narrow" w:eastAsia="仿宋_GB2312"/>
          <w:b/>
          <w:sz w:val="24"/>
        </w:rPr>
        <w:t>（二）项目内容及实施情况</w:t>
      </w:r>
      <w:bookmarkEnd w:id="7"/>
    </w:p>
    <w:p w14:paraId="55C60642">
      <w:pPr>
        <w:pStyle w:val="13"/>
        <w:spacing w:line="360" w:lineRule="auto"/>
        <w:ind w:firstLine="480" w:firstLineChars="200"/>
        <w:jc w:val="both"/>
        <w:rPr>
          <w:rFonts w:ascii="Arial Narrow" w:hAnsi="Arial Narrow" w:eastAsia="仿宋_GB2312"/>
          <w:color w:val="auto"/>
        </w:rPr>
      </w:pPr>
      <w:r>
        <w:rPr>
          <w:rFonts w:hint="eastAsia" w:ascii="Arial Narrow" w:hAnsi="Arial Narrow" w:eastAsia="仿宋_GB2312"/>
          <w:color w:val="auto"/>
        </w:rPr>
        <w:t>1.项目内容</w:t>
      </w:r>
    </w:p>
    <w:p w14:paraId="0955CD2B">
      <w:pPr>
        <w:pStyle w:val="13"/>
        <w:spacing w:line="360" w:lineRule="auto"/>
        <w:ind w:firstLine="480" w:firstLineChars="200"/>
        <w:jc w:val="both"/>
        <w:rPr>
          <w:rFonts w:ascii="Arial Narrow" w:hAnsi="Arial Narrow" w:eastAsia="仿宋_GB2312"/>
          <w:color w:val="auto"/>
        </w:rPr>
      </w:pPr>
      <w:r>
        <w:rPr>
          <w:rFonts w:hint="eastAsia" w:ascii="Arial Narrow" w:hAnsi="Arial Narrow" w:eastAsia="仿宋_GB2312"/>
          <w:color w:val="auto"/>
        </w:rPr>
        <w:t>重庆市水利投资（集团）有限公司《关于铜梁区太平水厂工程（一期）建设管理实施方案的批复》渝水投复〔2022〕114号，工程建设内容：①净水处理系统：网格絮凝-斜管沉淀池（土建、设备规模5万m</w:t>
      </w:r>
      <w:r>
        <w:rPr>
          <w:rFonts w:hint="eastAsia" w:ascii="Arial Narrow" w:hAnsi="Arial Narrow" w:eastAsia="仿宋_GB2312"/>
          <w:color w:val="auto"/>
          <w:vertAlign w:val="superscript"/>
        </w:rPr>
        <w:t>3</w:t>
      </w:r>
      <w:r>
        <w:rPr>
          <w:rFonts w:hint="eastAsia" w:ascii="Arial Narrow" w:hAnsi="Arial Narrow" w:eastAsia="仿宋_GB2312"/>
          <w:color w:val="auto"/>
        </w:rPr>
        <w:t>/d）、预臭氧接触池（土建、设备规模5万m</w:t>
      </w:r>
      <w:r>
        <w:rPr>
          <w:rFonts w:hint="eastAsia" w:ascii="Arial Narrow" w:hAnsi="Arial Narrow" w:eastAsia="仿宋_GB2312"/>
          <w:color w:val="auto"/>
          <w:vertAlign w:val="superscript"/>
        </w:rPr>
        <w:t>3</w:t>
      </w:r>
      <w:r>
        <w:rPr>
          <w:rFonts w:hint="eastAsia" w:ascii="Arial Narrow" w:hAnsi="Arial Narrow" w:eastAsia="仿宋_GB2312"/>
          <w:color w:val="auto"/>
        </w:rPr>
        <w:t>/d）、臭氧发生器间（土建规模10万m</w:t>
      </w:r>
      <w:r>
        <w:rPr>
          <w:rFonts w:hint="eastAsia" w:ascii="Arial Narrow" w:hAnsi="Arial Narrow" w:eastAsia="仿宋_GB2312"/>
          <w:color w:val="auto"/>
          <w:vertAlign w:val="superscript"/>
        </w:rPr>
        <w:t>3</w:t>
      </w:r>
      <w:r>
        <w:rPr>
          <w:rFonts w:hint="eastAsia" w:ascii="Arial Narrow" w:hAnsi="Arial Narrow" w:eastAsia="仿宋_GB2312"/>
          <w:color w:val="auto"/>
        </w:rPr>
        <w:t>/d，设备规模5万m</w:t>
      </w:r>
      <w:r>
        <w:rPr>
          <w:rFonts w:hint="eastAsia" w:ascii="Arial Narrow" w:hAnsi="Arial Narrow" w:eastAsia="仿宋_GB2312"/>
          <w:color w:val="auto"/>
          <w:vertAlign w:val="superscript"/>
        </w:rPr>
        <w:t>3</w:t>
      </w:r>
      <w:r>
        <w:rPr>
          <w:rFonts w:hint="eastAsia" w:ascii="Arial Narrow" w:hAnsi="Arial Narrow" w:eastAsia="仿宋_GB2312"/>
          <w:color w:val="auto"/>
        </w:rPr>
        <w:t>/d）、折板絮凝-平流沉淀池（土建、设备规模5万m</w:t>
      </w:r>
      <w:r>
        <w:rPr>
          <w:rFonts w:hint="eastAsia" w:ascii="Arial Narrow" w:hAnsi="Arial Narrow" w:eastAsia="仿宋_GB2312"/>
          <w:color w:val="auto"/>
          <w:vertAlign w:val="superscript"/>
        </w:rPr>
        <w:t>3</w:t>
      </w:r>
      <w:r>
        <w:rPr>
          <w:rFonts w:hint="eastAsia" w:ascii="Arial Narrow" w:hAnsi="Arial Narrow" w:eastAsia="仿宋_GB2312"/>
          <w:color w:val="auto"/>
        </w:rPr>
        <w:t>/d）、气水反冲洗滤池（土建、设备规模5万m</w:t>
      </w:r>
      <w:r>
        <w:rPr>
          <w:rFonts w:hint="eastAsia" w:ascii="Arial Narrow" w:hAnsi="Arial Narrow" w:eastAsia="仿宋_GB2312"/>
          <w:color w:val="auto"/>
          <w:vertAlign w:val="superscript"/>
        </w:rPr>
        <w:t>3</w:t>
      </w:r>
      <w:r>
        <w:rPr>
          <w:rFonts w:hint="eastAsia" w:ascii="Arial Narrow" w:hAnsi="Arial Narrow" w:eastAsia="仿宋_GB2312"/>
          <w:color w:val="auto"/>
        </w:rPr>
        <w:t>/d）、滤池反冲洗泵（土建、设备规模10万m</w:t>
      </w:r>
      <w:r>
        <w:rPr>
          <w:rFonts w:hint="eastAsia" w:ascii="Arial Narrow" w:hAnsi="Arial Narrow" w:eastAsia="仿宋_GB2312"/>
          <w:color w:val="auto"/>
          <w:vertAlign w:val="superscript"/>
        </w:rPr>
        <w:t>3</w:t>
      </w:r>
      <w:r>
        <w:rPr>
          <w:rFonts w:hint="eastAsia" w:ascii="Arial Narrow" w:hAnsi="Arial Narrow" w:eastAsia="仿宋_GB2312"/>
          <w:color w:val="auto"/>
        </w:rPr>
        <w:t>/d）、清水池（有效容积1万m</w:t>
      </w:r>
      <w:r>
        <w:rPr>
          <w:rFonts w:hint="eastAsia" w:ascii="Arial Narrow" w:hAnsi="Arial Narrow" w:eastAsia="仿宋_GB2312"/>
          <w:color w:val="auto"/>
          <w:vertAlign w:val="superscript"/>
        </w:rPr>
        <w:t>3</w:t>
      </w:r>
      <w:r>
        <w:rPr>
          <w:rFonts w:hint="eastAsia" w:ascii="Arial Narrow" w:hAnsi="Arial Narrow" w:eastAsia="仿宋_GB2312"/>
          <w:color w:val="auto"/>
        </w:rPr>
        <w:t>）、送水泵房（土建规模10万m</w:t>
      </w:r>
      <w:r>
        <w:rPr>
          <w:rFonts w:hint="eastAsia" w:ascii="Arial Narrow" w:hAnsi="Arial Narrow" w:eastAsia="仿宋_GB2312"/>
          <w:color w:val="auto"/>
          <w:vertAlign w:val="superscript"/>
        </w:rPr>
        <w:t>3</w:t>
      </w:r>
      <w:r>
        <w:rPr>
          <w:rFonts w:hint="eastAsia" w:ascii="Arial Narrow" w:hAnsi="Arial Narrow" w:eastAsia="仿宋_GB2312"/>
          <w:color w:val="auto"/>
        </w:rPr>
        <w:t>/d，设备规模5万m</w:t>
      </w:r>
      <w:r>
        <w:rPr>
          <w:rFonts w:hint="eastAsia" w:ascii="Arial Narrow" w:hAnsi="Arial Narrow" w:eastAsia="仿宋_GB2312"/>
          <w:color w:val="auto"/>
          <w:vertAlign w:val="superscript"/>
        </w:rPr>
        <w:t>3</w:t>
      </w:r>
      <w:r>
        <w:rPr>
          <w:rFonts w:hint="eastAsia" w:ascii="Arial Narrow" w:hAnsi="Arial Narrow" w:eastAsia="仿宋_GB2312"/>
          <w:color w:val="auto"/>
        </w:rPr>
        <w:t>/d）。②排泥水处理系统：新建排泥池（土建、设备规模10万m</w:t>
      </w:r>
      <w:r>
        <w:rPr>
          <w:rFonts w:hint="eastAsia" w:ascii="Arial Narrow" w:hAnsi="Arial Narrow" w:eastAsia="仿宋_GB2312"/>
          <w:color w:val="auto"/>
          <w:vertAlign w:val="superscript"/>
        </w:rPr>
        <w:t>3</w:t>
      </w:r>
      <w:r>
        <w:rPr>
          <w:rFonts w:hint="eastAsia" w:ascii="Arial Narrow" w:hAnsi="Arial Narrow" w:eastAsia="仿宋_GB2312"/>
          <w:color w:val="auto"/>
        </w:rPr>
        <w:t>/d）、污泥浓缩池（土建、设备规模5万m</w:t>
      </w:r>
      <w:r>
        <w:rPr>
          <w:rFonts w:hint="eastAsia" w:ascii="Arial Narrow" w:hAnsi="Arial Narrow" w:eastAsia="仿宋_GB2312"/>
          <w:color w:val="auto"/>
          <w:vertAlign w:val="superscript"/>
        </w:rPr>
        <w:t>3</w:t>
      </w:r>
      <w:r>
        <w:rPr>
          <w:rFonts w:hint="eastAsia" w:ascii="Arial Narrow" w:hAnsi="Arial Narrow" w:eastAsia="仿宋_GB2312"/>
          <w:color w:val="auto"/>
        </w:rPr>
        <w:t>/d）、污泥储池（土建、设备规模10万m</w:t>
      </w:r>
      <w:r>
        <w:rPr>
          <w:rFonts w:hint="eastAsia" w:ascii="Arial Narrow" w:hAnsi="Arial Narrow" w:eastAsia="仿宋_GB2312"/>
          <w:color w:val="auto"/>
          <w:vertAlign w:val="superscript"/>
        </w:rPr>
        <w:t>3</w:t>
      </w:r>
      <w:r>
        <w:rPr>
          <w:rFonts w:hint="eastAsia" w:ascii="Arial Narrow" w:hAnsi="Arial Narrow" w:eastAsia="仿宋_GB2312"/>
          <w:color w:val="auto"/>
        </w:rPr>
        <w:t>/d）、污泥脱水车间（土建规模10万m</w:t>
      </w:r>
      <w:r>
        <w:rPr>
          <w:rFonts w:hint="eastAsia" w:ascii="Arial Narrow" w:hAnsi="Arial Narrow" w:eastAsia="仿宋_GB2312"/>
          <w:color w:val="auto"/>
          <w:vertAlign w:val="superscript"/>
        </w:rPr>
        <w:t>3</w:t>
      </w:r>
      <w:r>
        <w:rPr>
          <w:rFonts w:hint="eastAsia" w:ascii="Arial Narrow" w:hAnsi="Arial Narrow" w:eastAsia="仿宋_GB2312"/>
          <w:color w:val="auto"/>
        </w:rPr>
        <w:t>/d，设备规模5万m</w:t>
      </w:r>
      <w:r>
        <w:rPr>
          <w:rFonts w:hint="eastAsia" w:ascii="Arial Narrow" w:hAnsi="Arial Narrow" w:eastAsia="仿宋_GB2312"/>
          <w:color w:val="auto"/>
          <w:vertAlign w:val="superscript"/>
        </w:rPr>
        <w:t>3</w:t>
      </w:r>
      <w:r>
        <w:rPr>
          <w:rFonts w:hint="eastAsia" w:ascii="Arial Narrow" w:hAnsi="Arial Narrow" w:eastAsia="仿宋_GB2312"/>
          <w:color w:val="auto"/>
        </w:rPr>
        <w:t>/d）。③附属生产构筑物：新建加药加氯间（土建规模10万m</w:t>
      </w:r>
      <w:r>
        <w:rPr>
          <w:rFonts w:hint="eastAsia" w:ascii="Arial Narrow" w:hAnsi="Arial Narrow" w:eastAsia="仿宋_GB2312"/>
          <w:color w:val="auto"/>
          <w:vertAlign w:val="superscript"/>
        </w:rPr>
        <w:t>3</w:t>
      </w:r>
      <w:r>
        <w:rPr>
          <w:rFonts w:hint="eastAsia" w:ascii="Arial Narrow" w:hAnsi="Arial Narrow" w:eastAsia="仿宋_GB2312"/>
          <w:color w:val="auto"/>
        </w:rPr>
        <w:t>/d，设备规模5万m</w:t>
      </w:r>
      <w:r>
        <w:rPr>
          <w:rFonts w:hint="eastAsia" w:ascii="Arial Narrow" w:hAnsi="Arial Narrow" w:eastAsia="仿宋_GB2312"/>
          <w:color w:val="auto"/>
          <w:vertAlign w:val="superscript"/>
        </w:rPr>
        <w:t>3</w:t>
      </w:r>
      <w:r>
        <w:rPr>
          <w:rFonts w:hint="eastAsia" w:ascii="Arial Narrow" w:hAnsi="Arial Narrow" w:eastAsia="仿宋_GB2312"/>
          <w:color w:val="auto"/>
        </w:rPr>
        <w:t>/d）、排水池（土建、设备规模10万m</w:t>
      </w:r>
      <w:r>
        <w:rPr>
          <w:rFonts w:hint="eastAsia" w:ascii="Arial Narrow" w:hAnsi="Arial Narrow" w:eastAsia="仿宋_GB2312"/>
          <w:color w:val="auto"/>
          <w:vertAlign w:val="superscript"/>
        </w:rPr>
        <w:t>3</w:t>
      </w:r>
      <w:r>
        <w:rPr>
          <w:rFonts w:hint="eastAsia" w:ascii="Arial Narrow" w:hAnsi="Arial Narrow" w:eastAsia="仿宋_GB2312"/>
          <w:color w:val="auto"/>
        </w:rPr>
        <w:t>/d）。④输水管网：新建输水管道8km，从太平水厂到中心城区，单根布置，管径DN1000，主要材质为球墨铸铁。</w:t>
      </w:r>
    </w:p>
    <w:p w14:paraId="6208064B">
      <w:pPr>
        <w:pStyle w:val="13"/>
        <w:spacing w:line="360" w:lineRule="auto"/>
        <w:ind w:firstLine="480" w:firstLineChars="200"/>
        <w:jc w:val="both"/>
        <w:rPr>
          <w:rFonts w:ascii="Arial Narrow" w:hAnsi="Arial Narrow" w:eastAsia="仿宋_GB2312"/>
          <w:color w:val="auto"/>
        </w:rPr>
      </w:pPr>
      <w:r>
        <w:rPr>
          <w:rFonts w:hint="eastAsia" w:ascii="Arial Narrow" w:hAnsi="Arial Narrow" w:eastAsia="仿宋_GB2312"/>
          <w:color w:val="auto"/>
        </w:rPr>
        <w:t>2.项目实施情况</w:t>
      </w:r>
    </w:p>
    <w:p w14:paraId="717CACE4">
      <w:pPr>
        <w:pStyle w:val="13"/>
        <w:spacing w:line="360" w:lineRule="auto"/>
        <w:ind w:firstLine="480" w:firstLineChars="200"/>
        <w:jc w:val="both"/>
        <w:rPr>
          <w:rFonts w:ascii="Arial Narrow" w:hAnsi="Arial Narrow" w:eastAsia="仿宋_GB2312"/>
          <w:color w:val="auto"/>
        </w:rPr>
      </w:pPr>
      <w:r>
        <w:rPr>
          <w:rFonts w:hint="eastAsia" w:ascii="Arial Narrow" w:hAnsi="Arial Narrow" w:eastAsia="仿宋_GB2312"/>
          <w:color w:val="auto"/>
        </w:rPr>
        <w:t>2022年6月经公开招投标确定广州市市政工程机械施工有限公司为土建部分建设单位，中标金额5,623.83万元，2022年8月12日签订《施工合同》，2022年7月经公开招投标确定中鸿亿博集团有限公司为监理单位，2023年1月经公开招投标确定四川绨信建设工程有限公司为输水管网建设单位。2023年2月经公开招投标确定城捷祥集团有限公司为重要设备供应商。2022年10月28日发布开工令，截至2024年5月尚未完工。</w:t>
      </w:r>
    </w:p>
    <w:p w14:paraId="0209B194">
      <w:pPr>
        <w:numPr>
          <w:ilvl w:val="0"/>
          <w:numId w:val="1"/>
        </w:numPr>
        <w:spacing w:before="120" w:beforeLines="50" w:line="360" w:lineRule="auto"/>
        <w:ind w:firstLine="482" w:firstLineChars="200"/>
        <w:jc w:val="left"/>
        <w:outlineLvl w:val="0"/>
        <w:rPr>
          <w:rFonts w:ascii="Arial Narrow" w:hAnsi="Arial Narrow" w:eastAsia="仿宋_GB2312"/>
          <w:b/>
          <w:sz w:val="24"/>
        </w:rPr>
      </w:pPr>
      <w:bookmarkStart w:id="8" w:name="_Toc12975"/>
      <w:r>
        <w:rPr>
          <w:rFonts w:ascii="Arial Narrow" w:hAnsi="Arial Narrow" w:eastAsia="仿宋_GB2312"/>
          <w:b/>
          <w:sz w:val="24"/>
        </w:rPr>
        <w:t>资金投入及使用情况</w:t>
      </w:r>
      <w:bookmarkEnd w:id="8"/>
    </w:p>
    <w:p w14:paraId="5E5B0FD8">
      <w:pPr>
        <w:pStyle w:val="13"/>
        <w:spacing w:line="360" w:lineRule="auto"/>
        <w:ind w:firstLine="480" w:firstLineChars="200"/>
        <w:jc w:val="both"/>
        <w:rPr>
          <w:rFonts w:ascii="Arial Narrow" w:hAnsi="Arial Narrow" w:eastAsia="仿宋_GB2312"/>
          <w:color w:val="auto"/>
        </w:rPr>
      </w:pPr>
      <w:r>
        <w:rPr>
          <w:rFonts w:hint="eastAsia" w:ascii="Arial Narrow" w:hAnsi="Arial Narrow" w:eastAsia="仿宋_GB2312"/>
          <w:color w:val="auto"/>
        </w:rPr>
        <w:t>1.资金概算</w:t>
      </w:r>
    </w:p>
    <w:p w14:paraId="6B962DC4">
      <w:pPr>
        <w:pStyle w:val="13"/>
        <w:spacing w:line="360" w:lineRule="auto"/>
        <w:ind w:firstLine="480" w:firstLineChars="200"/>
        <w:jc w:val="both"/>
        <w:rPr>
          <w:rFonts w:ascii="Arial Narrow" w:hAnsi="Arial Narrow" w:eastAsia="仿宋_GB2312"/>
          <w:color w:val="auto"/>
        </w:rPr>
      </w:pPr>
      <w:r>
        <w:rPr>
          <w:rFonts w:hint="eastAsia" w:ascii="Arial Narrow" w:hAnsi="Arial Narrow" w:eastAsia="仿宋_GB2312"/>
          <w:color w:val="auto"/>
        </w:rPr>
        <w:t>根据重庆市水利投资（集团）有限公司《关于铜梁区太平水厂工程（一期）建设管理实施方案的批复》渝水投复〔2022〕114号工程概算总投资19,383.99万元，其中建安工程费用14,233.15万元，建设工程其他费用4,043.00万元，预备费用765.72万元，专项费用342.12万元。</w:t>
      </w:r>
    </w:p>
    <w:p w14:paraId="020BCD44">
      <w:pPr>
        <w:pStyle w:val="13"/>
        <w:spacing w:line="360" w:lineRule="auto"/>
        <w:ind w:firstLine="480" w:firstLineChars="200"/>
        <w:jc w:val="both"/>
        <w:rPr>
          <w:rFonts w:ascii="Arial Narrow" w:hAnsi="Arial Narrow" w:eastAsia="仿宋_GB2312"/>
          <w:color w:val="auto"/>
        </w:rPr>
      </w:pPr>
      <w:r>
        <w:rPr>
          <w:rFonts w:hint="eastAsia" w:ascii="Arial Narrow" w:hAnsi="Arial Narrow" w:eastAsia="仿宋_GB2312"/>
          <w:color w:val="auto"/>
        </w:rPr>
        <w:t>2.资金到位情况</w:t>
      </w:r>
    </w:p>
    <w:p w14:paraId="1E15194F">
      <w:pPr>
        <w:pStyle w:val="13"/>
        <w:spacing w:line="360" w:lineRule="auto"/>
        <w:ind w:firstLine="480" w:firstLineChars="200"/>
        <w:jc w:val="both"/>
        <w:rPr>
          <w:rFonts w:ascii="Arial Narrow" w:hAnsi="Arial Narrow" w:eastAsia="仿宋_GB2312"/>
          <w:color w:val="auto"/>
        </w:rPr>
      </w:pPr>
      <w:r>
        <w:rPr>
          <w:rFonts w:hint="eastAsia" w:ascii="Arial Narrow" w:hAnsi="Arial Narrow" w:eastAsia="仿宋_GB2312"/>
          <w:color w:val="auto"/>
        </w:rPr>
        <w:t>截至2022年7月</w:t>
      </w:r>
      <w:r>
        <w:rPr>
          <w:rFonts w:ascii="Arial Narrow" w:hAnsi="Arial Narrow" w:eastAsia="仿宋_GB2312"/>
          <w:color w:val="auto"/>
        </w:rPr>
        <w:t>实际到位资金总额</w:t>
      </w:r>
      <w:r>
        <w:rPr>
          <w:rFonts w:hint="eastAsia" w:ascii="Arial Narrow" w:hAnsi="Arial Narrow" w:eastAsia="仿宋_GB2312"/>
          <w:color w:val="auto"/>
        </w:rPr>
        <w:t>19,383.99</w:t>
      </w:r>
      <w:r>
        <w:rPr>
          <w:rFonts w:ascii="Arial Narrow" w:hAnsi="Arial Narrow" w:eastAsia="仿宋_GB2312"/>
          <w:color w:val="auto"/>
        </w:rPr>
        <w:t>万元</w:t>
      </w:r>
      <w:r>
        <w:rPr>
          <w:rFonts w:hint="eastAsia" w:ascii="Arial Narrow" w:hAnsi="Arial Narrow" w:eastAsia="仿宋_GB2312"/>
          <w:color w:val="auto"/>
        </w:rPr>
        <w:t>，资金到位率100</w:t>
      </w:r>
      <w:r>
        <w:rPr>
          <w:rFonts w:ascii="Arial Narrow" w:hAnsi="Arial Narrow" w:eastAsia="仿宋_GB2312"/>
          <w:color w:val="auto"/>
        </w:rPr>
        <w:t>%</w:t>
      </w:r>
      <w:r>
        <w:rPr>
          <w:rFonts w:hint="eastAsia" w:ascii="Arial Narrow" w:hAnsi="Arial Narrow" w:eastAsia="仿宋_GB2312"/>
          <w:color w:val="auto"/>
        </w:rPr>
        <w:t>，详见下表：</w:t>
      </w:r>
    </w:p>
    <w:p w14:paraId="2D535116">
      <w:pPr>
        <w:pStyle w:val="13"/>
        <w:spacing w:line="360" w:lineRule="auto"/>
        <w:ind w:firstLine="420" w:firstLineChars="200"/>
        <w:jc w:val="right"/>
        <w:rPr>
          <w:rFonts w:hint="eastAsia" w:ascii="Arial Narrow" w:hAnsi="Arial Narrow" w:eastAsia="仿宋_GB2312"/>
          <w:color w:val="auto"/>
          <w:sz w:val="21"/>
          <w:szCs w:val="21"/>
        </w:rPr>
      </w:pPr>
      <w:r>
        <w:rPr>
          <w:rFonts w:hint="eastAsia" w:ascii="Arial Narrow" w:hAnsi="Arial Narrow" w:eastAsia="方正仿宋_GBK" w:cs="方正仿宋_GBK"/>
          <w:sz w:val="21"/>
          <w:szCs w:val="21"/>
        </w:rPr>
        <w:t>单位：万元</w:t>
      </w:r>
    </w:p>
    <w:tbl>
      <w:tblPr>
        <w:tblStyle w:val="8"/>
        <w:tblW w:w="9004" w:type="dxa"/>
        <w:jc w:val="center"/>
        <w:tblLayout w:type="fixed"/>
        <w:tblCellMar>
          <w:top w:w="0" w:type="dxa"/>
          <w:left w:w="108" w:type="dxa"/>
          <w:bottom w:w="0" w:type="dxa"/>
          <w:right w:w="108" w:type="dxa"/>
        </w:tblCellMar>
      </w:tblPr>
      <w:tblGrid>
        <w:gridCol w:w="1135"/>
        <w:gridCol w:w="1885"/>
        <w:gridCol w:w="1668"/>
        <w:gridCol w:w="1656"/>
        <w:gridCol w:w="1524"/>
        <w:gridCol w:w="1136"/>
      </w:tblGrid>
      <w:tr w14:paraId="4DE9BAA4">
        <w:tblPrEx>
          <w:tblCellMar>
            <w:top w:w="0" w:type="dxa"/>
            <w:left w:w="108" w:type="dxa"/>
            <w:bottom w:w="0" w:type="dxa"/>
            <w:right w:w="108" w:type="dxa"/>
          </w:tblCellMar>
        </w:tblPrEx>
        <w:trPr>
          <w:trHeight w:val="397"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B3D2">
            <w:pPr>
              <w:widowControl/>
              <w:jc w:val="center"/>
              <w:rPr>
                <w:rFonts w:ascii="Arial Narrow" w:hAnsi="Arial Narrow" w:eastAsia="方正仿宋_GBK" w:cs="方正仿宋_GBK"/>
                <w:kern w:val="0"/>
                <w:szCs w:val="21"/>
              </w:rPr>
            </w:pPr>
            <w:r>
              <w:rPr>
                <w:rFonts w:hint="eastAsia" w:ascii="Arial Narrow" w:hAnsi="Arial Narrow" w:eastAsia="方正仿宋_GBK" w:cs="方正仿宋_GBK"/>
                <w:kern w:val="0"/>
                <w:szCs w:val="21"/>
              </w:rPr>
              <w:t>序号</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5C4A">
            <w:pPr>
              <w:widowControl/>
              <w:jc w:val="center"/>
              <w:rPr>
                <w:rFonts w:ascii="Arial Narrow" w:hAnsi="Arial Narrow" w:eastAsia="方正仿宋_GBK" w:cs="方正仿宋_GBK"/>
                <w:kern w:val="0"/>
                <w:szCs w:val="21"/>
              </w:rPr>
            </w:pPr>
            <w:r>
              <w:rPr>
                <w:rFonts w:hint="eastAsia" w:ascii="Arial Narrow" w:hAnsi="Arial Narrow" w:eastAsia="方正仿宋_GBK" w:cs="方正仿宋_GBK"/>
                <w:kern w:val="0"/>
                <w:szCs w:val="21"/>
              </w:rPr>
              <w:t>资金来源</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D846">
            <w:pPr>
              <w:widowControl/>
              <w:jc w:val="center"/>
              <w:rPr>
                <w:rFonts w:ascii="Arial Narrow" w:hAnsi="Arial Narrow" w:eastAsia="方正仿宋_GBK" w:cs="方正仿宋_GBK"/>
                <w:kern w:val="0"/>
                <w:szCs w:val="21"/>
              </w:rPr>
            </w:pPr>
            <w:r>
              <w:rPr>
                <w:rFonts w:hint="eastAsia" w:ascii="Arial Narrow" w:hAnsi="Arial Narrow" w:eastAsia="方正仿宋_GBK" w:cs="方正仿宋_GBK"/>
                <w:kern w:val="0"/>
                <w:szCs w:val="21"/>
              </w:rPr>
              <w:t>应到到位金额</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EC5E">
            <w:pPr>
              <w:widowControl/>
              <w:jc w:val="center"/>
              <w:rPr>
                <w:rFonts w:ascii="Arial Narrow" w:hAnsi="Arial Narrow" w:eastAsia="方正仿宋_GBK" w:cs="方正仿宋_GBK"/>
                <w:kern w:val="0"/>
                <w:szCs w:val="21"/>
              </w:rPr>
            </w:pPr>
            <w:r>
              <w:rPr>
                <w:rFonts w:hint="eastAsia" w:ascii="Arial Narrow" w:hAnsi="Arial Narrow" w:eastAsia="方正仿宋_GBK" w:cs="方正仿宋_GBK"/>
                <w:kern w:val="0"/>
                <w:szCs w:val="21"/>
              </w:rPr>
              <w:t>实际到位金额</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F2D4">
            <w:pPr>
              <w:widowControl/>
              <w:jc w:val="center"/>
              <w:rPr>
                <w:rFonts w:ascii="Arial Narrow" w:hAnsi="Arial Narrow" w:eastAsia="方正仿宋_GBK" w:cs="方正仿宋_GBK"/>
                <w:kern w:val="0"/>
                <w:szCs w:val="21"/>
              </w:rPr>
            </w:pPr>
            <w:r>
              <w:rPr>
                <w:rFonts w:hint="eastAsia" w:ascii="Arial Narrow" w:hAnsi="Arial Narrow" w:eastAsia="方正仿宋_GBK" w:cs="方正仿宋_GBK"/>
                <w:kern w:val="0"/>
                <w:szCs w:val="21"/>
              </w:rPr>
              <w:t>占比</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A789">
            <w:pPr>
              <w:widowControl/>
              <w:jc w:val="center"/>
              <w:rPr>
                <w:rFonts w:ascii="Arial Narrow" w:hAnsi="Arial Narrow" w:eastAsia="方正仿宋_GBK" w:cs="方正仿宋_GBK"/>
                <w:kern w:val="0"/>
                <w:szCs w:val="21"/>
              </w:rPr>
            </w:pPr>
            <w:r>
              <w:rPr>
                <w:rFonts w:hint="eastAsia" w:ascii="Arial Narrow" w:hAnsi="Arial Narrow" w:eastAsia="方正仿宋_GBK" w:cs="方正仿宋_GBK"/>
                <w:kern w:val="0"/>
                <w:szCs w:val="21"/>
              </w:rPr>
              <w:t>备注</w:t>
            </w:r>
          </w:p>
        </w:tc>
      </w:tr>
      <w:tr w14:paraId="468FA51A">
        <w:tblPrEx>
          <w:tblCellMar>
            <w:top w:w="0" w:type="dxa"/>
            <w:left w:w="108" w:type="dxa"/>
            <w:bottom w:w="0" w:type="dxa"/>
            <w:right w:w="108" w:type="dxa"/>
          </w:tblCellMar>
        </w:tblPrEx>
        <w:trPr>
          <w:trHeight w:val="397"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2E20">
            <w:pPr>
              <w:widowControl/>
              <w:jc w:val="center"/>
              <w:rPr>
                <w:rFonts w:ascii="Arial Narrow" w:hAnsi="Arial Narrow" w:eastAsia="方正仿宋_GBK" w:cs="方正仿宋_GBK"/>
                <w:kern w:val="0"/>
                <w:szCs w:val="21"/>
              </w:rPr>
            </w:pPr>
            <w:r>
              <w:rPr>
                <w:rFonts w:hint="eastAsia" w:ascii="Arial Narrow" w:hAnsi="Arial Narrow" w:eastAsia="方正仿宋_GBK" w:cs="方正仿宋_GBK"/>
                <w:kern w:val="0"/>
                <w:szCs w:val="21"/>
              </w:rPr>
              <w:t>1</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4568">
            <w:pPr>
              <w:widowControl/>
              <w:jc w:val="center"/>
              <w:rPr>
                <w:rFonts w:ascii="Arial Narrow" w:hAnsi="Arial Narrow" w:eastAsia="方正仿宋_GBK" w:cs="方正仿宋_GBK"/>
                <w:kern w:val="0"/>
                <w:szCs w:val="21"/>
              </w:rPr>
            </w:pPr>
            <w:r>
              <w:rPr>
                <w:rFonts w:hint="eastAsia" w:ascii="Arial Narrow" w:hAnsi="Arial Narrow" w:eastAsia="方正仿宋_GBK" w:cs="方正仿宋_GBK"/>
                <w:kern w:val="0"/>
                <w:szCs w:val="21"/>
              </w:rPr>
              <w:t>专项债券</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E772">
            <w:pPr>
              <w:jc w:val="center"/>
              <w:rPr>
                <w:rFonts w:ascii="Arial Narrow" w:hAnsi="Arial Narrow" w:eastAsia="方正仿宋_GBK" w:cs="方正仿宋_GBK"/>
                <w:szCs w:val="21"/>
              </w:rPr>
            </w:pPr>
            <w:r>
              <w:rPr>
                <w:rFonts w:hint="eastAsia" w:ascii="Arial Narrow" w:hAnsi="Arial Narrow" w:eastAsia="方正仿宋_GBK" w:cs="方正仿宋_GBK"/>
                <w:szCs w:val="21"/>
              </w:rPr>
              <w:t>10,000.00</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297B">
            <w:pPr>
              <w:jc w:val="center"/>
              <w:rPr>
                <w:rFonts w:ascii="Arial Narrow" w:hAnsi="Arial Narrow" w:eastAsia="方正仿宋_GBK" w:cs="方正仿宋_GBK"/>
                <w:szCs w:val="21"/>
              </w:rPr>
            </w:pPr>
            <w:r>
              <w:rPr>
                <w:rFonts w:hint="eastAsia" w:ascii="Arial Narrow" w:hAnsi="Arial Narrow" w:eastAsia="方正仿宋_GBK" w:cs="方正仿宋_GBK"/>
                <w:szCs w:val="21"/>
              </w:rPr>
              <w:t>10,000.00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8DEF">
            <w:pPr>
              <w:jc w:val="center"/>
              <w:rPr>
                <w:rFonts w:ascii="Arial Narrow" w:hAnsi="Arial Narrow" w:eastAsia="方正仿宋_GBK" w:cs="方正仿宋_GBK"/>
                <w:szCs w:val="21"/>
              </w:rPr>
            </w:pPr>
            <w:r>
              <w:rPr>
                <w:rFonts w:hint="eastAsia" w:ascii="Arial Narrow" w:hAnsi="Arial Narrow" w:eastAsia="方正仿宋_GBK" w:cs="方正仿宋_GBK"/>
                <w:szCs w:val="21"/>
              </w:rPr>
              <w:t>100.00%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B312">
            <w:pPr>
              <w:jc w:val="center"/>
              <w:rPr>
                <w:rFonts w:ascii="宋体" w:hAnsi="宋体" w:cs="宋体"/>
                <w:color w:val="000000"/>
                <w:szCs w:val="21"/>
              </w:rPr>
            </w:pPr>
          </w:p>
        </w:tc>
      </w:tr>
      <w:tr w14:paraId="300548D7">
        <w:tblPrEx>
          <w:tblCellMar>
            <w:top w:w="0" w:type="dxa"/>
            <w:left w:w="108" w:type="dxa"/>
            <w:bottom w:w="0" w:type="dxa"/>
            <w:right w:w="108" w:type="dxa"/>
          </w:tblCellMar>
        </w:tblPrEx>
        <w:trPr>
          <w:trHeight w:val="397"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60E7">
            <w:pPr>
              <w:widowControl/>
              <w:jc w:val="center"/>
              <w:rPr>
                <w:rFonts w:ascii="Arial Narrow" w:hAnsi="Arial Narrow" w:eastAsia="方正仿宋_GBK" w:cs="方正仿宋_GBK"/>
                <w:kern w:val="0"/>
                <w:szCs w:val="21"/>
              </w:rPr>
            </w:pPr>
            <w:r>
              <w:rPr>
                <w:rFonts w:hint="eastAsia" w:ascii="Arial Narrow" w:hAnsi="Arial Narrow" w:eastAsia="方正仿宋_GBK" w:cs="方正仿宋_GBK"/>
                <w:kern w:val="0"/>
                <w:szCs w:val="21"/>
              </w:rPr>
              <w:t>2</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3307">
            <w:pPr>
              <w:widowControl/>
              <w:jc w:val="center"/>
              <w:rPr>
                <w:rFonts w:ascii="Arial Narrow" w:hAnsi="Arial Narrow" w:eastAsia="方正仿宋_GBK" w:cs="方正仿宋_GBK"/>
                <w:kern w:val="0"/>
                <w:szCs w:val="21"/>
              </w:rPr>
            </w:pPr>
            <w:r>
              <w:rPr>
                <w:rFonts w:hint="eastAsia" w:ascii="Arial Narrow" w:hAnsi="Arial Narrow" w:eastAsia="方正仿宋_GBK" w:cs="方正仿宋_GBK"/>
                <w:kern w:val="0"/>
                <w:szCs w:val="21"/>
              </w:rPr>
              <w:t>自筹资金</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18F6">
            <w:pPr>
              <w:jc w:val="center"/>
              <w:rPr>
                <w:rFonts w:ascii="Arial Narrow" w:hAnsi="Arial Narrow" w:eastAsia="方正仿宋_GBK" w:cs="方正仿宋_GBK"/>
                <w:szCs w:val="21"/>
              </w:rPr>
            </w:pPr>
            <w:r>
              <w:rPr>
                <w:rFonts w:hint="eastAsia" w:ascii="Arial Narrow" w:hAnsi="Arial Narrow" w:eastAsia="方正仿宋_GBK" w:cs="方正仿宋_GBK"/>
                <w:szCs w:val="21"/>
              </w:rPr>
              <w:t>9,383.99</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CABB">
            <w:pPr>
              <w:jc w:val="center"/>
              <w:rPr>
                <w:rFonts w:ascii="Arial Narrow" w:hAnsi="Arial Narrow" w:eastAsia="方正仿宋_GBK" w:cs="方正仿宋_GBK"/>
                <w:szCs w:val="21"/>
              </w:rPr>
            </w:pPr>
            <w:r>
              <w:rPr>
                <w:rFonts w:hint="eastAsia" w:ascii="Arial Narrow" w:hAnsi="Arial Narrow" w:eastAsia="方正仿宋_GBK" w:cs="方正仿宋_GBK"/>
                <w:szCs w:val="21"/>
              </w:rPr>
              <w:t>9,383.99</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8ADF">
            <w:pPr>
              <w:jc w:val="center"/>
              <w:rPr>
                <w:rFonts w:ascii="Arial Narrow" w:hAnsi="Arial Narrow" w:eastAsia="方正仿宋_GBK" w:cs="方正仿宋_GBK"/>
                <w:szCs w:val="21"/>
              </w:rPr>
            </w:pPr>
            <w:r>
              <w:rPr>
                <w:rFonts w:hint="eastAsia" w:ascii="Arial Narrow" w:hAnsi="Arial Narrow" w:eastAsia="方正仿宋_GBK" w:cs="方正仿宋_GBK"/>
                <w:szCs w:val="21"/>
              </w:rPr>
              <w:t>100.00%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6C52">
            <w:pPr>
              <w:jc w:val="center"/>
              <w:rPr>
                <w:rFonts w:ascii="宋体" w:hAnsi="宋体" w:cs="宋体"/>
                <w:color w:val="000000"/>
                <w:szCs w:val="21"/>
              </w:rPr>
            </w:pPr>
          </w:p>
        </w:tc>
      </w:tr>
      <w:tr w14:paraId="77BF6B22">
        <w:tblPrEx>
          <w:tblCellMar>
            <w:top w:w="0" w:type="dxa"/>
            <w:left w:w="108" w:type="dxa"/>
            <w:bottom w:w="0" w:type="dxa"/>
            <w:right w:w="108" w:type="dxa"/>
          </w:tblCellMar>
        </w:tblPrEx>
        <w:trPr>
          <w:trHeight w:val="397" w:hRule="atLeast"/>
          <w:jc w:val="center"/>
        </w:trPr>
        <w:tc>
          <w:tcPr>
            <w:tcW w:w="3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C6F8">
            <w:pPr>
              <w:widowControl/>
              <w:jc w:val="center"/>
              <w:rPr>
                <w:rFonts w:ascii="Arial Narrow" w:hAnsi="Arial Narrow" w:eastAsia="方正仿宋_GBK" w:cs="方正仿宋_GBK"/>
                <w:kern w:val="0"/>
                <w:szCs w:val="21"/>
              </w:rPr>
            </w:pPr>
            <w:r>
              <w:rPr>
                <w:rFonts w:hint="eastAsia" w:ascii="Arial Narrow" w:hAnsi="Arial Narrow" w:eastAsia="方正仿宋_GBK" w:cs="方正仿宋_GBK"/>
                <w:kern w:val="0"/>
                <w:szCs w:val="21"/>
              </w:rPr>
              <w:t>合计</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098A">
            <w:pPr>
              <w:jc w:val="center"/>
              <w:rPr>
                <w:rFonts w:ascii="Arial Narrow" w:hAnsi="Arial Narrow" w:eastAsia="方正仿宋_GBK" w:cs="方正仿宋_GBK"/>
                <w:szCs w:val="21"/>
              </w:rPr>
            </w:pPr>
            <w:r>
              <w:rPr>
                <w:rFonts w:hint="eastAsia" w:ascii="Arial Narrow" w:hAnsi="Arial Narrow" w:eastAsia="方正仿宋_GBK" w:cs="方正仿宋_GBK"/>
                <w:szCs w:val="21"/>
              </w:rPr>
              <w:t>19,383.99</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99EC">
            <w:pPr>
              <w:jc w:val="center"/>
              <w:rPr>
                <w:rFonts w:ascii="Arial Narrow" w:hAnsi="Arial Narrow" w:eastAsia="方正仿宋_GBK" w:cs="方正仿宋_GBK"/>
                <w:szCs w:val="21"/>
              </w:rPr>
            </w:pPr>
            <w:r>
              <w:rPr>
                <w:rFonts w:hint="eastAsia" w:ascii="Arial Narrow" w:hAnsi="Arial Narrow" w:eastAsia="方正仿宋_GBK" w:cs="方正仿宋_GBK"/>
                <w:szCs w:val="21"/>
              </w:rPr>
              <w:t>19,383.99</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FEA1">
            <w:pPr>
              <w:jc w:val="center"/>
              <w:rPr>
                <w:rFonts w:ascii="Arial Narrow" w:hAnsi="Arial Narrow" w:eastAsia="方正仿宋_GBK" w:cs="方正仿宋_GBK"/>
                <w:szCs w:val="21"/>
              </w:rPr>
            </w:pPr>
            <w:r>
              <w:rPr>
                <w:rFonts w:hint="eastAsia" w:ascii="Arial Narrow" w:hAnsi="Arial Narrow" w:eastAsia="方正仿宋_GBK" w:cs="方正仿宋_GBK"/>
                <w:szCs w:val="21"/>
              </w:rPr>
              <w:t>100.00%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05CF">
            <w:pPr>
              <w:jc w:val="center"/>
              <w:rPr>
                <w:rFonts w:ascii="宋体" w:hAnsi="宋体" w:cs="宋体"/>
                <w:color w:val="000000"/>
                <w:szCs w:val="21"/>
              </w:rPr>
            </w:pPr>
          </w:p>
        </w:tc>
      </w:tr>
    </w:tbl>
    <w:p w14:paraId="11314EE0">
      <w:pPr>
        <w:pStyle w:val="13"/>
        <w:spacing w:before="120" w:beforeLines="50" w:line="360" w:lineRule="auto"/>
        <w:ind w:firstLine="480" w:firstLineChars="200"/>
        <w:rPr>
          <w:rFonts w:ascii="Arial Narrow" w:hAnsi="Arial Narrow" w:eastAsia="仿宋"/>
          <w:color w:val="auto"/>
        </w:rPr>
      </w:pPr>
      <w:r>
        <w:rPr>
          <w:rFonts w:hint="eastAsia" w:ascii="Arial Narrow" w:hAnsi="Arial Narrow" w:eastAsia="仿宋"/>
          <w:color w:val="auto"/>
        </w:rPr>
        <w:t>3.</w:t>
      </w:r>
      <w:r>
        <w:rPr>
          <w:rFonts w:hint="eastAsia" w:ascii="Arial Narrow" w:hAnsi="Arial Narrow" w:eastAsia="仿宋_GB2312"/>
          <w:color w:val="auto"/>
        </w:rPr>
        <w:t>项目资金使用情况。铜梁区太平水厂工程（一期）项目尚未完工，截至2024年5月已使用资金10,938,27万元。</w:t>
      </w:r>
    </w:p>
    <w:p w14:paraId="43988BC8">
      <w:pPr>
        <w:spacing w:before="240" w:beforeLines="100" w:line="360" w:lineRule="auto"/>
        <w:ind w:firstLine="482" w:firstLineChars="200"/>
        <w:jc w:val="left"/>
        <w:outlineLvl w:val="0"/>
        <w:rPr>
          <w:rFonts w:ascii="Arial Narrow" w:hAnsi="Arial Narrow" w:eastAsia="仿宋_GB2312"/>
          <w:b/>
          <w:sz w:val="24"/>
        </w:rPr>
      </w:pPr>
      <w:bookmarkStart w:id="9" w:name="_Toc840"/>
      <w:r>
        <w:rPr>
          <w:rFonts w:ascii="Arial Narrow" w:hAnsi="Arial Narrow" w:eastAsia="仿宋_GB2312"/>
          <w:b/>
          <w:sz w:val="24"/>
        </w:rPr>
        <w:t>二、绩效评价工作情况</w:t>
      </w:r>
      <w:bookmarkEnd w:id="9"/>
    </w:p>
    <w:p w14:paraId="38D88AC0">
      <w:pPr>
        <w:spacing w:before="120" w:beforeLines="50" w:line="360" w:lineRule="auto"/>
        <w:ind w:firstLine="482" w:firstLineChars="200"/>
        <w:jc w:val="left"/>
        <w:outlineLvl w:val="0"/>
        <w:rPr>
          <w:rFonts w:ascii="Arial Narrow" w:hAnsi="Arial Narrow" w:eastAsia="仿宋_GB2312"/>
          <w:b/>
          <w:sz w:val="24"/>
        </w:rPr>
      </w:pPr>
      <w:bookmarkStart w:id="10" w:name="_Toc513775099"/>
      <w:bookmarkStart w:id="11" w:name="_Toc9505"/>
      <w:r>
        <w:rPr>
          <w:rFonts w:ascii="Arial Narrow" w:hAnsi="Arial Narrow" w:eastAsia="仿宋_GB2312"/>
          <w:b/>
          <w:sz w:val="24"/>
        </w:rPr>
        <w:t>（一）绩效评价目的</w:t>
      </w:r>
      <w:bookmarkEnd w:id="10"/>
      <w:bookmarkEnd w:id="11"/>
    </w:p>
    <w:p w14:paraId="20EDDE0E">
      <w:pPr>
        <w:pStyle w:val="13"/>
        <w:spacing w:line="360" w:lineRule="auto"/>
        <w:ind w:firstLine="480" w:firstLineChars="200"/>
        <w:rPr>
          <w:rFonts w:ascii="Arial Narrow" w:hAnsi="Arial Narrow" w:eastAsia="仿宋_GB2312"/>
          <w:color w:val="auto"/>
        </w:rPr>
      </w:pPr>
      <w:r>
        <w:rPr>
          <w:rFonts w:hint="eastAsia" w:ascii="Arial Narrow" w:hAnsi="Arial Narrow" w:eastAsia="仿宋_GB2312"/>
          <w:color w:val="auto"/>
        </w:rPr>
        <w:t>通过实施财政重点绩效评价，总结项目实施主要成效，分析影响项目绩效的主要问题及成因，为进一步加强财政资金管理、提高资金使用效益提供依据。</w:t>
      </w:r>
    </w:p>
    <w:p w14:paraId="4EB94559">
      <w:pPr>
        <w:spacing w:before="120" w:beforeLines="50" w:line="360" w:lineRule="auto"/>
        <w:ind w:firstLine="482" w:firstLineChars="200"/>
        <w:jc w:val="left"/>
        <w:outlineLvl w:val="0"/>
        <w:rPr>
          <w:rFonts w:ascii="Arial Narrow" w:hAnsi="Arial Narrow" w:eastAsia="仿宋_GB2312"/>
          <w:b/>
          <w:sz w:val="24"/>
        </w:rPr>
      </w:pPr>
      <w:bookmarkStart w:id="12" w:name="_Toc10005"/>
      <w:bookmarkStart w:id="13" w:name="_Toc513775100"/>
      <w:r>
        <w:rPr>
          <w:rFonts w:ascii="Arial Narrow" w:hAnsi="Arial Narrow" w:eastAsia="仿宋_GB2312"/>
          <w:b/>
          <w:sz w:val="24"/>
        </w:rPr>
        <w:t>（二）绩效评价的对象和范围</w:t>
      </w:r>
      <w:bookmarkEnd w:id="12"/>
    </w:p>
    <w:p w14:paraId="35900494">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1</w:t>
      </w:r>
      <w:r>
        <w:rPr>
          <w:rFonts w:hint="eastAsia" w:ascii="Arial Narrow" w:hAnsi="Arial Narrow" w:eastAsia="仿宋_GB2312"/>
          <w:color w:val="auto"/>
        </w:rPr>
        <w:t>.</w:t>
      </w:r>
      <w:r>
        <w:rPr>
          <w:rFonts w:ascii="Arial Narrow" w:hAnsi="Arial Narrow" w:eastAsia="仿宋_GB2312"/>
          <w:color w:val="auto"/>
        </w:rPr>
        <w:t>绩效评价对象</w:t>
      </w:r>
    </w:p>
    <w:p w14:paraId="3D0FE6A0">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本次绩效评价对象是</w:t>
      </w:r>
      <w:r>
        <w:rPr>
          <w:rFonts w:hint="eastAsia" w:ascii="Arial Narrow" w:hAnsi="Arial Narrow" w:eastAsia="仿宋_GB2312"/>
          <w:color w:val="auto"/>
        </w:rPr>
        <w:t>铜梁区太平水厂工程（一期）项目截至2024年5月实际使用资金10,938,27万元，因项目尚未完工，主要评价内容侧重项目前期投入和过程管理。</w:t>
      </w:r>
    </w:p>
    <w:p w14:paraId="57AACE50">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2</w:t>
      </w:r>
      <w:r>
        <w:rPr>
          <w:rFonts w:hint="eastAsia" w:ascii="Arial Narrow" w:hAnsi="Arial Narrow" w:eastAsia="仿宋_GB2312"/>
          <w:color w:val="auto"/>
        </w:rPr>
        <w:t>.</w:t>
      </w:r>
      <w:r>
        <w:rPr>
          <w:rFonts w:ascii="Arial Narrow" w:hAnsi="Arial Narrow" w:eastAsia="仿宋_GB2312"/>
          <w:color w:val="auto"/>
        </w:rPr>
        <w:t>评价范围</w:t>
      </w:r>
    </w:p>
    <w:p w14:paraId="664A0EF0">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本次绩效评价范围是</w:t>
      </w:r>
      <w:r>
        <w:rPr>
          <w:rFonts w:hint="eastAsia" w:ascii="Arial Narrow" w:hAnsi="Arial Narrow" w:eastAsia="仿宋_GB2312"/>
          <w:color w:val="auto"/>
        </w:rPr>
        <w:t>太平水厂工程（一期）项目涉及的各部门，包括项目业主单位重庆市铜梁区龙泽水务有限责任公司、行业主管部门铜梁区水利局、土建施工单位广州市市政工程机械施工有限公司、设备供应单位城捷祥集团有限公司等。</w:t>
      </w:r>
    </w:p>
    <w:p w14:paraId="3D365477">
      <w:pPr>
        <w:spacing w:before="120" w:beforeLines="50" w:line="360" w:lineRule="auto"/>
        <w:ind w:firstLine="482" w:firstLineChars="200"/>
        <w:jc w:val="left"/>
        <w:outlineLvl w:val="0"/>
        <w:rPr>
          <w:rFonts w:ascii="Arial Narrow" w:hAnsi="Arial Narrow" w:eastAsia="仿宋_GB2312"/>
          <w:b/>
          <w:sz w:val="24"/>
        </w:rPr>
      </w:pPr>
      <w:bookmarkStart w:id="14" w:name="_Toc17264"/>
      <w:r>
        <w:rPr>
          <w:rFonts w:ascii="Arial Narrow" w:hAnsi="Arial Narrow" w:eastAsia="仿宋_GB2312"/>
          <w:b/>
          <w:sz w:val="24"/>
        </w:rPr>
        <w:t>（三）绩效评价依据</w:t>
      </w:r>
      <w:bookmarkEnd w:id="13"/>
      <w:bookmarkEnd w:id="14"/>
      <w:bookmarkStart w:id="15" w:name="_Toc335040595"/>
    </w:p>
    <w:bookmarkEnd w:id="15"/>
    <w:p w14:paraId="1176D999">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1</w:t>
      </w:r>
      <w:r>
        <w:rPr>
          <w:rFonts w:hint="eastAsia" w:ascii="Arial Narrow" w:hAnsi="Arial Narrow" w:eastAsia="仿宋_GB2312"/>
          <w:color w:val="auto"/>
        </w:rPr>
        <w:t>.</w:t>
      </w:r>
      <w:r>
        <w:rPr>
          <w:rFonts w:ascii="Arial Narrow" w:hAnsi="Arial Narrow" w:eastAsia="仿宋_GB2312"/>
          <w:color w:val="auto"/>
        </w:rPr>
        <w:t>《中华人民共和国预算法》；</w:t>
      </w:r>
    </w:p>
    <w:p w14:paraId="688C649A">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2</w:t>
      </w:r>
      <w:r>
        <w:rPr>
          <w:rFonts w:hint="eastAsia" w:ascii="Arial Narrow" w:hAnsi="Arial Narrow" w:eastAsia="仿宋_GB2312"/>
          <w:color w:val="auto"/>
        </w:rPr>
        <w:t>.</w:t>
      </w:r>
      <w:r>
        <w:rPr>
          <w:rFonts w:ascii="Arial Narrow" w:hAnsi="Arial Narrow" w:eastAsia="仿宋_GB2312"/>
          <w:color w:val="auto"/>
        </w:rPr>
        <w:t>《中共中央国务院关于全面实施预算绩效管理的意见》（中办</w:t>
      </w:r>
      <w:r>
        <w:rPr>
          <w:rFonts w:hint="eastAsia" w:ascii="Arial Narrow" w:hAnsi="Arial Narrow" w:eastAsia="仿宋_GB2312"/>
          <w:color w:val="auto"/>
        </w:rPr>
        <w:t>〔2018〕</w:t>
      </w:r>
      <w:r>
        <w:rPr>
          <w:rFonts w:ascii="Arial Narrow" w:hAnsi="Arial Narrow" w:eastAsia="仿宋_GB2312"/>
          <w:color w:val="auto"/>
        </w:rPr>
        <w:t>34号）；</w:t>
      </w:r>
    </w:p>
    <w:p w14:paraId="538C6E1A">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3</w:t>
      </w:r>
      <w:r>
        <w:rPr>
          <w:rFonts w:hint="eastAsia" w:ascii="Arial Narrow" w:hAnsi="Arial Narrow" w:eastAsia="仿宋_GB2312"/>
          <w:color w:val="auto"/>
        </w:rPr>
        <w:t>.</w:t>
      </w:r>
      <w:r>
        <w:rPr>
          <w:rFonts w:ascii="Arial Narrow" w:hAnsi="Arial Narrow" w:eastAsia="仿宋_GB2312"/>
          <w:color w:val="auto"/>
        </w:rPr>
        <w:t>《项目支出绩效评价管理办法》（财预</w:t>
      </w:r>
      <w:r>
        <w:rPr>
          <w:rFonts w:hint="eastAsia" w:ascii="Arial Narrow" w:hAnsi="Arial Narrow" w:eastAsia="仿宋_GB2312"/>
          <w:color w:val="auto"/>
        </w:rPr>
        <w:t>〔2020〕</w:t>
      </w:r>
      <w:r>
        <w:rPr>
          <w:rFonts w:ascii="Arial Narrow" w:hAnsi="Arial Narrow" w:eastAsia="仿宋_GB2312"/>
          <w:color w:val="auto"/>
        </w:rPr>
        <w:t>10号）；</w:t>
      </w:r>
    </w:p>
    <w:p w14:paraId="3D582900">
      <w:pPr>
        <w:pStyle w:val="13"/>
        <w:spacing w:line="360" w:lineRule="auto"/>
        <w:ind w:firstLine="480" w:firstLineChars="200"/>
        <w:rPr>
          <w:rFonts w:ascii="Arial Narrow" w:hAnsi="Arial Narrow" w:eastAsia="仿宋_GB2312"/>
          <w:color w:val="auto"/>
        </w:rPr>
      </w:pPr>
      <w:r>
        <w:rPr>
          <w:rFonts w:hint="eastAsia" w:ascii="Arial Narrow" w:hAnsi="Arial Narrow" w:eastAsia="仿宋_GB2312"/>
          <w:color w:val="auto"/>
        </w:rPr>
        <w:t>4.</w:t>
      </w:r>
      <w:r>
        <w:rPr>
          <w:rFonts w:ascii="Arial Narrow" w:hAnsi="Arial Narrow" w:eastAsia="仿宋_GB2312"/>
          <w:color w:val="auto"/>
        </w:rPr>
        <w:t>《重庆市市级政策和项目预算绩效管理办法》（渝财绩</w:t>
      </w:r>
      <w:r>
        <w:rPr>
          <w:rFonts w:hint="eastAsia" w:ascii="Arial Narrow" w:hAnsi="Arial Narrow" w:eastAsia="仿宋_GB2312"/>
          <w:color w:val="auto"/>
        </w:rPr>
        <w:t>〔2019〕</w:t>
      </w:r>
      <w:r>
        <w:rPr>
          <w:rFonts w:ascii="Arial Narrow" w:hAnsi="Arial Narrow" w:eastAsia="仿宋_GB2312"/>
          <w:color w:val="auto"/>
        </w:rPr>
        <w:t>19号）；</w:t>
      </w:r>
    </w:p>
    <w:p w14:paraId="54318E7C">
      <w:pPr>
        <w:pStyle w:val="13"/>
        <w:spacing w:line="360" w:lineRule="auto"/>
        <w:ind w:firstLine="480" w:firstLineChars="200"/>
        <w:rPr>
          <w:rFonts w:ascii="Arial Narrow" w:hAnsi="Arial Narrow" w:eastAsia="仿宋_GB2312"/>
          <w:color w:val="auto"/>
        </w:rPr>
      </w:pPr>
      <w:r>
        <w:rPr>
          <w:rFonts w:hint="eastAsia" w:ascii="Arial Narrow" w:hAnsi="Arial Narrow" w:eastAsia="仿宋_GB2312"/>
          <w:color w:val="auto"/>
        </w:rPr>
        <w:t>5.</w:t>
      </w:r>
      <w:r>
        <w:rPr>
          <w:rFonts w:ascii="Arial Narrow" w:hAnsi="Arial Narrow" w:eastAsia="仿宋_GB2312"/>
          <w:color w:val="auto"/>
        </w:rPr>
        <w:t>《会计师事务所财政支出绩效评价业务指引》（注协</w:t>
      </w:r>
      <w:bookmarkStart w:id="16" w:name="_Hlk162597612"/>
      <w:r>
        <w:rPr>
          <w:rFonts w:hint="eastAsia" w:ascii="Arial Narrow" w:hAnsi="Arial Narrow" w:eastAsia="仿宋_GB2312"/>
          <w:color w:val="auto"/>
        </w:rPr>
        <w:t>〔2016〕</w:t>
      </w:r>
      <w:bookmarkEnd w:id="16"/>
      <w:r>
        <w:rPr>
          <w:rFonts w:ascii="Arial Narrow" w:hAnsi="Arial Narrow" w:eastAsia="仿宋_GB2312"/>
          <w:color w:val="auto"/>
        </w:rPr>
        <w:t>10号）；</w:t>
      </w:r>
    </w:p>
    <w:p w14:paraId="68F25F94">
      <w:pPr>
        <w:pStyle w:val="13"/>
        <w:spacing w:line="360" w:lineRule="auto"/>
        <w:ind w:firstLine="480" w:firstLineChars="200"/>
        <w:rPr>
          <w:rFonts w:ascii="Arial Narrow" w:hAnsi="Arial Narrow" w:eastAsia="仿宋_GB2312"/>
          <w:color w:val="auto"/>
        </w:rPr>
      </w:pPr>
      <w:r>
        <w:rPr>
          <w:rFonts w:hint="eastAsia" w:ascii="Arial Narrow" w:hAnsi="Arial Narrow" w:eastAsia="仿宋_GB2312"/>
          <w:color w:val="auto"/>
        </w:rPr>
        <w:t>6.</w:t>
      </w:r>
      <w:r>
        <w:rPr>
          <w:rFonts w:ascii="Arial Narrow" w:hAnsi="Arial Narrow" w:eastAsia="仿宋_GB2312"/>
          <w:color w:val="auto"/>
        </w:rPr>
        <w:t>评价工作人员通过现场调查、核实等获得的资料等。</w:t>
      </w:r>
    </w:p>
    <w:p w14:paraId="1BC9D36E">
      <w:pPr>
        <w:spacing w:before="120" w:beforeLines="50" w:line="360" w:lineRule="auto"/>
        <w:ind w:firstLine="482" w:firstLineChars="200"/>
        <w:jc w:val="left"/>
        <w:outlineLvl w:val="0"/>
        <w:rPr>
          <w:rFonts w:ascii="Arial Narrow" w:hAnsi="Arial Narrow" w:eastAsia="仿宋_GB2312"/>
          <w:b/>
          <w:sz w:val="24"/>
        </w:rPr>
      </w:pPr>
      <w:bookmarkStart w:id="17" w:name="_Toc15792"/>
      <w:r>
        <w:rPr>
          <w:rFonts w:ascii="Arial Narrow" w:hAnsi="Arial Narrow" w:eastAsia="仿宋_GB2312"/>
          <w:b/>
          <w:sz w:val="24"/>
        </w:rPr>
        <w:t>（四）绩效评价原则和指标体系</w:t>
      </w:r>
      <w:bookmarkEnd w:id="17"/>
    </w:p>
    <w:p w14:paraId="32610503">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1</w:t>
      </w:r>
      <w:r>
        <w:rPr>
          <w:rFonts w:hint="eastAsia" w:ascii="Arial Narrow" w:hAnsi="Arial Narrow" w:eastAsia="仿宋_GB2312"/>
          <w:color w:val="auto"/>
        </w:rPr>
        <w:t>.</w:t>
      </w:r>
      <w:r>
        <w:rPr>
          <w:rFonts w:ascii="Arial Narrow" w:hAnsi="Arial Narrow" w:eastAsia="仿宋_GB2312"/>
          <w:color w:val="auto"/>
        </w:rPr>
        <w:t>绩效评价主要遵循以下原则：</w:t>
      </w:r>
    </w:p>
    <w:p w14:paraId="46AA7CA4">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（1）相关性原则。应当与绩效目标有直接的联系，能够恰当反映目标的实现程度。</w:t>
      </w:r>
    </w:p>
    <w:p w14:paraId="36B088B0">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（2）重要性原则。应当优先使用最具评价对象代表性、最能反映评价要求的核心指标。</w:t>
      </w:r>
    </w:p>
    <w:p w14:paraId="1DCF0A5F">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（3）可比性原则。对同类评价对象要设定共性的绩效评价指标，以便于评价结果可以相互比较。</w:t>
      </w:r>
    </w:p>
    <w:p w14:paraId="2ACA4DC8">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（4）系统性原则。应当将定量指标与定性指标相结合，系统反映财政支出所产生的社会效益和可持续影响等。</w:t>
      </w:r>
    </w:p>
    <w:p w14:paraId="31867392">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（5）经济性原则。应当通俗易懂、简便易行，数据的获得应当考虑现实条件和可操作性，符合成本效益原则。</w:t>
      </w:r>
    </w:p>
    <w:p w14:paraId="2A77BDC4">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2</w:t>
      </w:r>
      <w:r>
        <w:rPr>
          <w:rFonts w:hint="eastAsia" w:ascii="Arial Narrow" w:hAnsi="Arial Narrow" w:eastAsia="仿宋_GB2312"/>
          <w:color w:val="auto"/>
        </w:rPr>
        <w:t>.</w:t>
      </w:r>
      <w:r>
        <w:rPr>
          <w:rFonts w:ascii="Arial Narrow" w:hAnsi="Arial Narrow" w:eastAsia="仿宋_GB2312"/>
          <w:color w:val="auto"/>
        </w:rPr>
        <w:t>绩效评价指标体系</w:t>
      </w:r>
    </w:p>
    <w:p w14:paraId="7ECA221A">
      <w:pPr>
        <w:pStyle w:val="13"/>
        <w:spacing w:line="360" w:lineRule="auto"/>
        <w:ind w:firstLine="480" w:firstLineChars="200"/>
        <w:jc w:val="both"/>
        <w:rPr>
          <w:rFonts w:ascii="Arial Narrow" w:hAnsi="Arial Narrow" w:eastAsia="仿宋_GB2312"/>
          <w:color w:val="auto"/>
        </w:rPr>
      </w:pPr>
      <w:r>
        <w:rPr>
          <w:rFonts w:ascii="Arial Narrow" w:hAnsi="Arial Narrow" w:eastAsia="仿宋_GB2312"/>
          <w:color w:val="auto"/>
        </w:rPr>
        <w:t>绩效评价指标是指衡量绩效目标实现程度的考核工具。</w:t>
      </w:r>
    </w:p>
    <w:p w14:paraId="2D765E0C">
      <w:pPr>
        <w:pStyle w:val="13"/>
        <w:spacing w:line="360" w:lineRule="auto"/>
        <w:ind w:firstLine="480" w:firstLineChars="200"/>
        <w:jc w:val="both"/>
        <w:rPr>
          <w:rFonts w:ascii="Arial Narrow" w:hAnsi="Arial Narrow" w:eastAsia="仿宋_GB2312"/>
          <w:color w:val="auto"/>
        </w:rPr>
      </w:pPr>
      <w:r>
        <w:rPr>
          <w:rFonts w:ascii="Arial Narrow" w:hAnsi="Arial Narrow" w:eastAsia="仿宋_GB2312"/>
          <w:color w:val="auto"/>
        </w:rPr>
        <w:t>本次绩效评价指标设计主要依据《项目</w:t>
      </w:r>
      <w:r>
        <w:rPr>
          <w:rFonts w:hint="eastAsia" w:ascii="Arial Narrow" w:hAnsi="Arial Narrow" w:eastAsia="仿宋_GB2312"/>
          <w:color w:val="auto"/>
        </w:rPr>
        <w:t>支出</w:t>
      </w:r>
      <w:r>
        <w:rPr>
          <w:rFonts w:ascii="Arial Narrow" w:hAnsi="Arial Narrow" w:eastAsia="仿宋_GB2312"/>
          <w:color w:val="auto"/>
        </w:rPr>
        <w:t>绩效</w:t>
      </w:r>
      <w:r>
        <w:rPr>
          <w:rFonts w:hint="eastAsia" w:ascii="Arial Narrow" w:hAnsi="Arial Narrow" w:eastAsia="仿宋_GB2312"/>
          <w:color w:val="auto"/>
        </w:rPr>
        <w:t>评价</w:t>
      </w:r>
      <w:r>
        <w:rPr>
          <w:rFonts w:ascii="Arial Narrow" w:hAnsi="Arial Narrow" w:eastAsia="仿宋_GB2312"/>
          <w:color w:val="auto"/>
        </w:rPr>
        <w:t>管理办法》（财</w:t>
      </w:r>
      <w:r>
        <w:rPr>
          <w:rFonts w:hint="eastAsia" w:ascii="Arial Narrow" w:hAnsi="Arial Narrow" w:eastAsia="仿宋_GB2312"/>
          <w:color w:val="auto"/>
        </w:rPr>
        <w:t>预〔2020〕1</w:t>
      </w:r>
      <w:r>
        <w:rPr>
          <w:rFonts w:ascii="Arial Narrow" w:hAnsi="Arial Narrow" w:eastAsia="仿宋_GB2312"/>
          <w:color w:val="auto"/>
        </w:rPr>
        <w:t>0号）设计的。指标体系满分100分，设</w:t>
      </w:r>
      <w:r>
        <w:rPr>
          <w:rFonts w:hint="eastAsia" w:ascii="Arial Narrow" w:hAnsi="Arial Narrow" w:eastAsia="仿宋_GB2312"/>
          <w:color w:val="auto"/>
        </w:rPr>
        <w:t>4</w:t>
      </w:r>
      <w:r>
        <w:rPr>
          <w:rFonts w:ascii="Arial Narrow" w:hAnsi="Arial Narrow" w:eastAsia="仿宋_GB2312"/>
          <w:color w:val="auto"/>
        </w:rPr>
        <w:t>个一级指标，</w:t>
      </w:r>
      <w:r>
        <w:rPr>
          <w:rFonts w:hint="eastAsia" w:ascii="Arial Narrow" w:hAnsi="Arial Narrow" w:eastAsia="仿宋_GB2312"/>
          <w:color w:val="auto"/>
        </w:rPr>
        <w:t>16</w:t>
      </w:r>
      <w:r>
        <w:rPr>
          <w:rFonts w:ascii="Arial Narrow" w:hAnsi="Arial Narrow" w:eastAsia="仿宋_GB2312"/>
          <w:color w:val="auto"/>
        </w:rPr>
        <w:t>个二级指标，</w:t>
      </w:r>
      <w:r>
        <w:rPr>
          <w:rFonts w:hint="eastAsia" w:ascii="Arial Narrow" w:hAnsi="Arial Narrow" w:eastAsia="仿宋_GB2312"/>
          <w:color w:val="auto"/>
        </w:rPr>
        <w:t>32</w:t>
      </w:r>
      <w:r>
        <w:rPr>
          <w:rFonts w:ascii="Arial Narrow" w:hAnsi="Arial Narrow" w:eastAsia="仿宋_GB2312"/>
          <w:color w:val="auto"/>
        </w:rPr>
        <w:t>个三级指标</w:t>
      </w:r>
      <w:r>
        <w:rPr>
          <w:rFonts w:hint="eastAsia" w:ascii="Arial Narrow" w:hAnsi="Arial Narrow" w:eastAsia="仿宋_GB2312"/>
          <w:color w:val="auto"/>
        </w:rPr>
        <w:t>。</w:t>
      </w:r>
      <w:r>
        <w:rPr>
          <w:rFonts w:ascii="Arial Narrow" w:hAnsi="Arial Narrow" w:eastAsia="仿宋_GB2312"/>
          <w:color w:val="auto"/>
        </w:rPr>
        <w:t>其中一级指标</w:t>
      </w:r>
      <w:r>
        <w:rPr>
          <w:rFonts w:hint="eastAsia" w:ascii="Arial Narrow" w:hAnsi="Arial Narrow" w:eastAsia="仿宋_GB2312"/>
          <w:color w:val="auto"/>
        </w:rPr>
        <w:t>投入</w:t>
      </w:r>
      <w:r>
        <w:rPr>
          <w:rFonts w:ascii="Arial Narrow" w:hAnsi="Arial Narrow" w:eastAsia="仿宋_GB2312"/>
          <w:color w:val="auto"/>
        </w:rPr>
        <w:t>（</w:t>
      </w:r>
      <w:r>
        <w:rPr>
          <w:rFonts w:hint="eastAsia" w:ascii="Arial Narrow" w:hAnsi="Arial Narrow" w:eastAsia="仿宋_GB2312"/>
          <w:color w:val="auto"/>
        </w:rPr>
        <w:t>2</w:t>
      </w:r>
      <w:r>
        <w:rPr>
          <w:rFonts w:ascii="Arial Narrow" w:hAnsi="Arial Narrow" w:eastAsia="仿宋_GB2312"/>
          <w:color w:val="auto"/>
        </w:rPr>
        <w:t>0分）、</w:t>
      </w:r>
      <w:r>
        <w:rPr>
          <w:rFonts w:hint="eastAsia" w:ascii="Arial Narrow" w:hAnsi="Arial Narrow" w:eastAsia="仿宋_GB2312"/>
          <w:color w:val="auto"/>
        </w:rPr>
        <w:t>管理</w:t>
      </w:r>
      <w:r>
        <w:rPr>
          <w:rFonts w:ascii="Arial Narrow" w:hAnsi="Arial Narrow" w:eastAsia="仿宋_GB2312"/>
          <w:color w:val="auto"/>
        </w:rPr>
        <w:t>（</w:t>
      </w:r>
      <w:r>
        <w:rPr>
          <w:rFonts w:hint="eastAsia" w:ascii="Arial Narrow" w:hAnsi="Arial Narrow" w:eastAsia="仿宋_GB2312"/>
          <w:color w:val="auto"/>
        </w:rPr>
        <w:t>55</w:t>
      </w:r>
      <w:r>
        <w:rPr>
          <w:rFonts w:ascii="Arial Narrow" w:hAnsi="Arial Narrow" w:eastAsia="仿宋_GB2312"/>
          <w:color w:val="auto"/>
        </w:rPr>
        <w:t>分）、产出（</w:t>
      </w:r>
      <w:r>
        <w:rPr>
          <w:rFonts w:hint="eastAsia" w:ascii="Arial Narrow" w:hAnsi="Arial Narrow" w:eastAsia="仿宋_GB2312"/>
          <w:color w:val="auto"/>
        </w:rPr>
        <w:t>10</w:t>
      </w:r>
      <w:r>
        <w:rPr>
          <w:rFonts w:ascii="Arial Narrow" w:hAnsi="Arial Narrow" w:eastAsia="仿宋_GB2312"/>
          <w:color w:val="auto"/>
        </w:rPr>
        <w:t>分）、</w:t>
      </w:r>
      <w:r>
        <w:rPr>
          <w:rFonts w:hint="eastAsia" w:ascii="Arial Narrow" w:hAnsi="Arial Narrow" w:eastAsia="仿宋_GB2312"/>
          <w:color w:val="auto"/>
        </w:rPr>
        <w:t>效果</w:t>
      </w:r>
      <w:r>
        <w:rPr>
          <w:rFonts w:ascii="Arial Narrow" w:hAnsi="Arial Narrow" w:eastAsia="仿宋_GB2312"/>
          <w:color w:val="auto"/>
        </w:rPr>
        <w:t>（</w:t>
      </w:r>
      <w:r>
        <w:rPr>
          <w:rFonts w:hint="eastAsia" w:ascii="Arial Narrow" w:hAnsi="Arial Narrow" w:eastAsia="仿宋_GB2312"/>
          <w:color w:val="auto"/>
        </w:rPr>
        <w:t>15</w:t>
      </w:r>
      <w:r>
        <w:rPr>
          <w:rFonts w:ascii="Arial Narrow" w:hAnsi="Arial Narrow" w:eastAsia="仿宋_GB2312"/>
          <w:color w:val="auto"/>
        </w:rPr>
        <w:t>分）。详见附件绩效评价指标体系。</w:t>
      </w:r>
    </w:p>
    <w:p w14:paraId="3312A83E">
      <w:pPr>
        <w:spacing w:before="120" w:beforeLines="50" w:line="360" w:lineRule="auto"/>
        <w:ind w:firstLine="482" w:firstLineChars="200"/>
        <w:jc w:val="left"/>
        <w:outlineLvl w:val="0"/>
        <w:rPr>
          <w:rFonts w:ascii="Arial Narrow" w:hAnsi="Arial Narrow" w:eastAsia="仿宋_GB2312"/>
          <w:b/>
          <w:sz w:val="24"/>
        </w:rPr>
      </w:pPr>
      <w:bookmarkStart w:id="18" w:name="_Toc32554"/>
      <w:r>
        <w:rPr>
          <w:rFonts w:ascii="Arial Narrow" w:hAnsi="Arial Narrow" w:eastAsia="仿宋_GB2312"/>
          <w:b/>
          <w:sz w:val="24"/>
        </w:rPr>
        <w:t>（五）绩效评价标准和评价方法</w:t>
      </w:r>
      <w:bookmarkEnd w:id="18"/>
    </w:p>
    <w:p w14:paraId="268C29CD">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1</w:t>
      </w:r>
      <w:r>
        <w:rPr>
          <w:rFonts w:hint="eastAsia" w:ascii="Arial Narrow" w:hAnsi="Arial Narrow" w:eastAsia="仿宋_GB2312"/>
          <w:color w:val="auto"/>
        </w:rPr>
        <w:t>.</w:t>
      </w:r>
      <w:r>
        <w:rPr>
          <w:rFonts w:ascii="Arial Narrow" w:hAnsi="Arial Narrow" w:eastAsia="仿宋_GB2312"/>
          <w:color w:val="auto"/>
        </w:rPr>
        <w:t>绩效评价标准</w:t>
      </w:r>
    </w:p>
    <w:p w14:paraId="04AE0C11">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绩效评价标准采用定量评分，满分为100分。指标分值我们是根据确定的指标内容及项目实施的具体情况综合分析确定的，详见附件。</w:t>
      </w:r>
    </w:p>
    <w:p w14:paraId="3436F80E">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绩效评价结果分为优（得分</w:t>
      </w:r>
      <w:bookmarkStart w:id="19" w:name="_Hlk162596803"/>
      <w:r>
        <w:rPr>
          <w:rFonts w:ascii="Arial Narrow" w:hAnsi="Arial Narrow" w:eastAsia="仿宋_GB2312"/>
          <w:color w:val="auto"/>
        </w:rPr>
        <w:t>≥90</w:t>
      </w:r>
      <w:bookmarkEnd w:id="19"/>
      <w:r>
        <w:rPr>
          <w:rFonts w:ascii="Arial Narrow" w:hAnsi="Arial Narrow" w:eastAsia="仿宋_GB2312"/>
          <w:color w:val="auto"/>
        </w:rPr>
        <w:t>）、良</w:t>
      </w:r>
      <w:bookmarkStart w:id="20" w:name="_Hlk168473502"/>
      <w:r>
        <w:rPr>
          <w:rFonts w:ascii="Arial Narrow" w:hAnsi="Arial Narrow" w:eastAsia="仿宋_GB2312"/>
          <w:color w:val="auto"/>
        </w:rPr>
        <w:t>（90＞得分≥80）</w:t>
      </w:r>
      <w:bookmarkEnd w:id="20"/>
      <w:r>
        <w:rPr>
          <w:rFonts w:ascii="Arial Narrow" w:hAnsi="Arial Narrow" w:eastAsia="仿宋_GB2312"/>
          <w:color w:val="auto"/>
        </w:rPr>
        <w:t>、中（80＞得分≥60）、差（得分＜60）四个等级，按百分制综合得分高低按分值划段确定。</w:t>
      </w:r>
    </w:p>
    <w:p w14:paraId="62084A90">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2</w:t>
      </w:r>
      <w:r>
        <w:rPr>
          <w:rFonts w:hint="eastAsia" w:ascii="Arial Narrow" w:hAnsi="Arial Narrow" w:eastAsia="仿宋_GB2312"/>
          <w:color w:val="auto"/>
        </w:rPr>
        <w:t>.</w:t>
      </w:r>
      <w:r>
        <w:rPr>
          <w:rFonts w:ascii="Arial Narrow" w:hAnsi="Arial Narrow" w:eastAsia="仿宋_GB2312"/>
          <w:color w:val="auto"/>
        </w:rPr>
        <w:t>绩效评价方法</w:t>
      </w:r>
    </w:p>
    <w:p w14:paraId="5BBD639F">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绩效评价技术方法主要有成本效益分析法、比较法、因素分析法、最低成本法、公众评判法等。</w:t>
      </w:r>
    </w:p>
    <w:p w14:paraId="5C025C30">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成本效益分析法。是指将一定时期内的支出与效益进行对比分析，以评价绩效目标的实现程度。</w:t>
      </w:r>
    </w:p>
    <w:p w14:paraId="3CBA5FF6">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比较法。是指通过对绩效目标与实施效果、历史与当期情况、不同部门和地区同类支出的比较，综合分析绩效目标实现程度。</w:t>
      </w:r>
    </w:p>
    <w:p w14:paraId="06C25C7F">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因素分析法。是指通过综合分析影响绩效目标实现、实施效果的内外因素，评价绩效目标实现程度。</w:t>
      </w:r>
    </w:p>
    <w:p w14:paraId="44CF9FB8">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最低成本法。是指对效益确定却不易计量的多个同类对象的实施成本进行比较，评价绩效目标实现程度。</w:t>
      </w:r>
    </w:p>
    <w:p w14:paraId="64766D64">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公众评判法。是指通过专家评估、公众问卷及抽样调查等对预算支出效果进行评判，评价绩效目标实现程度。</w:t>
      </w:r>
    </w:p>
    <w:p w14:paraId="492245C5">
      <w:pPr>
        <w:spacing w:before="120" w:beforeLines="50" w:line="360" w:lineRule="auto"/>
        <w:ind w:firstLine="482" w:firstLineChars="200"/>
        <w:jc w:val="left"/>
        <w:outlineLvl w:val="0"/>
        <w:rPr>
          <w:rFonts w:ascii="Arial Narrow" w:hAnsi="Arial Narrow" w:eastAsia="仿宋_GB2312"/>
          <w:b/>
          <w:sz w:val="24"/>
        </w:rPr>
      </w:pPr>
      <w:bookmarkStart w:id="21" w:name="_Toc437528932"/>
      <w:bookmarkStart w:id="22" w:name="_Toc3964"/>
      <w:r>
        <w:rPr>
          <w:rFonts w:ascii="Arial Narrow" w:hAnsi="Arial Narrow" w:eastAsia="仿宋_GB2312"/>
          <w:b/>
          <w:sz w:val="24"/>
        </w:rPr>
        <w:t>（六）绩效评价</w:t>
      </w:r>
      <w:bookmarkEnd w:id="21"/>
      <w:r>
        <w:rPr>
          <w:rFonts w:ascii="Arial Narrow" w:hAnsi="Arial Narrow" w:eastAsia="仿宋_GB2312"/>
          <w:b/>
          <w:sz w:val="24"/>
        </w:rPr>
        <w:t>工作过程</w:t>
      </w:r>
      <w:bookmarkEnd w:id="22"/>
    </w:p>
    <w:p w14:paraId="63D4E0E5">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1</w:t>
      </w:r>
      <w:r>
        <w:rPr>
          <w:rFonts w:hint="eastAsia" w:ascii="Arial Narrow" w:hAnsi="Arial Narrow" w:eastAsia="仿宋_GB2312"/>
          <w:color w:val="auto"/>
        </w:rPr>
        <w:t>.</w:t>
      </w:r>
      <w:r>
        <w:rPr>
          <w:rFonts w:ascii="Arial Narrow" w:hAnsi="Arial Narrow" w:eastAsia="仿宋_GB2312"/>
          <w:color w:val="auto"/>
        </w:rPr>
        <w:t>前期准备</w:t>
      </w:r>
    </w:p>
    <w:p w14:paraId="489C9FAC">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202</w:t>
      </w:r>
      <w:r>
        <w:rPr>
          <w:rFonts w:hint="eastAsia" w:ascii="Arial Narrow" w:hAnsi="Arial Narrow" w:eastAsia="仿宋_GB2312"/>
          <w:color w:val="auto"/>
        </w:rPr>
        <w:t>4</w:t>
      </w:r>
      <w:r>
        <w:rPr>
          <w:rFonts w:ascii="Arial Narrow" w:hAnsi="Arial Narrow" w:eastAsia="仿宋_GB2312"/>
          <w:color w:val="auto"/>
        </w:rPr>
        <w:t>年</w:t>
      </w:r>
      <w:r>
        <w:rPr>
          <w:rFonts w:hint="eastAsia" w:ascii="Arial Narrow" w:hAnsi="Arial Narrow" w:eastAsia="仿宋_GB2312"/>
          <w:color w:val="auto"/>
        </w:rPr>
        <w:t>5</w:t>
      </w:r>
      <w:r>
        <w:rPr>
          <w:rFonts w:ascii="Arial Narrow" w:hAnsi="Arial Narrow" w:eastAsia="仿宋_GB2312"/>
          <w:color w:val="auto"/>
        </w:rPr>
        <w:t>月</w:t>
      </w:r>
      <w:r>
        <w:rPr>
          <w:rFonts w:hint="eastAsia" w:ascii="Arial Narrow" w:hAnsi="Arial Narrow" w:eastAsia="仿宋_GB2312"/>
          <w:color w:val="auto"/>
        </w:rPr>
        <w:t>我所经铜梁区财政局确定为“铜梁区太平水厂工程（一期）”项目绩效评价服务单位</w:t>
      </w:r>
      <w:r>
        <w:rPr>
          <w:rFonts w:ascii="Arial Narrow" w:hAnsi="Arial Narrow" w:eastAsia="仿宋_GB2312"/>
          <w:color w:val="auto"/>
        </w:rPr>
        <w:t>，</w:t>
      </w:r>
      <w:r>
        <w:rPr>
          <w:rFonts w:hint="eastAsia" w:ascii="Arial Narrow" w:hAnsi="Arial Narrow" w:eastAsia="仿宋_GB2312"/>
          <w:color w:val="auto"/>
        </w:rPr>
        <w:t>签订合同后，我所</w:t>
      </w:r>
      <w:r>
        <w:rPr>
          <w:rFonts w:ascii="Arial Narrow" w:hAnsi="Arial Narrow" w:eastAsia="仿宋_GB2312"/>
          <w:color w:val="auto"/>
        </w:rPr>
        <w:t>成立</w:t>
      </w:r>
      <w:r>
        <w:rPr>
          <w:rFonts w:hint="eastAsia" w:ascii="Arial Narrow" w:hAnsi="Arial Narrow" w:eastAsia="仿宋_GB2312"/>
          <w:color w:val="auto"/>
        </w:rPr>
        <w:t>了</w:t>
      </w:r>
      <w:r>
        <w:rPr>
          <w:rFonts w:ascii="Arial Narrow" w:hAnsi="Arial Narrow" w:eastAsia="仿宋_GB2312"/>
          <w:color w:val="auto"/>
        </w:rPr>
        <w:t>绩效</w:t>
      </w:r>
      <w:r>
        <w:rPr>
          <w:rFonts w:hint="eastAsia" w:ascii="Arial Narrow" w:hAnsi="Arial Narrow" w:eastAsia="仿宋_GB2312"/>
          <w:color w:val="auto"/>
        </w:rPr>
        <w:t>评价</w:t>
      </w:r>
      <w:r>
        <w:rPr>
          <w:rFonts w:ascii="Arial Narrow" w:hAnsi="Arial Narrow" w:eastAsia="仿宋_GB2312"/>
          <w:color w:val="auto"/>
        </w:rPr>
        <w:t>工作小组。</w:t>
      </w:r>
    </w:p>
    <w:p w14:paraId="3C07AEAE">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202</w:t>
      </w:r>
      <w:r>
        <w:rPr>
          <w:rFonts w:hint="eastAsia" w:ascii="Arial Narrow" w:hAnsi="Arial Narrow" w:eastAsia="仿宋_GB2312"/>
          <w:color w:val="auto"/>
        </w:rPr>
        <w:t>4</w:t>
      </w:r>
      <w:r>
        <w:rPr>
          <w:rFonts w:ascii="Arial Narrow" w:hAnsi="Arial Narrow" w:eastAsia="仿宋_GB2312"/>
          <w:color w:val="auto"/>
        </w:rPr>
        <w:t>年</w:t>
      </w:r>
      <w:r>
        <w:rPr>
          <w:rFonts w:hint="eastAsia" w:ascii="Arial Narrow" w:hAnsi="Arial Narrow" w:eastAsia="仿宋_GB2312"/>
          <w:color w:val="auto"/>
        </w:rPr>
        <w:t>6</w:t>
      </w:r>
      <w:r>
        <w:rPr>
          <w:rFonts w:ascii="Arial Narrow" w:hAnsi="Arial Narrow" w:eastAsia="仿宋_GB2312"/>
          <w:color w:val="auto"/>
        </w:rPr>
        <w:t>月到</w:t>
      </w:r>
      <w:r>
        <w:rPr>
          <w:rFonts w:hint="eastAsia" w:ascii="Arial Narrow" w:hAnsi="Arial Narrow" w:eastAsia="仿宋_GB2312"/>
          <w:color w:val="auto"/>
        </w:rPr>
        <w:t>业主单位重庆市铜梁区龙泽水务有限责任公司和行业主管部门铜梁区水利局</w:t>
      </w:r>
      <w:r>
        <w:rPr>
          <w:rFonts w:ascii="Arial Narrow" w:hAnsi="Arial Narrow" w:eastAsia="仿宋_GB2312"/>
          <w:color w:val="auto"/>
        </w:rPr>
        <w:t>了解</w:t>
      </w:r>
      <w:r>
        <w:rPr>
          <w:rFonts w:hint="eastAsia" w:ascii="Arial Narrow" w:hAnsi="Arial Narrow" w:eastAsia="仿宋_GB2312"/>
          <w:color w:val="auto"/>
        </w:rPr>
        <w:t>项目</w:t>
      </w:r>
      <w:r>
        <w:rPr>
          <w:rFonts w:ascii="Arial Narrow" w:hAnsi="Arial Narrow" w:eastAsia="仿宋_GB2312"/>
          <w:color w:val="auto"/>
        </w:rPr>
        <w:t>情况、收集资料，在此基础上制定《绩效评价工作方案》、指标体系和问卷调查表。</w:t>
      </w:r>
    </w:p>
    <w:p w14:paraId="0E4F4536">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2</w:t>
      </w:r>
      <w:r>
        <w:rPr>
          <w:rFonts w:hint="eastAsia" w:ascii="Arial Narrow" w:hAnsi="Arial Narrow" w:eastAsia="仿宋_GB2312"/>
          <w:color w:val="auto"/>
        </w:rPr>
        <w:t>.</w:t>
      </w:r>
      <w:r>
        <w:rPr>
          <w:rFonts w:ascii="Arial Narrow" w:hAnsi="Arial Narrow" w:eastAsia="仿宋_GB2312"/>
          <w:color w:val="auto"/>
        </w:rPr>
        <w:t>组织实施</w:t>
      </w:r>
    </w:p>
    <w:p w14:paraId="43F9B2EE">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绩效评价方案、指标体系、调查问卷经</w:t>
      </w:r>
      <w:r>
        <w:rPr>
          <w:rFonts w:hint="eastAsia" w:ascii="Arial Narrow" w:hAnsi="Arial Narrow" w:eastAsia="仿宋_GB2312"/>
          <w:color w:val="auto"/>
        </w:rPr>
        <w:t>重庆市铜梁区龙泽水务有限责任公司和行业主管部门铜梁区水利局确定后</w:t>
      </w:r>
      <w:r>
        <w:rPr>
          <w:rFonts w:ascii="Arial Narrow" w:hAnsi="Arial Narrow" w:eastAsia="仿宋_GB2312"/>
          <w:color w:val="auto"/>
        </w:rPr>
        <w:t>，我所向</w:t>
      </w:r>
      <w:r>
        <w:rPr>
          <w:rFonts w:hint="eastAsia" w:ascii="Arial Narrow" w:hAnsi="Arial Narrow" w:eastAsia="仿宋_GB2312"/>
          <w:color w:val="auto"/>
        </w:rPr>
        <w:t>重庆市铜梁区龙泽水务有限责任公司</w:t>
      </w:r>
      <w:r>
        <w:rPr>
          <w:rFonts w:ascii="Arial Narrow" w:hAnsi="Arial Narrow" w:eastAsia="仿宋_GB2312"/>
          <w:color w:val="auto"/>
        </w:rPr>
        <w:t>发出绩效评价资料清单。</w:t>
      </w:r>
    </w:p>
    <w:p w14:paraId="50271875">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2024年</w:t>
      </w:r>
      <w:r>
        <w:rPr>
          <w:rFonts w:hint="eastAsia" w:ascii="Arial Narrow" w:hAnsi="Arial Narrow" w:eastAsia="仿宋_GB2312"/>
          <w:color w:val="auto"/>
        </w:rPr>
        <w:t>6</w:t>
      </w:r>
      <w:r>
        <w:rPr>
          <w:rFonts w:ascii="Arial Narrow" w:hAnsi="Arial Narrow" w:eastAsia="仿宋_GB2312"/>
          <w:color w:val="auto"/>
        </w:rPr>
        <w:t>月到项目</w:t>
      </w:r>
      <w:r>
        <w:rPr>
          <w:rFonts w:hint="eastAsia" w:ascii="Arial Narrow" w:hAnsi="Arial Narrow" w:eastAsia="仿宋_GB2312"/>
          <w:color w:val="auto"/>
        </w:rPr>
        <w:t>业主单位重庆市铜梁区龙泽水务有限责任公司</w:t>
      </w:r>
      <w:r>
        <w:rPr>
          <w:rFonts w:ascii="Arial Narrow" w:hAnsi="Arial Narrow" w:eastAsia="仿宋_GB2312"/>
          <w:color w:val="auto"/>
        </w:rPr>
        <w:t>实地了解情况，收集资料，</w:t>
      </w:r>
      <w:r>
        <w:rPr>
          <w:rFonts w:hint="eastAsia" w:ascii="Arial Narrow" w:hAnsi="Arial Narrow" w:eastAsia="仿宋_GB2312"/>
          <w:color w:val="auto"/>
        </w:rPr>
        <w:t>并到现场实地查看施工单位现场施工情况及完成情况</w:t>
      </w:r>
      <w:r>
        <w:rPr>
          <w:rFonts w:ascii="Arial Narrow" w:hAnsi="Arial Narrow" w:eastAsia="仿宋_GB2312"/>
          <w:color w:val="auto"/>
        </w:rPr>
        <w:t>。</w:t>
      </w:r>
    </w:p>
    <w:p w14:paraId="7FE4FC0F">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3</w:t>
      </w:r>
      <w:r>
        <w:rPr>
          <w:rFonts w:hint="eastAsia" w:ascii="Arial Narrow" w:hAnsi="Arial Narrow" w:eastAsia="仿宋_GB2312"/>
          <w:color w:val="auto"/>
        </w:rPr>
        <w:t>.</w:t>
      </w:r>
      <w:r>
        <w:rPr>
          <w:rFonts w:ascii="Arial Narrow" w:hAnsi="Arial Narrow" w:eastAsia="仿宋_GB2312"/>
          <w:color w:val="auto"/>
        </w:rPr>
        <w:t>分析评价</w:t>
      </w:r>
    </w:p>
    <w:p w14:paraId="215FF190">
      <w:pPr>
        <w:pStyle w:val="13"/>
        <w:spacing w:line="360" w:lineRule="auto"/>
        <w:ind w:firstLine="480" w:firstLineChars="200"/>
        <w:rPr>
          <w:rFonts w:ascii="Arial Narrow" w:hAnsi="Arial Narrow" w:eastAsia="仿宋_GB2312"/>
          <w:color w:val="auto"/>
        </w:rPr>
      </w:pPr>
      <w:r>
        <w:rPr>
          <w:rFonts w:ascii="Arial Narrow" w:hAnsi="Arial Narrow" w:eastAsia="仿宋_GB2312"/>
          <w:color w:val="auto"/>
        </w:rPr>
        <w:t>2024年</w:t>
      </w:r>
      <w:r>
        <w:rPr>
          <w:rFonts w:hint="eastAsia" w:ascii="Arial Narrow" w:hAnsi="Arial Narrow" w:eastAsia="仿宋_GB2312"/>
          <w:color w:val="auto"/>
        </w:rPr>
        <w:t>6</w:t>
      </w:r>
      <w:r>
        <w:rPr>
          <w:rFonts w:ascii="Arial Narrow" w:hAnsi="Arial Narrow" w:eastAsia="仿宋_GB2312"/>
          <w:color w:val="auto"/>
        </w:rPr>
        <w:t>月</w:t>
      </w:r>
      <w:r>
        <w:rPr>
          <w:rFonts w:hint="eastAsia" w:ascii="Arial Narrow" w:hAnsi="Arial Narrow" w:eastAsia="仿宋_GB2312"/>
          <w:color w:val="auto"/>
        </w:rPr>
        <w:t>8</w:t>
      </w:r>
      <w:r>
        <w:rPr>
          <w:rFonts w:ascii="Arial Narrow" w:hAnsi="Arial Narrow" w:eastAsia="仿宋_GB2312"/>
          <w:color w:val="auto"/>
        </w:rPr>
        <w:t>日</w:t>
      </w:r>
      <w:r>
        <w:rPr>
          <w:rFonts w:hint="eastAsia" w:ascii="Arial Narrow" w:hAnsi="Arial Narrow" w:eastAsia="仿宋_GB2312"/>
          <w:color w:val="auto"/>
        </w:rPr>
        <w:t>向项目业主单位及服务范围内的辖区居民发放</w:t>
      </w:r>
      <w:r>
        <w:rPr>
          <w:rFonts w:ascii="Arial Narrow" w:hAnsi="Arial Narrow" w:eastAsia="仿宋_GB2312"/>
          <w:color w:val="auto"/>
        </w:rPr>
        <w:t>问卷调查表，</w:t>
      </w:r>
      <w:r>
        <w:rPr>
          <w:rFonts w:hint="eastAsia" w:ascii="Arial Narrow" w:hAnsi="Arial Narrow" w:eastAsia="仿宋_GB2312"/>
          <w:color w:val="auto"/>
          <w:lang w:eastAsia="zh-CN"/>
        </w:rPr>
        <w:t>6月10日</w:t>
      </w:r>
      <w:r>
        <w:rPr>
          <w:rFonts w:ascii="Arial Narrow" w:hAnsi="Arial Narrow" w:eastAsia="仿宋_GB2312"/>
          <w:color w:val="auto"/>
        </w:rPr>
        <w:t>汇总、分析、整理资料</w:t>
      </w:r>
      <w:r>
        <w:rPr>
          <w:rFonts w:hint="eastAsia" w:ascii="Arial Narrow" w:hAnsi="Arial Narrow" w:eastAsia="仿宋_GB2312"/>
          <w:color w:val="auto"/>
        </w:rPr>
        <w:t>，</w:t>
      </w:r>
      <w:r>
        <w:rPr>
          <w:rFonts w:ascii="Arial Narrow" w:hAnsi="Arial Narrow" w:eastAsia="仿宋_GB2312"/>
          <w:color w:val="auto"/>
        </w:rPr>
        <w:t>形成绩效评价报告初稿，</w:t>
      </w:r>
      <w:r>
        <w:rPr>
          <w:rFonts w:hint="eastAsia" w:ascii="Arial Narrow" w:hAnsi="Arial Narrow" w:eastAsia="仿宋_GB2312"/>
          <w:color w:val="auto"/>
        </w:rPr>
        <w:t>6</w:t>
      </w:r>
      <w:r>
        <w:rPr>
          <w:rFonts w:ascii="Arial Narrow" w:hAnsi="Arial Narrow" w:eastAsia="仿宋_GB2312"/>
          <w:color w:val="auto"/>
        </w:rPr>
        <w:t>月</w:t>
      </w:r>
      <w:r>
        <w:rPr>
          <w:rFonts w:hint="eastAsia" w:ascii="Arial Narrow" w:hAnsi="Arial Narrow" w:eastAsia="仿宋_GB2312"/>
          <w:color w:val="auto"/>
        </w:rPr>
        <w:t>18</w:t>
      </w:r>
      <w:r>
        <w:rPr>
          <w:rFonts w:ascii="Arial Narrow" w:hAnsi="Arial Narrow" w:eastAsia="仿宋_GB2312"/>
          <w:color w:val="auto"/>
        </w:rPr>
        <w:t>日向</w:t>
      </w:r>
      <w:r>
        <w:rPr>
          <w:rFonts w:hint="eastAsia" w:ascii="Arial Narrow" w:hAnsi="Arial Narrow" w:eastAsia="仿宋_GB2312"/>
          <w:color w:val="auto"/>
        </w:rPr>
        <w:t>重庆市铜梁区财政局</w:t>
      </w:r>
      <w:r>
        <w:rPr>
          <w:rFonts w:ascii="Arial Narrow" w:hAnsi="Arial Narrow" w:eastAsia="仿宋_GB2312"/>
          <w:color w:val="auto"/>
        </w:rPr>
        <w:t>提交《绩效评价报告（征求意见稿）》。</w:t>
      </w:r>
    </w:p>
    <w:p w14:paraId="73ADFB36">
      <w:pPr>
        <w:pStyle w:val="13"/>
        <w:spacing w:line="360" w:lineRule="auto"/>
        <w:ind w:firstLine="480" w:firstLineChars="200"/>
        <w:rPr>
          <w:rFonts w:ascii="Arial Narrow" w:hAnsi="Arial Narrow" w:eastAsia="仿宋_GB2312"/>
          <w:b/>
        </w:rPr>
      </w:pPr>
      <w:r>
        <w:rPr>
          <w:rFonts w:ascii="Arial Narrow" w:hAnsi="Arial Narrow" w:eastAsia="仿宋_GB2312"/>
          <w:color w:val="auto"/>
        </w:rPr>
        <w:t>4</w:t>
      </w:r>
      <w:r>
        <w:rPr>
          <w:rFonts w:hint="eastAsia" w:ascii="Arial Narrow" w:hAnsi="Arial Narrow" w:eastAsia="仿宋_GB2312"/>
          <w:color w:val="auto"/>
        </w:rPr>
        <w:t>.2024年6月20日</w:t>
      </w:r>
      <w:r>
        <w:rPr>
          <w:rFonts w:ascii="Arial Narrow" w:hAnsi="Arial Narrow" w:eastAsia="仿宋_GB2312"/>
          <w:color w:val="auto"/>
        </w:rPr>
        <w:t>与</w:t>
      </w:r>
      <w:r>
        <w:rPr>
          <w:rFonts w:hint="eastAsia" w:ascii="Arial Narrow" w:hAnsi="Arial Narrow" w:eastAsia="仿宋_GB2312"/>
          <w:color w:val="auto"/>
        </w:rPr>
        <w:t>重庆市铜梁区龙泽水务有限责任公司</w:t>
      </w:r>
      <w:r>
        <w:rPr>
          <w:rFonts w:ascii="Arial Narrow" w:hAnsi="Arial Narrow" w:eastAsia="仿宋_GB2312"/>
          <w:color w:val="auto"/>
        </w:rPr>
        <w:t>就《绩效评价报告（征求意见稿）》交流意见，经确认后形成《绩效评价报告》。</w:t>
      </w:r>
      <w:bookmarkStart w:id="23" w:name="_Toc437528933"/>
    </w:p>
    <w:p w14:paraId="70A7392F">
      <w:pPr>
        <w:spacing w:before="240" w:beforeLines="100" w:line="360" w:lineRule="auto"/>
        <w:ind w:firstLine="482" w:firstLineChars="200"/>
        <w:jc w:val="left"/>
        <w:outlineLvl w:val="0"/>
        <w:rPr>
          <w:rFonts w:ascii="Arial Narrow" w:hAnsi="Arial Narrow" w:eastAsia="仿宋_GB2312"/>
          <w:b/>
          <w:sz w:val="24"/>
        </w:rPr>
      </w:pPr>
      <w:bookmarkStart w:id="24" w:name="_Toc28661"/>
      <w:r>
        <w:rPr>
          <w:rFonts w:ascii="Arial Narrow" w:hAnsi="Arial Narrow" w:eastAsia="仿宋_GB2312"/>
          <w:b/>
          <w:sz w:val="24"/>
        </w:rPr>
        <w:t>三、综合评价情况及评价</w:t>
      </w:r>
      <w:bookmarkEnd w:id="23"/>
      <w:r>
        <w:rPr>
          <w:rFonts w:ascii="Arial Narrow" w:hAnsi="Arial Narrow" w:eastAsia="仿宋_GB2312"/>
          <w:b/>
          <w:sz w:val="24"/>
        </w:rPr>
        <w:t>结论</w:t>
      </w:r>
      <w:bookmarkEnd w:id="24"/>
    </w:p>
    <w:p w14:paraId="29D0CC1F">
      <w:pPr>
        <w:spacing w:before="120" w:beforeLines="50" w:line="360" w:lineRule="auto"/>
        <w:ind w:firstLine="482" w:firstLineChars="200"/>
        <w:jc w:val="left"/>
        <w:outlineLvl w:val="0"/>
        <w:rPr>
          <w:rFonts w:ascii="Arial Narrow" w:hAnsi="Arial Narrow" w:eastAsia="仿宋_GB2312"/>
          <w:b/>
          <w:sz w:val="24"/>
        </w:rPr>
      </w:pPr>
      <w:bookmarkStart w:id="25" w:name="_Toc11052"/>
      <w:r>
        <w:rPr>
          <w:rFonts w:ascii="Arial Narrow" w:hAnsi="Arial Narrow" w:eastAsia="仿宋_GB2312"/>
          <w:b/>
          <w:sz w:val="24"/>
        </w:rPr>
        <w:t>（一）绩效评价结论</w:t>
      </w:r>
      <w:bookmarkEnd w:id="25"/>
    </w:p>
    <w:p w14:paraId="50C7A029">
      <w:pPr>
        <w:spacing w:line="360" w:lineRule="auto"/>
        <w:ind w:firstLine="480" w:firstLineChars="200"/>
        <w:jc w:val="left"/>
        <w:rPr>
          <w:rFonts w:ascii="Arial Narrow" w:hAnsi="Arial Narrow" w:eastAsia="仿宋_GB2312"/>
          <w:sz w:val="24"/>
        </w:rPr>
      </w:pPr>
      <w:r>
        <w:rPr>
          <w:rFonts w:ascii="Arial Narrow" w:hAnsi="Arial Narrow" w:eastAsia="仿宋_GB2312"/>
          <w:sz w:val="24"/>
        </w:rPr>
        <w:t>经绩效评价工作组从投入、管理、产出、效果四个方面进行评</w:t>
      </w:r>
      <w:r>
        <w:rPr>
          <w:rFonts w:hint="eastAsia" w:ascii="Arial Narrow" w:hAnsi="Arial Narrow" w:eastAsia="仿宋_GB2312"/>
          <w:sz w:val="24"/>
        </w:rPr>
        <w:t>价</w:t>
      </w:r>
      <w:r>
        <w:rPr>
          <w:rFonts w:ascii="Arial Narrow" w:hAnsi="Arial Narrow" w:eastAsia="仿宋_GB2312"/>
          <w:sz w:val="24"/>
        </w:rPr>
        <w:t>打分，</w:t>
      </w:r>
      <w:r>
        <w:rPr>
          <w:rFonts w:hint="eastAsia" w:ascii="Arial Narrow" w:hAnsi="Arial Narrow" w:eastAsia="仿宋_GB2312"/>
          <w:sz w:val="24"/>
        </w:rPr>
        <w:t>“铜梁区太平水厂工程（一期）”项目</w:t>
      </w:r>
      <w:r>
        <w:rPr>
          <w:rFonts w:ascii="Arial Narrow" w:hAnsi="Arial Narrow" w:eastAsia="仿宋_GB2312"/>
          <w:sz w:val="24"/>
        </w:rPr>
        <w:t>绩效评价得分</w:t>
      </w:r>
      <w:r>
        <w:rPr>
          <w:rFonts w:hint="eastAsia" w:ascii="Arial Narrow" w:hAnsi="Arial Narrow" w:eastAsia="仿宋_GB2312"/>
          <w:sz w:val="24"/>
        </w:rPr>
        <w:t>88.66</w:t>
      </w:r>
      <w:r>
        <w:rPr>
          <w:rFonts w:ascii="Arial Narrow" w:hAnsi="Arial Narrow" w:eastAsia="仿宋_GB2312"/>
          <w:sz w:val="24"/>
        </w:rPr>
        <w:t>分，绩效评价等级为：</w:t>
      </w:r>
      <w:r>
        <w:rPr>
          <w:rFonts w:hint="eastAsia" w:ascii="Arial Narrow" w:hAnsi="Arial Narrow" w:eastAsia="仿宋_GB2312"/>
          <w:sz w:val="24"/>
        </w:rPr>
        <w:t>良</w:t>
      </w:r>
      <w:r>
        <w:rPr>
          <w:rFonts w:ascii="Arial Narrow" w:hAnsi="Arial Narrow" w:eastAsia="仿宋_GB2312"/>
          <w:sz w:val="24"/>
        </w:rPr>
        <w:t>（90＞得分≥80），</w:t>
      </w:r>
      <w:r>
        <w:rPr>
          <w:rFonts w:hint="eastAsia" w:ascii="Arial Narrow" w:hAnsi="Arial Narrow" w:eastAsia="仿宋_GB2312"/>
          <w:sz w:val="24"/>
        </w:rPr>
        <w:t>详见下表：</w:t>
      </w:r>
    </w:p>
    <w:p w14:paraId="17E1DFD5">
      <w:pPr>
        <w:spacing w:line="360" w:lineRule="auto"/>
        <w:jc w:val="center"/>
        <w:rPr>
          <w:rFonts w:ascii="Arial Narrow" w:hAnsi="Arial Narrow" w:eastAsia="仿宋_GB2312"/>
          <w:b/>
          <w:bCs/>
          <w:sz w:val="28"/>
          <w:szCs w:val="28"/>
        </w:rPr>
      </w:pPr>
      <w:r>
        <w:rPr>
          <w:rFonts w:ascii="Arial Narrow" w:hAnsi="Arial Narrow" w:eastAsia="仿宋_GB2312"/>
          <w:b/>
          <w:bCs/>
          <w:sz w:val="28"/>
          <w:szCs w:val="28"/>
        </w:rPr>
        <w:t>绩效评价</w:t>
      </w:r>
      <w:r>
        <w:rPr>
          <w:rFonts w:hint="eastAsia" w:ascii="Arial Narrow" w:hAnsi="Arial Narrow" w:eastAsia="仿宋_GB2312"/>
          <w:b/>
          <w:bCs/>
          <w:sz w:val="28"/>
          <w:szCs w:val="28"/>
        </w:rPr>
        <w:t>结果</w:t>
      </w:r>
      <w:r>
        <w:rPr>
          <w:rFonts w:ascii="Arial Narrow" w:hAnsi="Arial Narrow" w:eastAsia="仿宋_GB2312"/>
          <w:b/>
          <w:bCs/>
          <w:sz w:val="28"/>
          <w:szCs w:val="28"/>
        </w:rPr>
        <w:t>汇总表</w:t>
      </w: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1701"/>
        <w:gridCol w:w="1706"/>
        <w:gridCol w:w="1711"/>
        <w:gridCol w:w="1522"/>
      </w:tblGrid>
      <w:tr w14:paraId="4305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vAlign w:val="center"/>
          </w:tcPr>
          <w:p w14:paraId="434BE750">
            <w:pPr>
              <w:jc w:val="center"/>
              <w:rPr>
                <w:rFonts w:ascii="Arial Narrow" w:hAnsi="Arial Narrow" w:eastAsia="仿宋_GB2312" w:cs="宋体"/>
                <w:kern w:val="0"/>
                <w:szCs w:val="21"/>
              </w:rPr>
            </w:pPr>
            <w:r>
              <w:rPr>
                <w:rFonts w:ascii="Arial Narrow" w:hAnsi="Arial Narrow" w:eastAsia="仿宋_GB2312" w:cs="宋体"/>
                <w:kern w:val="0"/>
                <w:szCs w:val="21"/>
              </w:rPr>
              <w:t>项目指标</w:t>
            </w:r>
          </w:p>
        </w:tc>
        <w:tc>
          <w:tcPr>
            <w:tcW w:w="1701" w:type="dxa"/>
            <w:vAlign w:val="center"/>
          </w:tcPr>
          <w:p w14:paraId="404B1ECC">
            <w:pPr>
              <w:jc w:val="center"/>
              <w:rPr>
                <w:rFonts w:ascii="Arial Narrow" w:hAnsi="Arial Narrow" w:eastAsia="仿宋_GB2312" w:cs="宋体"/>
                <w:kern w:val="0"/>
                <w:szCs w:val="21"/>
              </w:rPr>
            </w:pPr>
            <w:r>
              <w:rPr>
                <w:rFonts w:ascii="Arial Narrow" w:hAnsi="Arial Narrow" w:eastAsia="仿宋_GB2312" w:cs="宋体"/>
                <w:kern w:val="0"/>
                <w:szCs w:val="21"/>
              </w:rPr>
              <w:t>标准分值</w:t>
            </w:r>
          </w:p>
        </w:tc>
        <w:tc>
          <w:tcPr>
            <w:tcW w:w="1706" w:type="dxa"/>
            <w:vAlign w:val="center"/>
          </w:tcPr>
          <w:p w14:paraId="1EC3A5F2">
            <w:pPr>
              <w:jc w:val="center"/>
              <w:rPr>
                <w:rFonts w:ascii="Arial Narrow" w:hAnsi="Arial Narrow" w:eastAsia="仿宋_GB2312" w:cs="宋体"/>
                <w:kern w:val="0"/>
                <w:szCs w:val="21"/>
              </w:rPr>
            </w:pPr>
            <w:r>
              <w:rPr>
                <w:rFonts w:ascii="Arial Narrow" w:hAnsi="Arial Narrow" w:eastAsia="仿宋_GB2312" w:cs="宋体"/>
                <w:kern w:val="0"/>
                <w:szCs w:val="21"/>
              </w:rPr>
              <w:t>实际得分</w:t>
            </w:r>
          </w:p>
        </w:tc>
        <w:tc>
          <w:tcPr>
            <w:tcW w:w="1711" w:type="dxa"/>
            <w:vAlign w:val="center"/>
          </w:tcPr>
          <w:p w14:paraId="2B1FC10B">
            <w:pPr>
              <w:jc w:val="center"/>
              <w:rPr>
                <w:rFonts w:ascii="Arial Narrow" w:hAnsi="Arial Narrow" w:eastAsia="仿宋_GB2312" w:cs="宋体"/>
                <w:kern w:val="0"/>
                <w:szCs w:val="21"/>
              </w:rPr>
            </w:pPr>
            <w:r>
              <w:rPr>
                <w:rFonts w:ascii="Arial Narrow" w:hAnsi="Arial Narrow" w:eastAsia="仿宋_GB2312" w:cs="宋体"/>
                <w:kern w:val="0"/>
                <w:szCs w:val="21"/>
              </w:rPr>
              <w:t>得分率</w:t>
            </w:r>
          </w:p>
        </w:tc>
        <w:tc>
          <w:tcPr>
            <w:tcW w:w="1522" w:type="dxa"/>
            <w:vAlign w:val="center"/>
          </w:tcPr>
          <w:p w14:paraId="21F385FC">
            <w:pPr>
              <w:jc w:val="center"/>
              <w:rPr>
                <w:rFonts w:ascii="Arial Narrow" w:hAnsi="Arial Narrow" w:eastAsia="仿宋_GB2312" w:cs="宋体"/>
                <w:kern w:val="0"/>
                <w:szCs w:val="21"/>
              </w:rPr>
            </w:pPr>
            <w:r>
              <w:rPr>
                <w:rFonts w:ascii="Arial Narrow" w:hAnsi="Arial Narrow" w:eastAsia="仿宋_GB2312" w:cs="宋体"/>
                <w:kern w:val="0"/>
                <w:szCs w:val="21"/>
              </w:rPr>
              <w:t>备注</w:t>
            </w:r>
          </w:p>
        </w:tc>
      </w:tr>
      <w:tr w14:paraId="18CD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vAlign w:val="center"/>
          </w:tcPr>
          <w:p w14:paraId="1FD9D1BF">
            <w:pPr>
              <w:jc w:val="center"/>
              <w:rPr>
                <w:rFonts w:ascii="Arial Narrow" w:hAnsi="Arial Narrow" w:eastAsia="仿宋_GB2312" w:cs="宋体"/>
                <w:kern w:val="0"/>
                <w:szCs w:val="21"/>
              </w:rPr>
            </w:pPr>
            <w:r>
              <w:rPr>
                <w:rFonts w:hint="eastAsia" w:ascii="Arial Narrow" w:hAnsi="Arial Narrow" w:eastAsia="仿宋_GB2312" w:cs="宋体"/>
                <w:kern w:val="0"/>
                <w:szCs w:val="21"/>
              </w:rPr>
              <w:t>投入</w:t>
            </w:r>
          </w:p>
        </w:tc>
        <w:tc>
          <w:tcPr>
            <w:tcW w:w="1701" w:type="dxa"/>
            <w:vAlign w:val="center"/>
          </w:tcPr>
          <w:p w14:paraId="53A49D2F">
            <w:pPr>
              <w:widowControl/>
              <w:jc w:val="center"/>
              <w:textAlignment w:val="center"/>
              <w:rPr>
                <w:rFonts w:ascii="Arial Narrow" w:hAnsi="Arial Narrow"/>
                <w:szCs w:val="21"/>
              </w:rPr>
            </w:pPr>
            <w:r>
              <w:rPr>
                <w:rFonts w:ascii="Arial Narrow" w:hAnsi="Arial Narrow" w:eastAsia="Arial Narrow" w:cs="Arial Narrow"/>
                <w:color w:val="000000"/>
                <w:kern w:val="0"/>
                <w:szCs w:val="21"/>
                <w:lang w:bidi="ar"/>
              </w:rPr>
              <w:t>20</w:t>
            </w:r>
          </w:p>
        </w:tc>
        <w:tc>
          <w:tcPr>
            <w:tcW w:w="1706" w:type="dxa"/>
            <w:vAlign w:val="center"/>
          </w:tcPr>
          <w:p w14:paraId="2D34ED87">
            <w:pPr>
              <w:widowControl/>
              <w:jc w:val="center"/>
              <w:textAlignment w:val="center"/>
              <w:rPr>
                <w:rFonts w:ascii="Arial Narrow" w:hAnsi="Arial Narrow"/>
                <w:szCs w:val="21"/>
              </w:rPr>
            </w:pPr>
            <w:r>
              <w:rPr>
                <w:rFonts w:hint="eastAsia" w:ascii="Arial Narrow" w:hAnsi="Arial Narrow" w:cs="Arial Narrow"/>
                <w:color w:val="000000"/>
                <w:kern w:val="0"/>
                <w:szCs w:val="21"/>
                <w:lang w:bidi="ar"/>
              </w:rPr>
              <w:t>20</w:t>
            </w:r>
          </w:p>
        </w:tc>
        <w:tc>
          <w:tcPr>
            <w:tcW w:w="1711" w:type="dxa"/>
            <w:vAlign w:val="center"/>
          </w:tcPr>
          <w:p w14:paraId="2F3852E8">
            <w:pPr>
              <w:widowControl/>
              <w:jc w:val="center"/>
              <w:textAlignment w:val="center"/>
              <w:rPr>
                <w:rFonts w:ascii="Arial Narrow" w:hAnsi="Arial Narrow"/>
                <w:szCs w:val="21"/>
              </w:rPr>
            </w:pPr>
            <w:r>
              <w:rPr>
                <w:rFonts w:hint="eastAsia" w:ascii="Arial Narrow" w:hAnsi="Arial Narrow" w:cs="Arial Narrow"/>
                <w:color w:val="000000"/>
                <w:kern w:val="0"/>
                <w:szCs w:val="21"/>
                <w:lang w:bidi="ar"/>
              </w:rPr>
              <w:t>100.00</w:t>
            </w:r>
            <w:r>
              <w:rPr>
                <w:rFonts w:ascii="Arial Narrow" w:hAnsi="Arial Narrow" w:eastAsia="Arial Narrow" w:cs="Arial Narrow"/>
                <w:color w:val="000000"/>
                <w:kern w:val="0"/>
                <w:szCs w:val="21"/>
                <w:lang w:bidi="ar"/>
              </w:rPr>
              <w:t>%</w:t>
            </w:r>
          </w:p>
        </w:tc>
        <w:tc>
          <w:tcPr>
            <w:tcW w:w="1522" w:type="dxa"/>
            <w:vAlign w:val="center"/>
          </w:tcPr>
          <w:p w14:paraId="328145C2">
            <w:pPr>
              <w:jc w:val="left"/>
              <w:rPr>
                <w:rFonts w:ascii="Arial Narrow" w:hAnsi="Arial Narrow"/>
                <w:szCs w:val="21"/>
              </w:rPr>
            </w:pPr>
          </w:p>
        </w:tc>
      </w:tr>
      <w:tr w14:paraId="4AF6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vAlign w:val="center"/>
          </w:tcPr>
          <w:p w14:paraId="297A6301">
            <w:pPr>
              <w:jc w:val="center"/>
              <w:rPr>
                <w:rFonts w:ascii="Arial Narrow" w:hAnsi="Arial Narrow" w:eastAsia="仿宋_GB2312" w:cs="宋体"/>
                <w:kern w:val="0"/>
                <w:szCs w:val="21"/>
              </w:rPr>
            </w:pPr>
            <w:r>
              <w:rPr>
                <w:rFonts w:hint="eastAsia" w:ascii="Arial Narrow" w:hAnsi="Arial Narrow" w:eastAsia="仿宋_GB2312" w:cs="宋体"/>
                <w:kern w:val="0"/>
                <w:szCs w:val="21"/>
              </w:rPr>
              <w:t>管理</w:t>
            </w:r>
          </w:p>
        </w:tc>
        <w:tc>
          <w:tcPr>
            <w:tcW w:w="1701" w:type="dxa"/>
            <w:vAlign w:val="center"/>
          </w:tcPr>
          <w:p w14:paraId="1F038964">
            <w:pPr>
              <w:widowControl/>
              <w:jc w:val="center"/>
              <w:textAlignment w:val="center"/>
              <w:rPr>
                <w:rFonts w:ascii="Arial Narrow" w:hAnsi="Arial Narrow"/>
                <w:szCs w:val="21"/>
              </w:rPr>
            </w:pPr>
            <w:r>
              <w:rPr>
                <w:rFonts w:ascii="Arial Narrow" w:hAnsi="Arial Narrow" w:eastAsia="Arial Narrow" w:cs="Arial Narrow"/>
                <w:color w:val="000000"/>
                <w:kern w:val="0"/>
                <w:szCs w:val="21"/>
                <w:lang w:bidi="ar"/>
              </w:rPr>
              <w:t>55</w:t>
            </w:r>
          </w:p>
        </w:tc>
        <w:tc>
          <w:tcPr>
            <w:tcW w:w="1706" w:type="dxa"/>
            <w:vAlign w:val="center"/>
          </w:tcPr>
          <w:p w14:paraId="74005CDE">
            <w:pPr>
              <w:widowControl/>
              <w:jc w:val="center"/>
              <w:textAlignment w:val="center"/>
              <w:rPr>
                <w:rFonts w:ascii="Arial Narrow" w:hAnsi="Arial Narrow"/>
                <w:szCs w:val="21"/>
              </w:rPr>
            </w:pPr>
            <w:r>
              <w:rPr>
                <w:rFonts w:ascii="Arial Narrow" w:hAnsi="Arial Narrow" w:eastAsia="Arial Narrow" w:cs="Arial Narrow"/>
                <w:color w:val="000000"/>
                <w:kern w:val="0"/>
                <w:szCs w:val="21"/>
                <w:lang w:bidi="ar"/>
              </w:rPr>
              <w:t>4</w:t>
            </w:r>
            <w:r>
              <w:rPr>
                <w:rFonts w:hint="eastAsia" w:ascii="Arial Narrow" w:hAnsi="Arial Narrow" w:cs="Arial Narrow"/>
                <w:color w:val="000000"/>
                <w:kern w:val="0"/>
                <w:szCs w:val="21"/>
                <w:lang w:bidi="ar"/>
              </w:rPr>
              <w:t>8</w:t>
            </w:r>
          </w:p>
        </w:tc>
        <w:tc>
          <w:tcPr>
            <w:tcW w:w="1711" w:type="dxa"/>
            <w:vAlign w:val="center"/>
          </w:tcPr>
          <w:p w14:paraId="3268EB51">
            <w:pPr>
              <w:widowControl/>
              <w:jc w:val="center"/>
              <w:textAlignment w:val="center"/>
              <w:rPr>
                <w:rFonts w:ascii="Arial Narrow" w:hAnsi="Arial Narrow"/>
                <w:szCs w:val="21"/>
              </w:rPr>
            </w:pPr>
            <w:r>
              <w:rPr>
                <w:rFonts w:ascii="Arial Narrow" w:hAnsi="Arial Narrow" w:eastAsia="Arial Narrow" w:cs="Arial Narrow"/>
                <w:color w:val="000000"/>
                <w:kern w:val="0"/>
                <w:szCs w:val="21"/>
                <w:lang w:bidi="ar"/>
              </w:rPr>
              <w:t>8</w:t>
            </w:r>
            <w:r>
              <w:rPr>
                <w:rFonts w:hint="eastAsia" w:ascii="Arial Narrow" w:hAnsi="Arial Narrow" w:cs="Arial Narrow"/>
                <w:color w:val="000000"/>
                <w:kern w:val="0"/>
                <w:szCs w:val="21"/>
                <w:lang w:bidi="ar"/>
              </w:rPr>
              <w:t>7</w:t>
            </w:r>
            <w:r>
              <w:rPr>
                <w:rFonts w:ascii="Arial Narrow" w:hAnsi="Arial Narrow" w:eastAsia="Arial Narrow" w:cs="Arial Narrow"/>
                <w:color w:val="000000"/>
                <w:kern w:val="0"/>
                <w:szCs w:val="21"/>
                <w:lang w:bidi="ar"/>
              </w:rPr>
              <w:t>.</w:t>
            </w:r>
            <w:r>
              <w:rPr>
                <w:rFonts w:hint="eastAsia" w:ascii="Arial Narrow" w:hAnsi="Arial Narrow" w:cs="Arial Narrow"/>
                <w:color w:val="000000"/>
                <w:kern w:val="0"/>
                <w:szCs w:val="21"/>
                <w:lang w:bidi="ar"/>
              </w:rPr>
              <w:t>27</w:t>
            </w:r>
            <w:r>
              <w:rPr>
                <w:rFonts w:ascii="Arial Narrow" w:hAnsi="Arial Narrow" w:eastAsia="Arial Narrow" w:cs="Arial Narrow"/>
                <w:color w:val="000000"/>
                <w:kern w:val="0"/>
                <w:szCs w:val="21"/>
                <w:lang w:bidi="ar"/>
              </w:rPr>
              <w:t>%</w:t>
            </w:r>
          </w:p>
        </w:tc>
        <w:tc>
          <w:tcPr>
            <w:tcW w:w="1522" w:type="dxa"/>
            <w:vAlign w:val="center"/>
          </w:tcPr>
          <w:p w14:paraId="46A161F6">
            <w:pPr>
              <w:jc w:val="left"/>
              <w:rPr>
                <w:rFonts w:ascii="Arial Narrow" w:hAnsi="Arial Narrow"/>
                <w:szCs w:val="21"/>
              </w:rPr>
            </w:pPr>
          </w:p>
        </w:tc>
      </w:tr>
      <w:tr w14:paraId="4634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vAlign w:val="center"/>
          </w:tcPr>
          <w:p w14:paraId="340A75D8">
            <w:pPr>
              <w:jc w:val="center"/>
              <w:rPr>
                <w:rFonts w:ascii="Arial Narrow" w:hAnsi="Arial Narrow" w:eastAsia="仿宋_GB2312" w:cs="宋体"/>
                <w:kern w:val="0"/>
                <w:szCs w:val="21"/>
              </w:rPr>
            </w:pPr>
            <w:r>
              <w:rPr>
                <w:rFonts w:hint="eastAsia" w:ascii="Arial Narrow" w:hAnsi="Arial Narrow" w:eastAsia="仿宋_GB2312" w:cs="宋体"/>
                <w:kern w:val="0"/>
                <w:szCs w:val="21"/>
              </w:rPr>
              <w:t>产出</w:t>
            </w:r>
          </w:p>
        </w:tc>
        <w:tc>
          <w:tcPr>
            <w:tcW w:w="1701" w:type="dxa"/>
            <w:vAlign w:val="center"/>
          </w:tcPr>
          <w:p w14:paraId="7FF5506E">
            <w:pPr>
              <w:widowControl/>
              <w:jc w:val="center"/>
              <w:textAlignment w:val="center"/>
              <w:rPr>
                <w:rFonts w:ascii="Arial Narrow" w:hAnsi="Arial Narrow"/>
                <w:szCs w:val="21"/>
              </w:rPr>
            </w:pPr>
            <w:r>
              <w:rPr>
                <w:rFonts w:ascii="Arial Narrow" w:hAnsi="Arial Narrow" w:eastAsia="Arial Narrow" w:cs="Arial Narrow"/>
                <w:color w:val="000000"/>
                <w:kern w:val="0"/>
                <w:szCs w:val="21"/>
                <w:lang w:bidi="ar"/>
              </w:rPr>
              <w:t>10</w:t>
            </w:r>
          </w:p>
        </w:tc>
        <w:tc>
          <w:tcPr>
            <w:tcW w:w="1706" w:type="dxa"/>
            <w:vAlign w:val="center"/>
          </w:tcPr>
          <w:p w14:paraId="4C8A3B37">
            <w:pPr>
              <w:widowControl/>
              <w:jc w:val="center"/>
              <w:textAlignment w:val="center"/>
              <w:rPr>
                <w:rFonts w:ascii="Arial Narrow" w:hAnsi="Arial Narrow"/>
                <w:szCs w:val="21"/>
              </w:rPr>
            </w:pPr>
            <w:r>
              <w:rPr>
                <w:rFonts w:ascii="Arial Narrow" w:hAnsi="Arial Narrow" w:eastAsia="Arial Narrow" w:cs="Arial Narrow"/>
                <w:color w:val="000000"/>
                <w:kern w:val="0"/>
                <w:szCs w:val="21"/>
                <w:lang w:bidi="ar"/>
              </w:rPr>
              <w:t>8</w:t>
            </w:r>
          </w:p>
        </w:tc>
        <w:tc>
          <w:tcPr>
            <w:tcW w:w="1711" w:type="dxa"/>
            <w:vAlign w:val="center"/>
          </w:tcPr>
          <w:p w14:paraId="76D9D9A0">
            <w:pPr>
              <w:widowControl/>
              <w:jc w:val="center"/>
              <w:textAlignment w:val="center"/>
              <w:rPr>
                <w:rFonts w:ascii="Arial Narrow" w:hAnsi="Arial Narrow"/>
                <w:szCs w:val="21"/>
              </w:rPr>
            </w:pPr>
            <w:r>
              <w:rPr>
                <w:rFonts w:ascii="Arial Narrow" w:hAnsi="Arial Narrow" w:eastAsia="Arial Narrow" w:cs="Arial Narrow"/>
                <w:color w:val="000000"/>
                <w:kern w:val="0"/>
                <w:szCs w:val="21"/>
                <w:lang w:bidi="ar"/>
              </w:rPr>
              <w:t>80.00%</w:t>
            </w:r>
          </w:p>
        </w:tc>
        <w:tc>
          <w:tcPr>
            <w:tcW w:w="1522" w:type="dxa"/>
            <w:vAlign w:val="center"/>
          </w:tcPr>
          <w:p w14:paraId="21AC1638">
            <w:pPr>
              <w:jc w:val="left"/>
              <w:rPr>
                <w:rFonts w:ascii="Arial Narrow" w:hAnsi="Arial Narrow"/>
                <w:szCs w:val="21"/>
              </w:rPr>
            </w:pPr>
          </w:p>
        </w:tc>
      </w:tr>
      <w:tr w14:paraId="34A1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vAlign w:val="center"/>
          </w:tcPr>
          <w:p w14:paraId="23733595">
            <w:pPr>
              <w:jc w:val="center"/>
              <w:rPr>
                <w:rFonts w:ascii="Arial Narrow" w:hAnsi="Arial Narrow" w:eastAsia="仿宋_GB2312" w:cs="宋体"/>
                <w:kern w:val="0"/>
                <w:szCs w:val="21"/>
              </w:rPr>
            </w:pPr>
            <w:r>
              <w:rPr>
                <w:rFonts w:hint="eastAsia" w:ascii="Arial Narrow" w:hAnsi="Arial Narrow" w:eastAsia="仿宋_GB2312" w:cs="宋体"/>
                <w:kern w:val="0"/>
                <w:szCs w:val="21"/>
              </w:rPr>
              <w:t>效果</w:t>
            </w:r>
          </w:p>
        </w:tc>
        <w:tc>
          <w:tcPr>
            <w:tcW w:w="1701" w:type="dxa"/>
            <w:vAlign w:val="center"/>
          </w:tcPr>
          <w:p w14:paraId="4F3221D0">
            <w:pPr>
              <w:widowControl/>
              <w:jc w:val="center"/>
              <w:textAlignment w:val="center"/>
              <w:rPr>
                <w:rFonts w:ascii="Arial Narrow" w:hAnsi="Arial Narrow"/>
                <w:szCs w:val="21"/>
              </w:rPr>
            </w:pPr>
            <w:r>
              <w:rPr>
                <w:rFonts w:ascii="Arial Narrow" w:hAnsi="Arial Narrow" w:eastAsia="Arial Narrow" w:cs="Arial Narrow"/>
                <w:color w:val="000000"/>
                <w:kern w:val="0"/>
                <w:szCs w:val="21"/>
                <w:lang w:bidi="ar"/>
              </w:rPr>
              <w:t>15</w:t>
            </w:r>
          </w:p>
        </w:tc>
        <w:tc>
          <w:tcPr>
            <w:tcW w:w="1706" w:type="dxa"/>
            <w:vAlign w:val="center"/>
          </w:tcPr>
          <w:p w14:paraId="6F4289B8">
            <w:pPr>
              <w:widowControl/>
              <w:jc w:val="center"/>
              <w:textAlignment w:val="center"/>
              <w:rPr>
                <w:rFonts w:ascii="Arial Narrow" w:hAnsi="Arial Narrow"/>
                <w:szCs w:val="21"/>
              </w:rPr>
            </w:pPr>
            <w:r>
              <w:rPr>
                <w:rFonts w:hint="eastAsia" w:ascii="Arial Narrow" w:hAnsi="Arial Narrow"/>
                <w:szCs w:val="21"/>
              </w:rPr>
              <w:t>12.66</w:t>
            </w:r>
          </w:p>
        </w:tc>
        <w:tc>
          <w:tcPr>
            <w:tcW w:w="1711" w:type="dxa"/>
            <w:vAlign w:val="center"/>
          </w:tcPr>
          <w:p w14:paraId="02A3C30F">
            <w:pPr>
              <w:widowControl/>
              <w:jc w:val="center"/>
              <w:textAlignment w:val="center"/>
              <w:rPr>
                <w:rFonts w:ascii="Arial Narrow" w:hAnsi="Arial Narrow"/>
                <w:szCs w:val="21"/>
              </w:rPr>
            </w:pPr>
            <w:r>
              <w:rPr>
                <w:rFonts w:ascii="Arial Narrow" w:hAnsi="Arial Narrow" w:eastAsia="Arial Narrow" w:cs="Arial Narrow"/>
                <w:color w:val="000000"/>
                <w:kern w:val="0"/>
                <w:szCs w:val="21"/>
                <w:lang w:bidi="ar"/>
              </w:rPr>
              <w:t>8</w:t>
            </w:r>
            <w:r>
              <w:rPr>
                <w:rFonts w:hint="eastAsia" w:ascii="Arial Narrow" w:hAnsi="Arial Narrow" w:cs="Arial Narrow"/>
                <w:color w:val="000000"/>
                <w:kern w:val="0"/>
                <w:szCs w:val="21"/>
                <w:lang w:bidi="ar"/>
              </w:rPr>
              <w:t>4</w:t>
            </w:r>
            <w:r>
              <w:rPr>
                <w:rFonts w:ascii="Arial Narrow" w:hAnsi="Arial Narrow" w:eastAsia="Arial Narrow" w:cs="Arial Narrow"/>
                <w:color w:val="000000"/>
                <w:kern w:val="0"/>
                <w:szCs w:val="21"/>
                <w:lang w:bidi="ar"/>
              </w:rPr>
              <w:t>.</w:t>
            </w:r>
            <w:r>
              <w:rPr>
                <w:rFonts w:hint="eastAsia" w:ascii="Arial Narrow" w:hAnsi="Arial Narrow" w:cs="Arial Narrow"/>
                <w:color w:val="000000"/>
                <w:kern w:val="0"/>
                <w:szCs w:val="21"/>
                <w:lang w:bidi="ar"/>
              </w:rPr>
              <w:t>4</w:t>
            </w:r>
            <w:r>
              <w:rPr>
                <w:rFonts w:ascii="Arial Narrow" w:hAnsi="Arial Narrow" w:eastAsia="Arial Narrow" w:cs="Arial Narrow"/>
                <w:color w:val="000000"/>
                <w:kern w:val="0"/>
                <w:szCs w:val="21"/>
                <w:lang w:bidi="ar"/>
              </w:rPr>
              <w:t>0%</w:t>
            </w:r>
          </w:p>
        </w:tc>
        <w:tc>
          <w:tcPr>
            <w:tcW w:w="1522" w:type="dxa"/>
            <w:vAlign w:val="center"/>
          </w:tcPr>
          <w:p w14:paraId="01F8D5B4">
            <w:pPr>
              <w:jc w:val="left"/>
              <w:rPr>
                <w:rFonts w:ascii="Arial Narrow" w:hAnsi="Arial Narrow"/>
                <w:szCs w:val="21"/>
              </w:rPr>
            </w:pPr>
          </w:p>
        </w:tc>
      </w:tr>
      <w:tr w14:paraId="5B14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vAlign w:val="center"/>
          </w:tcPr>
          <w:p w14:paraId="4C704C5F">
            <w:pPr>
              <w:jc w:val="center"/>
              <w:rPr>
                <w:rFonts w:ascii="Arial Narrow" w:hAnsi="Arial Narrow" w:eastAsia="仿宋_GB2312" w:cs="宋体"/>
                <w:kern w:val="0"/>
                <w:szCs w:val="21"/>
              </w:rPr>
            </w:pPr>
            <w:r>
              <w:rPr>
                <w:rFonts w:hint="eastAsia" w:ascii="Arial Narrow" w:hAnsi="Arial Narrow" w:eastAsia="仿宋_GB2312" w:cs="宋体"/>
                <w:kern w:val="0"/>
                <w:szCs w:val="21"/>
              </w:rPr>
              <w:t>合　计</w:t>
            </w:r>
          </w:p>
        </w:tc>
        <w:tc>
          <w:tcPr>
            <w:tcW w:w="1701" w:type="dxa"/>
            <w:vAlign w:val="center"/>
          </w:tcPr>
          <w:p w14:paraId="069F7050">
            <w:pPr>
              <w:widowControl/>
              <w:jc w:val="center"/>
              <w:textAlignment w:val="center"/>
              <w:rPr>
                <w:rFonts w:ascii="Arial Narrow" w:hAnsi="Arial Narrow"/>
                <w:szCs w:val="21"/>
              </w:rPr>
            </w:pPr>
            <w:r>
              <w:rPr>
                <w:rFonts w:ascii="Arial Narrow" w:hAnsi="Arial Narrow" w:eastAsia="Arial Narrow" w:cs="Arial Narrow"/>
                <w:color w:val="000000"/>
                <w:kern w:val="0"/>
                <w:szCs w:val="21"/>
                <w:lang w:bidi="ar"/>
              </w:rPr>
              <w:t>100</w:t>
            </w:r>
          </w:p>
        </w:tc>
        <w:tc>
          <w:tcPr>
            <w:tcW w:w="1706" w:type="dxa"/>
            <w:vAlign w:val="center"/>
          </w:tcPr>
          <w:p w14:paraId="4D31E1F3">
            <w:pPr>
              <w:widowControl/>
              <w:jc w:val="center"/>
              <w:textAlignment w:val="center"/>
              <w:rPr>
                <w:rFonts w:ascii="Arial Narrow" w:hAnsi="Arial Narrow"/>
                <w:szCs w:val="21"/>
              </w:rPr>
            </w:pPr>
            <w:r>
              <w:rPr>
                <w:rFonts w:ascii="Arial Narrow" w:hAnsi="Arial Narrow" w:eastAsia="Arial Narrow" w:cs="Arial Narrow"/>
                <w:color w:val="000000"/>
                <w:kern w:val="0"/>
                <w:szCs w:val="21"/>
                <w:lang w:bidi="ar"/>
              </w:rPr>
              <w:t>8</w:t>
            </w:r>
            <w:r>
              <w:rPr>
                <w:rFonts w:hint="eastAsia" w:ascii="Arial Narrow" w:hAnsi="Arial Narrow" w:cs="Arial Narrow"/>
                <w:color w:val="000000"/>
                <w:kern w:val="0"/>
                <w:szCs w:val="21"/>
                <w:lang w:bidi="ar"/>
              </w:rPr>
              <w:t>8.66</w:t>
            </w:r>
          </w:p>
        </w:tc>
        <w:tc>
          <w:tcPr>
            <w:tcW w:w="1711" w:type="dxa"/>
            <w:vAlign w:val="center"/>
          </w:tcPr>
          <w:p w14:paraId="7423EC5E">
            <w:pPr>
              <w:widowControl/>
              <w:jc w:val="center"/>
              <w:textAlignment w:val="center"/>
              <w:rPr>
                <w:rFonts w:ascii="Arial Narrow" w:hAnsi="Arial Narrow"/>
                <w:szCs w:val="21"/>
              </w:rPr>
            </w:pPr>
            <w:r>
              <w:rPr>
                <w:rFonts w:hint="eastAsia" w:ascii="Arial Narrow" w:hAnsi="Arial Narrow" w:cs="Arial Narrow"/>
                <w:color w:val="000000"/>
                <w:kern w:val="0"/>
                <w:szCs w:val="21"/>
                <w:lang w:bidi="ar"/>
              </w:rPr>
              <w:t>88.66</w:t>
            </w:r>
            <w:r>
              <w:rPr>
                <w:rFonts w:ascii="Arial Narrow" w:hAnsi="Arial Narrow" w:eastAsia="Arial Narrow" w:cs="Arial Narrow"/>
                <w:color w:val="000000"/>
                <w:kern w:val="0"/>
                <w:szCs w:val="21"/>
                <w:lang w:bidi="ar"/>
              </w:rPr>
              <w:t>%</w:t>
            </w:r>
          </w:p>
        </w:tc>
        <w:tc>
          <w:tcPr>
            <w:tcW w:w="1522" w:type="dxa"/>
            <w:vAlign w:val="center"/>
          </w:tcPr>
          <w:p w14:paraId="7374CE5C">
            <w:pPr>
              <w:jc w:val="left"/>
              <w:rPr>
                <w:rFonts w:ascii="Arial Narrow" w:hAnsi="Arial Narrow"/>
                <w:szCs w:val="21"/>
              </w:rPr>
            </w:pPr>
          </w:p>
        </w:tc>
      </w:tr>
    </w:tbl>
    <w:p w14:paraId="04213ADE">
      <w:pPr>
        <w:spacing w:before="120" w:beforeLines="50" w:line="360" w:lineRule="auto"/>
        <w:jc w:val="center"/>
        <w:rPr>
          <w:rFonts w:ascii="Arial Narrow" w:hAnsi="Arial Narrow" w:eastAsia="仿宋_GB2312"/>
          <w:b/>
          <w:bCs/>
          <w:sz w:val="28"/>
          <w:szCs w:val="28"/>
        </w:rPr>
      </w:pPr>
      <w:r>
        <w:rPr>
          <w:rFonts w:ascii="Arial Narrow" w:hAnsi="Arial Narrow" w:eastAsia="仿宋_GB2312"/>
          <w:b/>
          <w:bCs/>
          <w:sz w:val="28"/>
          <w:szCs w:val="28"/>
        </w:rPr>
        <w:t>绩效评价</w:t>
      </w:r>
      <w:r>
        <w:rPr>
          <w:rFonts w:hint="eastAsia" w:ascii="Arial Narrow" w:hAnsi="Arial Narrow" w:eastAsia="仿宋_GB2312"/>
          <w:b/>
          <w:bCs/>
          <w:sz w:val="28"/>
          <w:szCs w:val="28"/>
        </w:rPr>
        <w:t>结果</w:t>
      </w:r>
      <w:r>
        <w:rPr>
          <w:rFonts w:ascii="Arial Narrow" w:hAnsi="Arial Narrow" w:eastAsia="仿宋_GB2312"/>
          <w:b/>
          <w:bCs/>
          <w:sz w:val="28"/>
          <w:szCs w:val="28"/>
        </w:rPr>
        <w:t>明细表</w:t>
      </w:r>
    </w:p>
    <w:tbl>
      <w:tblPr>
        <w:tblStyle w:val="8"/>
        <w:tblW w:w="9004" w:type="dxa"/>
        <w:jc w:val="center"/>
        <w:tblLayout w:type="fixed"/>
        <w:tblCellMar>
          <w:top w:w="0" w:type="dxa"/>
          <w:left w:w="108" w:type="dxa"/>
          <w:bottom w:w="0" w:type="dxa"/>
          <w:right w:w="108" w:type="dxa"/>
        </w:tblCellMar>
      </w:tblPr>
      <w:tblGrid>
        <w:gridCol w:w="1675"/>
        <w:gridCol w:w="2257"/>
        <w:gridCol w:w="2924"/>
        <w:gridCol w:w="1090"/>
        <w:gridCol w:w="1058"/>
      </w:tblGrid>
      <w:tr w14:paraId="5575407B">
        <w:tblPrEx>
          <w:tblCellMar>
            <w:top w:w="0" w:type="dxa"/>
            <w:left w:w="108" w:type="dxa"/>
            <w:bottom w:w="0" w:type="dxa"/>
            <w:right w:w="108" w:type="dxa"/>
          </w:tblCellMar>
        </w:tblPrEx>
        <w:trPr>
          <w:trHeight w:val="397" w:hRule="atLeast"/>
          <w:tblHeader/>
          <w:jc w:val="center"/>
        </w:trPr>
        <w:tc>
          <w:tcPr>
            <w:tcW w:w="6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B2FAE2">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 xml:space="preserve"> 绩效指标</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3EBE4">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 xml:space="preserve"> 指标分值</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B3A4D">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 xml:space="preserve">  得分</w:t>
            </w:r>
          </w:p>
        </w:tc>
      </w:tr>
      <w:tr w14:paraId="3B03EBD9">
        <w:tblPrEx>
          <w:tblCellMar>
            <w:top w:w="0" w:type="dxa"/>
            <w:left w:w="108" w:type="dxa"/>
            <w:bottom w:w="0" w:type="dxa"/>
            <w:right w:w="108" w:type="dxa"/>
          </w:tblCellMar>
        </w:tblPrEx>
        <w:trPr>
          <w:trHeight w:val="397" w:hRule="atLeast"/>
          <w:tblHeader/>
          <w:jc w:val="center"/>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1C51">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一级指标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6716">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二级指标</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57C8">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三级指标</w:t>
            </w: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86C14">
            <w:pPr>
              <w:widowControl/>
              <w:jc w:val="center"/>
              <w:textAlignment w:val="center"/>
              <w:rPr>
                <w:rFonts w:ascii="Arial Narrow" w:hAnsi="Arial Narrow" w:eastAsia="仿宋_GB2312" w:cs="宋体"/>
                <w:kern w:val="0"/>
                <w:szCs w:val="21"/>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F81E5">
            <w:pPr>
              <w:widowControl/>
              <w:jc w:val="center"/>
              <w:textAlignment w:val="center"/>
              <w:rPr>
                <w:rFonts w:ascii="Arial Narrow" w:hAnsi="Arial Narrow" w:eastAsia="仿宋_GB2312" w:cs="宋体"/>
                <w:kern w:val="0"/>
                <w:szCs w:val="21"/>
              </w:rPr>
            </w:pPr>
          </w:p>
        </w:tc>
      </w:tr>
      <w:tr w14:paraId="5BB65311">
        <w:tblPrEx>
          <w:tblCellMar>
            <w:top w:w="0" w:type="dxa"/>
            <w:left w:w="108" w:type="dxa"/>
            <w:bottom w:w="0" w:type="dxa"/>
            <w:right w:w="108" w:type="dxa"/>
          </w:tblCellMar>
        </w:tblPrEx>
        <w:trPr>
          <w:trHeight w:val="397" w:hRule="atLeast"/>
          <w:jc w:val="center"/>
        </w:trPr>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75348">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投入（20分）</w:t>
            </w:r>
          </w:p>
        </w:tc>
        <w:tc>
          <w:tcPr>
            <w:tcW w:w="2257" w:type="dxa"/>
            <w:tcBorders>
              <w:top w:val="single" w:color="000000" w:sz="4" w:space="0"/>
              <w:left w:val="single" w:color="000000" w:sz="4" w:space="0"/>
              <w:bottom w:val="nil"/>
              <w:right w:val="single" w:color="000000" w:sz="4" w:space="0"/>
            </w:tcBorders>
            <w:shd w:val="clear" w:color="auto" w:fill="auto"/>
            <w:vAlign w:val="center"/>
          </w:tcPr>
          <w:p w14:paraId="33076744">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项目立项（2分）</w:t>
            </w:r>
          </w:p>
        </w:tc>
        <w:tc>
          <w:tcPr>
            <w:tcW w:w="2924" w:type="dxa"/>
            <w:tcBorders>
              <w:top w:val="single" w:color="000000" w:sz="4" w:space="0"/>
              <w:left w:val="single" w:color="000000" w:sz="4" w:space="0"/>
              <w:bottom w:val="nil"/>
              <w:right w:val="single" w:color="000000" w:sz="4" w:space="0"/>
            </w:tcBorders>
            <w:shd w:val="clear" w:color="auto" w:fill="auto"/>
            <w:vAlign w:val="center"/>
          </w:tcPr>
          <w:p w14:paraId="0EC40E64">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项目立项规范性</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B092">
            <w:pPr>
              <w:widowControl/>
              <w:jc w:val="center"/>
              <w:textAlignment w:val="center"/>
              <w:rPr>
                <w:rFonts w:ascii="Arial Narrow" w:hAnsi="Arial Narrow"/>
                <w:szCs w:val="21"/>
              </w:rPr>
            </w:pPr>
            <w:r>
              <w:rPr>
                <w:rFonts w:hint="eastAsia" w:ascii="Arial Narrow" w:hAnsi="Arial Narrow"/>
                <w:szCs w:val="21"/>
              </w:rPr>
              <w:t>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3C1E">
            <w:pPr>
              <w:widowControl/>
              <w:jc w:val="center"/>
              <w:textAlignment w:val="center"/>
              <w:rPr>
                <w:rFonts w:ascii="Arial Narrow" w:hAnsi="Arial Narrow"/>
                <w:szCs w:val="21"/>
              </w:rPr>
            </w:pPr>
            <w:r>
              <w:rPr>
                <w:rFonts w:hint="eastAsia" w:ascii="Arial Narrow" w:hAnsi="Arial Narrow"/>
                <w:szCs w:val="21"/>
              </w:rPr>
              <w:t>2</w:t>
            </w:r>
          </w:p>
        </w:tc>
      </w:tr>
      <w:tr w14:paraId="0D64999E">
        <w:tblPrEx>
          <w:tblCellMar>
            <w:top w:w="0" w:type="dxa"/>
            <w:left w:w="108" w:type="dxa"/>
            <w:bottom w:w="0" w:type="dxa"/>
            <w:right w:w="108" w:type="dxa"/>
          </w:tblCellMar>
        </w:tblPrEx>
        <w:trPr>
          <w:trHeight w:val="397" w:hRule="atLeast"/>
          <w:jc w:val="center"/>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DF764">
            <w:pPr>
              <w:widowControl/>
              <w:jc w:val="center"/>
              <w:textAlignment w:val="center"/>
              <w:rPr>
                <w:rFonts w:ascii="Arial Narrow" w:hAnsi="Arial Narrow" w:eastAsia="仿宋_GB2312" w:cs="宋体"/>
                <w:kern w:val="0"/>
                <w:szCs w:val="21"/>
              </w:rPr>
            </w:pP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74138">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决策依据（6分）</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3A23">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国家政策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731D">
            <w:pPr>
              <w:widowControl/>
              <w:jc w:val="center"/>
              <w:textAlignment w:val="center"/>
              <w:rPr>
                <w:rFonts w:ascii="Arial Narrow" w:hAnsi="Arial Narrow"/>
                <w:szCs w:val="21"/>
              </w:rPr>
            </w:pPr>
            <w:r>
              <w:rPr>
                <w:rFonts w:hint="eastAsia" w:ascii="Arial Narrow" w:hAnsi="Arial Narrow"/>
                <w:szCs w:val="21"/>
              </w:rPr>
              <w:t>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E824">
            <w:pPr>
              <w:widowControl/>
              <w:jc w:val="center"/>
              <w:textAlignment w:val="center"/>
              <w:rPr>
                <w:rFonts w:ascii="Arial Narrow" w:hAnsi="Arial Narrow"/>
                <w:szCs w:val="21"/>
              </w:rPr>
            </w:pPr>
            <w:r>
              <w:rPr>
                <w:rFonts w:hint="eastAsia" w:ascii="Arial Narrow" w:hAnsi="Arial Narrow"/>
                <w:szCs w:val="21"/>
              </w:rPr>
              <w:t>2</w:t>
            </w:r>
          </w:p>
        </w:tc>
      </w:tr>
      <w:tr w14:paraId="4C2D4048">
        <w:tblPrEx>
          <w:tblCellMar>
            <w:top w:w="0" w:type="dxa"/>
            <w:left w:w="108" w:type="dxa"/>
            <w:bottom w:w="0" w:type="dxa"/>
            <w:right w:w="108" w:type="dxa"/>
          </w:tblCellMar>
        </w:tblPrEx>
        <w:trPr>
          <w:trHeight w:val="397" w:hRule="atLeast"/>
          <w:jc w:val="center"/>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42A05">
            <w:pPr>
              <w:widowControl/>
              <w:jc w:val="center"/>
              <w:textAlignment w:val="center"/>
              <w:rPr>
                <w:rFonts w:ascii="Arial Narrow" w:hAnsi="Arial Narrow" w:eastAsia="仿宋_GB2312" w:cs="宋体"/>
                <w:kern w:val="0"/>
                <w:szCs w:val="21"/>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3E7CB">
            <w:pPr>
              <w:widowControl/>
              <w:jc w:val="center"/>
              <w:textAlignment w:val="center"/>
              <w:rPr>
                <w:rFonts w:ascii="Arial Narrow" w:hAnsi="Arial Narrow" w:eastAsia="仿宋_GB2312" w:cs="宋体"/>
                <w:kern w:val="0"/>
                <w:szCs w:val="21"/>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C0C5">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市场发展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240F">
            <w:pPr>
              <w:widowControl/>
              <w:jc w:val="center"/>
              <w:textAlignment w:val="center"/>
              <w:rPr>
                <w:rFonts w:ascii="Arial Narrow" w:hAnsi="Arial Narrow"/>
                <w:szCs w:val="21"/>
              </w:rPr>
            </w:pPr>
            <w:r>
              <w:rPr>
                <w:rFonts w:hint="eastAsia" w:ascii="Arial Narrow" w:hAnsi="Arial Narrow"/>
                <w:szCs w:val="21"/>
              </w:rPr>
              <w:t>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F75E">
            <w:pPr>
              <w:widowControl/>
              <w:jc w:val="center"/>
              <w:textAlignment w:val="center"/>
              <w:rPr>
                <w:rFonts w:ascii="Arial Narrow" w:hAnsi="Arial Narrow"/>
                <w:szCs w:val="21"/>
              </w:rPr>
            </w:pPr>
            <w:r>
              <w:rPr>
                <w:rFonts w:hint="eastAsia" w:ascii="Arial Narrow" w:hAnsi="Arial Narrow"/>
                <w:szCs w:val="21"/>
              </w:rPr>
              <w:t>2</w:t>
            </w:r>
          </w:p>
        </w:tc>
      </w:tr>
      <w:tr w14:paraId="6735F1E1">
        <w:tblPrEx>
          <w:tblCellMar>
            <w:top w:w="0" w:type="dxa"/>
            <w:left w:w="108" w:type="dxa"/>
            <w:bottom w:w="0" w:type="dxa"/>
            <w:right w:w="108" w:type="dxa"/>
          </w:tblCellMar>
        </w:tblPrEx>
        <w:trPr>
          <w:trHeight w:val="397" w:hRule="atLeast"/>
          <w:jc w:val="center"/>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D99DB">
            <w:pPr>
              <w:widowControl/>
              <w:jc w:val="center"/>
              <w:textAlignment w:val="center"/>
              <w:rPr>
                <w:rFonts w:ascii="Arial Narrow" w:hAnsi="Arial Narrow" w:eastAsia="仿宋_GB2312" w:cs="宋体"/>
                <w:kern w:val="0"/>
                <w:szCs w:val="21"/>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B8569">
            <w:pPr>
              <w:widowControl/>
              <w:jc w:val="center"/>
              <w:textAlignment w:val="center"/>
              <w:rPr>
                <w:rFonts w:ascii="Arial Narrow" w:hAnsi="Arial Narrow" w:eastAsia="仿宋_GB2312" w:cs="宋体"/>
                <w:kern w:val="0"/>
                <w:szCs w:val="21"/>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B285">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指标明确性</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CC09">
            <w:pPr>
              <w:widowControl/>
              <w:jc w:val="center"/>
              <w:textAlignment w:val="center"/>
              <w:rPr>
                <w:rFonts w:ascii="Arial Narrow" w:hAnsi="Arial Narrow"/>
                <w:szCs w:val="21"/>
              </w:rPr>
            </w:pPr>
            <w:r>
              <w:rPr>
                <w:rFonts w:hint="eastAsia" w:ascii="Arial Narrow" w:hAnsi="Arial Narrow"/>
                <w:szCs w:val="21"/>
              </w:rPr>
              <w:t>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7390">
            <w:pPr>
              <w:widowControl/>
              <w:jc w:val="center"/>
              <w:textAlignment w:val="center"/>
              <w:rPr>
                <w:rFonts w:ascii="Arial Narrow" w:hAnsi="Arial Narrow"/>
                <w:szCs w:val="21"/>
              </w:rPr>
            </w:pPr>
            <w:r>
              <w:rPr>
                <w:rFonts w:hint="eastAsia" w:ascii="Arial Narrow" w:hAnsi="Arial Narrow"/>
                <w:szCs w:val="21"/>
              </w:rPr>
              <w:t>2</w:t>
            </w:r>
          </w:p>
        </w:tc>
      </w:tr>
      <w:tr w14:paraId="1F978335">
        <w:tblPrEx>
          <w:tblCellMar>
            <w:top w:w="0" w:type="dxa"/>
            <w:left w:w="108" w:type="dxa"/>
            <w:bottom w:w="0" w:type="dxa"/>
            <w:right w:w="108" w:type="dxa"/>
          </w:tblCellMar>
        </w:tblPrEx>
        <w:trPr>
          <w:trHeight w:val="397" w:hRule="atLeast"/>
          <w:jc w:val="center"/>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C7EE3">
            <w:pPr>
              <w:widowControl/>
              <w:jc w:val="center"/>
              <w:textAlignment w:val="center"/>
              <w:rPr>
                <w:rFonts w:ascii="Arial Narrow" w:hAnsi="Arial Narrow" w:eastAsia="仿宋_GB2312" w:cs="宋体"/>
                <w:kern w:val="0"/>
                <w:szCs w:val="21"/>
              </w:rPr>
            </w:pPr>
          </w:p>
        </w:tc>
        <w:tc>
          <w:tcPr>
            <w:tcW w:w="2257" w:type="dxa"/>
            <w:tcBorders>
              <w:top w:val="single" w:color="000000" w:sz="4" w:space="0"/>
              <w:left w:val="single" w:color="000000" w:sz="4" w:space="0"/>
              <w:bottom w:val="nil"/>
              <w:right w:val="single" w:color="000000" w:sz="4" w:space="0"/>
            </w:tcBorders>
            <w:shd w:val="clear" w:color="auto" w:fill="auto"/>
            <w:vAlign w:val="center"/>
          </w:tcPr>
          <w:p w14:paraId="41FBA158">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决策程序（6分）</w:t>
            </w:r>
          </w:p>
        </w:tc>
        <w:tc>
          <w:tcPr>
            <w:tcW w:w="2924" w:type="dxa"/>
            <w:tcBorders>
              <w:top w:val="single" w:color="000000" w:sz="4" w:space="0"/>
              <w:left w:val="single" w:color="000000" w:sz="4" w:space="0"/>
              <w:bottom w:val="nil"/>
              <w:right w:val="single" w:color="000000" w:sz="4" w:space="0"/>
            </w:tcBorders>
            <w:shd w:val="clear" w:color="auto" w:fill="FFFFFF"/>
            <w:vAlign w:val="center"/>
          </w:tcPr>
          <w:p w14:paraId="10B97E17">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决策程序合规性</w:t>
            </w:r>
          </w:p>
        </w:tc>
        <w:tc>
          <w:tcPr>
            <w:tcW w:w="1090" w:type="dxa"/>
            <w:tcBorders>
              <w:top w:val="single" w:color="000000" w:sz="4" w:space="0"/>
              <w:left w:val="single" w:color="000000" w:sz="4" w:space="0"/>
              <w:bottom w:val="nil"/>
              <w:right w:val="single" w:color="000000" w:sz="4" w:space="0"/>
            </w:tcBorders>
            <w:shd w:val="clear" w:color="auto" w:fill="FFFFFF"/>
            <w:vAlign w:val="center"/>
          </w:tcPr>
          <w:p w14:paraId="7C0F878D">
            <w:pPr>
              <w:widowControl/>
              <w:jc w:val="center"/>
              <w:textAlignment w:val="center"/>
              <w:rPr>
                <w:rFonts w:ascii="Arial Narrow" w:hAnsi="Arial Narrow"/>
                <w:szCs w:val="21"/>
              </w:rPr>
            </w:pPr>
            <w:r>
              <w:rPr>
                <w:rFonts w:hint="eastAsia" w:ascii="Arial Narrow" w:hAnsi="Arial Narrow"/>
                <w:szCs w:val="21"/>
              </w:rPr>
              <w:t>6</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EE6FD">
            <w:pPr>
              <w:widowControl/>
              <w:jc w:val="center"/>
              <w:textAlignment w:val="center"/>
              <w:rPr>
                <w:rFonts w:ascii="Arial Narrow" w:hAnsi="Arial Narrow"/>
                <w:szCs w:val="21"/>
              </w:rPr>
            </w:pPr>
            <w:r>
              <w:rPr>
                <w:rFonts w:hint="eastAsia" w:ascii="Arial Narrow" w:hAnsi="Arial Narrow"/>
                <w:szCs w:val="21"/>
              </w:rPr>
              <w:t>6</w:t>
            </w:r>
          </w:p>
        </w:tc>
      </w:tr>
      <w:tr w14:paraId="24436606">
        <w:tblPrEx>
          <w:tblCellMar>
            <w:top w:w="0" w:type="dxa"/>
            <w:left w:w="108" w:type="dxa"/>
            <w:bottom w:w="0" w:type="dxa"/>
            <w:right w:w="108" w:type="dxa"/>
          </w:tblCellMar>
        </w:tblPrEx>
        <w:trPr>
          <w:trHeight w:val="397" w:hRule="atLeast"/>
          <w:jc w:val="center"/>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442EC">
            <w:pPr>
              <w:widowControl/>
              <w:jc w:val="center"/>
              <w:textAlignment w:val="center"/>
              <w:rPr>
                <w:rFonts w:ascii="Arial Narrow" w:hAnsi="Arial Narrow" w:eastAsia="仿宋_GB2312" w:cs="宋体"/>
                <w:kern w:val="0"/>
                <w:szCs w:val="21"/>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6DF5">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决策内容（2分）</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BDB7">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建设范围、地点、规模、总体投资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7F2B">
            <w:pPr>
              <w:widowControl/>
              <w:jc w:val="center"/>
              <w:textAlignment w:val="center"/>
              <w:rPr>
                <w:rFonts w:ascii="Arial Narrow" w:hAnsi="Arial Narrow"/>
                <w:szCs w:val="21"/>
              </w:rPr>
            </w:pPr>
            <w:r>
              <w:rPr>
                <w:rFonts w:hint="eastAsia" w:ascii="Arial Narrow" w:hAnsi="Arial Narrow"/>
                <w:szCs w:val="21"/>
              </w:rPr>
              <w:t>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FF5F">
            <w:pPr>
              <w:widowControl/>
              <w:jc w:val="center"/>
              <w:textAlignment w:val="center"/>
              <w:rPr>
                <w:rFonts w:ascii="Arial Narrow" w:hAnsi="Arial Narrow"/>
                <w:szCs w:val="21"/>
              </w:rPr>
            </w:pPr>
            <w:r>
              <w:rPr>
                <w:rFonts w:hint="eastAsia" w:ascii="Arial Narrow" w:hAnsi="Arial Narrow"/>
                <w:szCs w:val="21"/>
              </w:rPr>
              <w:t>2</w:t>
            </w:r>
          </w:p>
        </w:tc>
      </w:tr>
      <w:tr w14:paraId="68157BC7">
        <w:tblPrEx>
          <w:tblCellMar>
            <w:top w:w="0" w:type="dxa"/>
            <w:left w:w="108" w:type="dxa"/>
            <w:bottom w:w="0" w:type="dxa"/>
            <w:right w:w="108" w:type="dxa"/>
          </w:tblCellMar>
        </w:tblPrEx>
        <w:trPr>
          <w:trHeight w:val="397" w:hRule="atLeast"/>
          <w:jc w:val="center"/>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0C6CC">
            <w:pPr>
              <w:widowControl/>
              <w:jc w:val="center"/>
              <w:textAlignment w:val="center"/>
              <w:rPr>
                <w:rFonts w:ascii="Arial Narrow" w:hAnsi="Arial Narrow" w:eastAsia="仿宋_GB2312" w:cs="宋体"/>
                <w:kern w:val="0"/>
                <w:szCs w:val="21"/>
              </w:rPr>
            </w:pPr>
          </w:p>
        </w:tc>
        <w:tc>
          <w:tcPr>
            <w:tcW w:w="2257" w:type="dxa"/>
            <w:vMerge w:val="restart"/>
            <w:tcBorders>
              <w:top w:val="nil"/>
              <w:left w:val="single" w:color="000000" w:sz="4" w:space="0"/>
              <w:bottom w:val="single" w:color="000000" w:sz="4" w:space="0"/>
              <w:right w:val="single" w:color="000000" w:sz="4" w:space="0"/>
            </w:tcBorders>
            <w:shd w:val="clear" w:color="auto" w:fill="FFFFFF"/>
            <w:vAlign w:val="center"/>
          </w:tcPr>
          <w:p w14:paraId="06EA0F93">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资金保障（4分）</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B9DE">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资金到位率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15E3">
            <w:pPr>
              <w:widowControl/>
              <w:jc w:val="center"/>
              <w:textAlignment w:val="center"/>
              <w:rPr>
                <w:rFonts w:ascii="Arial Narrow" w:hAnsi="Arial Narrow"/>
                <w:szCs w:val="21"/>
              </w:rPr>
            </w:pPr>
            <w:r>
              <w:rPr>
                <w:rFonts w:hint="eastAsia" w:ascii="Arial Narrow" w:hAnsi="Arial Narrow"/>
                <w:szCs w:val="21"/>
              </w:rPr>
              <w:t>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0499">
            <w:pPr>
              <w:widowControl/>
              <w:jc w:val="center"/>
              <w:textAlignment w:val="center"/>
              <w:rPr>
                <w:rFonts w:ascii="Arial Narrow" w:hAnsi="Arial Narrow"/>
                <w:szCs w:val="21"/>
              </w:rPr>
            </w:pPr>
            <w:r>
              <w:rPr>
                <w:rFonts w:hint="eastAsia" w:ascii="Arial Narrow" w:hAnsi="Arial Narrow"/>
                <w:szCs w:val="21"/>
              </w:rPr>
              <w:t>2</w:t>
            </w:r>
          </w:p>
        </w:tc>
      </w:tr>
      <w:tr w14:paraId="6257CB0E">
        <w:tblPrEx>
          <w:tblCellMar>
            <w:top w:w="0" w:type="dxa"/>
            <w:left w:w="108" w:type="dxa"/>
            <w:bottom w:w="0" w:type="dxa"/>
            <w:right w:w="108" w:type="dxa"/>
          </w:tblCellMar>
        </w:tblPrEx>
        <w:trPr>
          <w:trHeight w:val="397" w:hRule="atLeast"/>
          <w:jc w:val="center"/>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4A84C">
            <w:pPr>
              <w:widowControl/>
              <w:jc w:val="center"/>
              <w:textAlignment w:val="center"/>
              <w:rPr>
                <w:rFonts w:ascii="Arial Narrow" w:hAnsi="Arial Narrow" w:eastAsia="仿宋_GB2312" w:cs="宋体"/>
                <w:kern w:val="0"/>
                <w:szCs w:val="21"/>
              </w:rPr>
            </w:pPr>
          </w:p>
        </w:tc>
        <w:tc>
          <w:tcPr>
            <w:tcW w:w="2257" w:type="dxa"/>
            <w:vMerge w:val="continue"/>
            <w:tcBorders>
              <w:top w:val="nil"/>
              <w:left w:val="single" w:color="000000" w:sz="4" w:space="0"/>
              <w:bottom w:val="single" w:color="000000" w:sz="4" w:space="0"/>
              <w:right w:val="single" w:color="000000" w:sz="4" w:space="0"/>
            </w:tcBorders>
            <w:shd w:val="clear" w:color="auto" w:fill="FFFFFF"/>
            <w:vAlign w:val="center"/>
          </w:tcPr>
          <w:p w14:paraId="07CDC040">
            <w:pPr>
              <w:widowControl/>
              <w:jc w:val="center"/>
              <w:textAlignment w:val="center"/>
              <w:rPr>
                <w:rFonts w:ascii="Arial Narrow" w:hAnsi="Arial Narrow" w:eastAsia="仿宋_GB2312" w:cs="宋体"/>
                <w:kern w:val="0"/>
                <w:szCs w:val="21"/>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F565">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到位及时率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86F6">
            <w:pPr>
              <w:widowControl/>
              <w:jc w:val="center"/>
              <w:textAlignment w:val="center"/>
              <w:rPr>
                <w:rFonts w:ascii="Arial Narrow" w:hAnsi="Arial Narrow"/>
                <w:szCs w:val="21"/>
              </w:rPr>
            </w:pPr>
            <w:r>
              <w:rPr>
                <w:rFonts w:hint="eastAsia" w:ascii="Arial Narrow" w:hAnsi="Arial Narrow"/>
                <w:szCs w:val="21"/>
              </w:rPr>
              <w:t>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38BF">
            <w:pPr>
              <w:widowControl/>
              <w:jc w:val="center"/>
              <w:textAlignment w:val="center"/>
              <w:rPr>
                <w:rFonts w:ascii="Arial Narrow" w:hAnsi="Arial Narrow"/>
                <w:szCs w:val="21"/>
              </w:rPr>
            </w:pPr>
            <w:r>
              <w:rPr>
                <w:rFonts w:hint="eastAsia" w:ascii="Arial Narrow" w:hAnsi="Arial Narrow"/>
                <w:szCs w:val="21"/>
              </w:rPr>
              <w:t>2</w:t>
            </w:r>
          </w:p>
        </w:tc>
      </w:tr>
      <w:tr w14:paraId="747F9056">
        <w:tblPrEx>
          <w:tblCellMar>
            <w:top w:w="0" w:type="dxa"/>
            <w:left w:w="108" w:type="dxa"/>
            <w:bottom w:w="0" w:type="dxa"/>
            <w:right w:w="108" w:type="dxa"/>
          </w:tblCellMar>
        </w:tblPrEx>
        <w:trPr>
          <w:trHeight w:val="397" w:hRule="atLeast"/>
          <w:jc w:val="center"/>
        </w:trPr>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5FEB8">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管理（55分）</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811F">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项目管理（5分）</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2B17">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项目管理制度健全性</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4C58">
            <w:pPr>
              <w:widowControl/>
              <w:jc w:val="center"/>
              <w:textAlignment w:val="center"/>
              <w:rPr>
                <w:rFonts w:ascii="Arial Narrow" w:hAnsi="Arial Narrow"/>
                <w:szCs w:val="21"/>
              </w:rPr>
            </w:pPr>
            <w:r>
              <w:rPr>
                <w:rFonts w:hint="eastAsia" w:ascii="Arial Narrow" w:hAnsi="Arial Narrow"/>
                <w:szCs w:val="21"/>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1DAA">
            <w:pPr>
              <w:widowControl/>
              <w:jc w:val="center"/>
              <w:textAlignment w:val="center"/>
              <w:rPr>
                <w:rFonts w:ascii="Arial Narrow" w:hAnsi="Arial Narrow"/>
                <w:szCs w:val="21"/>
              </w:rPr>
            </w:pPr>
            <w:r>
              <w:rPr>
                <w:rFonts w:hint="eastAsia" w:ascii="Arial Narrow" w:hAnsi="Arial Narrow"/>
                <w:szCs w:val="21"/>
              </w:rPr>
              <w:t>5</w:t>
            </w:r>
          </w:p>
        </w:tc>
      </w:tr>
      <w:tr w14:paraId="153D9CD9">
        <w:tblPrEx>
          <w:tblCellMar>
            <w:top w:w="0" w:type="dxa"/>
            <w:left w:w="108" w:type="dxa"/>
            <w:bottom w:w="0" w:type="dxa"/>
            <w:right w:w="108" w:type="dxa"/>
          </w:tblCellMar>
        </w:tblPrEx>
        <w:trPr>
          <w:trHeight w:val="397" w:hRule="atLeast"/>
          <w:jc w:val="center"/>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03421">
            <w:pPr>
              <w:widowControl/>
              <w:jc w:val="center"/>
              <w:textAlignment w:val="center"/>
              <w:rPr>
                <w:rFonts w:ascii="Arial Narrow" w:hAnsi="Arial Narrow" w:eastAsia="仿宋_GB2312" w:cs="宋体"/>
                <w:kern w:val="0"/>
                <w:szCs w:val="21"/>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A562">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项目方案（3分）</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4A20">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初设方案</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37A4">
            <w:pPr>
              <w:widowControl/>
              <w:jc w:val="center"/>
              <w:textAlignment w:val="center"/>
              <w:rPr>
                <w:rFonts w:ascii="Arial Narrow" w:hAnsi="Arial Narrow"/>
                <w:szCs w:val="21"/>
              </w:rPr>
            </w:pPr>
            <w:r>
              <w:rPr>
                <w:rFonts w:hint="eastAsia" w:ascii="Arial Narrow" w:hAnsi="Arial Narrow"/>
                <w:szCs w:val="21"/>
              </w:rPr>
              <w:t>3</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89D8">
            <w:pPr>
              <w:widowControl/>
              <w:jc w:val="center"/>
              <w:textAlignment w:val="center"/>
              <w:rPr>
                <w:rFonts w:ascii="Arial Narrow" w:hAnsi="Arial Narrow"/>
                <w:szCs w:val="21"/>
              </w:rPr>
            </w:pPr>
            <w:r>
              <w:rPr>
                <w:rFonts w:hint="eastAsia" w:ascii="Arial Narrow" w:hAnsi="Arial Narrow"/>
                <w:szCs w:val="21"/>
              </w:rPr>
              <w:t>3</w:t>
            </w:r>
          </w:p>
        </w:tc>
      </w:tr>
      <w:tr w14:paraId="3579086A">
        <w:tblPrEx>
          <w:tblCellMar>
            <w:top w:w="0" w:type="dxa"/>
            <w:left w:w="108" w:type="dxa"/>
            <w:bottom w:w="0" w:type="dxa"/>
            <w:right w:w="108" w:type="dxa"/>
          </w:tblCellMar>
        </w:tblPrEx>
        <w:trPr>
          <w:trHeight w:val="397" w:hRule="atLeast"/>
          <w:jc w:val="center"/>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2804E">
            <w:pPr>
              <w:widowControl/>
              <w:jc w:val="center"/>
              <w:textAlignment w:val="center"/>
              <w:rPr>
                <w:rFonts w:ascii="Arial Narrow" w:hAnsi="Arial Narrow" w:eastAsia="仿宋_GB2312" w:cs="宋体"/>
                <w:kern w:val="0"/>
                <w:szCs w:val="21"/>
              </w:rPr>
            </w:pP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5D40A">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项目招投标（12）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E874">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建筑工程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E4D5">
            <w:pPr>
              <w:widowControl/>
              <w:jc w:val="center"/>
              <w:textAlignment w:val="center"/>
              <w:rPr>
                <w:rFonts w:ascii="Arial Narrow" w:hAnsi="Arial Narrow"/>
                <w:szCs w:val="21"/>
              </w:rPr>
            </w:pPr>
            <w:r>
              <w:rPr>
                <w:rFonts w:hint="eastAsia" w:ascii="Arial Narrow" w:hAnsi="Arial Narrow"/>
                <w:szCs w:val="21"/>
              </w:rPr>
              <w:t>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594D">
            <w:pPr>
              <w:widowControl/>
              <w:jc w:val="center"/>
              <w:textAlignment w:val="center"/>
              <w:rPr>
                <w:rFonts w:ascii="Arial Narrow" w:hAnsi="Arial Narrow"/>
                <w:szCs w:val="21"/>
              </w:rPr>
            </w:pPr>
            <w:r>
              <w:rPr>
                <w:rFonts w:hint="eastAsia" w:ascii="Arial Narrow" w:hAnsi="Arial Narrow"/>
                <w:szCs w:val="21"/>
              </w:rPr>
              <w:t>2</w:t>
            </w:r>
          </w:p>
        </w:tc>
      </w:tr>
      <w:tr w14:paraId="40400827">
        <w:tblPrEx>
          <w:tblCellMar>
            <w:top w:w="0" w:type="dxa"/>
            <w:left w:w="108" w:type="dxa"/>
            <w:bottom w:w="0" w:type="dxa"/>
            <w:right w:w="108" w:type="dxa"/>
          </w:tblCellMar>
        </w:tblPrEx>
        <w:trPr>
          <w:trHeight w:val="397" w:hRule="atLeast"/>
          <w:jc w:val="center"/>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DAABD">
            <w:pPr>
              <w:widowControl/>
              <w:jc w:val="center"/>
              <w:textAlignment w:val="center"/>
              <w:rPr>
                <w:rFonts w:ascii="Arial Narrow" w:hAnsi="Arial Narrow" w:eastAsia="仿宋_GB2312" w:cs="宋体"/>
                <w:kern w:val="0"/>
                <w:szCs w:val="21"/>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29ED2">
            <w:pPr>
              <w:widowControl/>
              <w:jc w:val="center"/>
              <w:textAlignment w:val="center"/>
              <w:rPr>
                <w:rFonts w:ascii="Arial Narrow" w:hAnsi="Arial Narrow" w:eastAsia="仿宋_GB2312" w:cs="宋体"/>
                <w:kern w:val="0"/>
                <w:szCs w:val="21"/>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2D77">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设备采购安装</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E814">
            <w:pPr>
              <w:widowControl/>
              <w:jc w:val="center"/>
              <w:textAlignment w:val="center"/>
              <w:rPr>
                <w:rFonts w:ascii="Arial Narrow" w:hAnsi="Arial Narrow"/>
                <w:szCs w:val="21"/>
              </w:rPr>
            </w:pPr>
            <w:r>
              <w:rPr>
                <w:rFonts w:hint="eastAsia" w:ascii="Arial Narrow" w:hAnsi="Arial Narrow"/>
                <w:szCs w:val="21"/>
              </w:rPr>
              <w:t>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5B1B">
            <w:pPr>
              <w:widowControl/>
              <w:jc w:val="center"/>
              <w:textAlignment w:val="center"/>
              <w:rPr>
                <w:rFonts w:ascii="Arial Narrow" w:hAnsi="Arial Narrow"/>
                <w:szCs w:val="21"/>
              </w:rPr>
            </w:pPr>
            <w:r>
              <w:rPr>
                <w:rFonts w:hint="eastAsia" w:ascii="Arial Narrow" w:hAnsi="Arial Narrow"/>
                <w:szCs w:val="21"/>
              </w:rPr>
              <w:t>2</w:t>
            </w:r>
          </w:p>
        </w:tc>
      </w:tr>
      <w:tr w14:paraId="60EFB9C7">
        <w:tblPrEx>
          <w:tblCellMar>
            <w:top w:w="0" w:type="dxa"/>
            <w:left w:w="108" w:type="dxa"/>
            <w:bottom w:w="0" w:type="dxa"/>
            <w:right w:w="108" w:type="dxa"/>
          </w:tblCellMar>
        </w:tblPrEx>
        <w:trPr>
          <w:trHeight w:val="397" w:hRule="atLeast"/>
          <w:jc w:val="center"/>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4634E">
            <w:pPr>
              <w:widowControl/>
              <w:jc w:val="center"/>
              <w:textAlignment w:val="center"/>
              <w:rPr>
                <w:rFonts w:ascii="Arial Narrow" w:hAnsi="Arial Narrow" w:eastAsia="仿宋_GB2312" w:cs="宋体"/>
                <w:kern w:val="0"/>
                <w:szCs w:val="21"/>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99146">
            <w:pPr>
              <w:widowControl/>
              <w:jc w:val="center"/>
              <w:textAlignment w:val="center"/>
              <w:rPr>
                <w:rFonts w:ascii="Arial Narrow" w:hAnsi="Arial Narrow" w:eastAsia="仿宋_GB2312" w:cs="宋体"/>
                <w:kern w:val="0"/>
                <w:szCs w:val="21"/>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97D0">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勘察</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7B50">
            <w:pPr>
              <w:widowControl/>
              <w:jc w:val="center"/>
              <w:textAlignment w:val="center"/>
              <w:rPr>
                <w:rFonts w:ascii="Arial Narrow" w:hAnsi="Arial Narrow"/>
                <w:szCs w:val="21"/>
              </w:rPr>
            </w:pPr>
            <w:r>
              <w:rPr>
                <w:rFonts w:hint="eastAsia" w:ascii="Arial Narrow" w:hAnsi="Arial Narrow"/>
                <w:szCs w:val="21"/>
              </w:rPr>
              <w:t>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2887">
            <w:pPr>
              <w:widowControl/>
              <w:jc w:val="center"/>
              <w:textAlignment w:val="center"/>
              <w:rPr>
                <w:rFonts w:ascii="Arial Narrow" w:hAnsi="Arial Narrow"/>
                <w:szCs w:val="21"/>
              </w:rPr>
            </w:pPr>
            <w:r>
              <w:rPr>
                <w:rFonts w:hint="eastAsia" w:ascii="Arial Narrow" w:hAnsi="Arial Narrow"/>
                <w:szCs w:val="21"/>
              </w:rPr>
              <w:t>2</w:t>
            </w:r>
          </w:p>
        </w:tc>
      </w:tr>
      <w:tr w14:paraId="0E240B9D">
        <w:tblPrEx>
          <w:tblCellMar>
            <w:top w:w="0" w:type="dxa"/>
            <w:left w:w="108" w:type="dxa"/>
            <w:bottom w:w="0" w:type="dxa"/>
            <w:right w:w="108" w:type="dxa"/>
          </w:tblCellMar>
        </w:tblPrEx>
        <w:trPr>
          <w:trHeight w:val="397" w:hRule="atLeast"/>
          <w:jc w:val="center"/>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4FD4C">
            <w:pPr>
              <w:widowControl/>
              <w:jc w:val="center"/>
              <w:textAlignment w:val="center"/>
              <w:rPr>
                <w:rFonts w:ascii="Arial Narrow" w:hAnsi="Arial Narrow" w:eastAsia="仿宋_GB2312" w:cs="宋体"/>
                <w:kern w:val="0"/>
                <w:szCs w:val="21"/>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EB62B">
            <w:pPr>
              <w:widowControl/>
              <w:jc w:val="center"/>
              <w:textAlignment w:val="center"/>
              <w:rPr>
                <w:rFonts w:ascii="Arial Narrow" w:hAnsi="Arial Narrow" w:eastAsia="仿宋_GB2312" w:cs="宋体"/>
                <w:kern w:val="0"/>
                <w:szCs w:val="21"/>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126F">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输水管网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DC81">
            <w:pPr>
              <w:widowControl/>
              <w:jc w:val="center"/>
              <w:textAlignment w:val="center"/>
              <w:rPr>
                <w:rFonts w:ascii="Arial Narrow" w:hAnsi="Arial Narrow"/>
                <w:szCs w:val="21"/>
              </w:rPr>
            </w:pPr>
            <w:r>
              <w:rPr>
                <w:rFonts w:hint="eastAsia" w:ascii="Arial Narrow" w:hAnsi="Arial Narrow"/>
                <w:szCs w:val="21"/>
              </w:rPr>
              <w:t>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ABBA">
            <w:pPr>
              <w:widowControl/>
              <w:jc w:val="center"/>
              <w:textAlignment w:val="center"/>
              <w:rPr>
                <w:rFonts w:ascii="Arial Narrow" w:hAnsi="Arial Narrow"/>
                <w:szCs w:val="21"/>
              </w:rPr>
            </w:pPr>
            <w:r>
              <w:rPr>
                <w:rFonts w:hint="eastAsia" w:ascii="Arial Narrow" w:hAnsi="Arial Narrow"/>
                <w:szCs w:val="21"/>
              </w:rPr>
              <w:t>2</w:t>
            </w:r>
          </w:p>
        </w:tc>
      </w:tr>
      <w:tr w14:paraId="3B4553AF">
        <w:tblPrEx>
          <w:tblCellMar>
            <w:top w:w="0" w:type="dxa"/>
            <w:left w:w="108" w:type="dxa"/>
            <w:bottom w:w="0" w:type="dxa"/>
            <w:right w:w="108" w:type="dxa"/>
          </w:tblCellMar>
        </w:tblPrEx>
        <w:trPr>
          <w:trHeight w:val="397" w:hRule="atLeast"/>
          <w:jc w:val="center"/>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9F349">
            <w:pPr>
              <w:widowControl/>
              <w:jc w:val="center"/>
              <w:textAlignment w:val="center"/>
              <w:rPr>
                <w:rFonts w:ascii="Arial Narrow" w:hAnsi="Arial Narrow" w:eastAsia="仿宋_GB2312" w:cs="宋体"/>
                <w:kern w:val="0"/>
                <w:szCs w:val="21"/>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10382">
            <w:pPr>
              <w:widowControl/>
              <w:jc w:val="center"/>
              <w:textAlignment w:val="center"/>
              <w:rPr>
                <w:rFonts w:ascii="Arial Narrow" w:hAnsi="Arial Narrow" w:eastAsia="仿宋_GB2312" w:cs="宋体"/>
                <w:kern w:val="0"/>
                <w:szCs w:val="21"/>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A607">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设计</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2E4E">
            <w:pPr>
              <w:widowControl/>
              <w:jc w:val="center"/>
              <w:textAlignment w:val="center"/>
              <w:rPr>
                <w:rFonts w:ascii="Arial Narrow" w:hAnsi="Arial Narrow"/>
                <w:szCs w:val="21"/>
              </w:rPr>
            </w:pPr>
            <w:r>
              <w:rPr>
                <w:rFonts w:hint="eastAsia" w:ascii="Arial Narrow" w:hAnsi="Arial Narrow"/>
                <w:szCs w:val="21"/>
              </w:rPr>
              <w:t>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2E12">
            <w:pPr>
              <w:widowControl/>
              <w:jc w:val="center"/>
              <w:textAlignment w:val="center"/>
              <w:rPr>
                <w:rFonts w:ascii="Arial Narrow" w:hAnsi="Arial Narrow"/>
                <w:szCs w:val="21"/>
              </w:rPr>
            </w:pPr>
            <w:r>
              <w:rPr>
                <w:rFonts w:hint="eastAsia" w:ascii="Arial Narrow" w:hAnsi="Arial Narrow"/>
                <w:szCs w:val="21"/>
              </w:rPr>
              <w:t>2</w:t>
            </w:r>
          </w:p>
        </w:tc>
      </w:tr>
      <w:tr w14:paraId="0646E015">
        <w:tblPrEx>
          <w:tblCellMar>
            <w:top w:w="0" w:type="dxa"/>
            <w:left w:w="108" w:type="dxa"/>
            <w:bottom w:w="0" w:type="dxa"/>
            <w:right w:w="108" w:type="dxa"/>
          </w:tblCellMar>
        </w:tblPrEx>
        <w:trPr>
          <w:trHeight w:val="397" w:hRule="atLeast"/>
          <w:jc w:val="center"/>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97285">
            <w:pPr>
              <w:widowControl/>
              <w:jc w:val="center"/>
              <w:textAlignment w:val="center"/>
              <w:rPr>
                <w:rFonts w:ascii="Arial Narrow" w:hAnsi="Arial Narrow" w:eastAsia="仿宋_GB2312" w:cs="宋体"/>
                <w:kern w:val="0"/>
                <w:szCs w:val="21"/>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1A6C5">
            <w:pPr>
              <w:widowControl/>
              <w:jc w:val="center"/>
              <w:textAlignment w:val="center"/>
              <w:rPr>
                <w:rFonts w:ascii="Arial Narrow" w:hAnsi="Arial Narrow" w:eastAsia="仿宋_GB2312" w:cs="宋体"/>
                <w:kern w:val="0"/>
                <w:szCs w:val="21"/>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1A90">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监理</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87BF">
            <w:pPr>
              <w:widowControl/>
              <w:jc w:val="center"/>
              <w:textAlignment w:val="center"/>
              <w:rPr>
                <w:rFonts w:ascii="Arial Narrow" w:hAnsi="Arial Narrow"/>
                <w:szCs w:val="21"/>
              </w:rPr>
            </w:pPr>
            <w:r>
              <w:rPr>
                <w:rFonts w:hint="eastAsia" w:ascii="Arial Narrow" w:hAnsi="Arial Narrow"/>
                <w:szCs w:val="21"/>
              </w:rPr>
              <w:t>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20FB">
            <w:pPr>
              <w:widowControl/>
              <w:jc w:val="center"/>
              <w:textAlignment w:val="center"/>
              <w:rPr>
                <w:rFonts w:ascii="Arial Narrow" w:hAnsi="Arial Narrow"/>
                <w:szCs w:val="21"/>
              </w:rPr>
            </w:pPr>
            <w:r>
              <w:rPr>
                <w:rFonts w:hint="eastAsia" w:ascii="Arial Narrow" w:hAnsi="Arial Narrow"/>
                <w:szCs w:val="21"/>
              </w:rPr>
              <w:t>2</w:t>
            </w:r>
          </w:p>
        </w:tc>
      </w:tr>
      <w:tr w14:paraId="3A6E67A8">
        <w:tblPrEx>
          <w:tblCellMar>
            <w:top w:w="0" w:type="dxa"/>
            <w:left w:w="108" w:type="dxa"/>
            <w:bottom w:w="0" w:type="dxa"/>
            <w:right w:w="108" w:type="dxa"/>
          </w:tblCellMar>
        </w:tblPrEx>
        <w:trPr>
          <w:trHeight w:val="397" w:hRule="atLeast"/>
          <w:jc w:val="center"/>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3B52A">
            <w:pPr>
              <w:widowControl/>
              <w:jc w:val="center"/>
              <w:textAlignment w:val="center"/>
              <w:rPr>
                <w:rFonts w:ascii="Arial Narrow" w:hAnsi="Arial Narrow" w:eastAsia="仿宋_GB2312" w:cs="宋体"/>
                <w:kern w:val="0"/>
                <w:szCs w:val="21"/>
              </w:rPr>
            </w:pP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0E8F6">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合同签订及执行（6分）</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A867">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合同签订</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7AE5">
            <w:pPr>
              <w:widowControl/>
              <w:jc w:val="center"/>
              <w:textAlignment w:val="center"/>
              <w:rPr>
                <w:rFonts w:ascii="Arial Narrow" w:hAnsi="Arial Narrow"/>
                <w:szCs w:val="21"/>
              </w:rPr>
            </w:pPr>
            <w:r>
              <w:rPr>
                <w:rFonts w:hint="eastAsia" w:ascii="Arial Narrow" w:hAnsi="Arial Narrow"/>
                <w:szCs w:val="21"/>
              </w:rPr>
              <w:t>3</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755D">
            <w:pPr>
              <w:widowControl/>
              <w:jc w:val="center"/>
              <w:textAlignment w:val="center"/>
              <w:rPr>
                <w:rFonts w:ascii="Arial Narrow" w:hAnsi="Arial Narrow"/>
                <w:szCs w:val="21"/>
              </w:rPr>
            </w:pPr>
            <w:r>
              <w:rPr>
                <w:rFonts w:hint="eastAsia" w:ascii="Arial Narrow" w:hAnsi="Arial Narrow"/>
                <w:szCs w:val="21"/>
              </w:rPr>
              <w:t>2</w:t>
            </w:r>
          </w:p>
        </w:tc>
      </w:tr>
      <w:tr w14:paraId="3580F660">
        <w:tblPrEx>
          <w:tblCellMar>
            <w:top w:w="0" w:type="dxa"/>
            <w:left w:w="108" w:type="dxa"/>
            <w:bottom w:w="0" w:type="dxa"/>
            <w:right w:w="108" w:type="dxa"/>
          </w:tblCellMar>
        </w:tblPrEx>
        <w:trPr>
          <w:trHeight w:val="397" w:hRule="atLeast"/>
          <w:jc w:val="center"/>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167EE">
            <w:pPr>
              <w:widowControl/>
              <w:jc w:val="center"/>
              <w:textAlignment w:val="center"/>
              <w:rPr>
                <w:rFonts w:ascii="Arial Narrow" w:hAnsi="Arial Narrow" w:eastAsia="仿宋_GB2312" w:cs="宋体"/>
                <w:kern w:val="0"/>
                <w:szCs w:val="21"/>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87776">
            <w:pPr>
              <w:widowControl/>
              <w:jc w:val="center"/>
              <w:textAlignment w:val="center"/>
              <w:rPr>
                <w:rFonts w:ascii="Arial Narrow" w:hAnsi="Arial Narrow" w:eastAsia="仿宋_GB2312" w:cs="宋体"/>
                <w:kern w:val="0"/>
                <w:szCs w:val="21"/>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4EE3">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合同执行</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A387">
            <w:pPr>
              <w:widowControl/>
              <w:jc w:val="center"/>
              <w:textAlignment w:val="center"/>
              <w:rPr>
                <w:rFonts w:ascii="Arial Narrow" w:hAnsi="Arial Narrow"/>
                <w:szCs w:val="21"/>
              </w:rPr>
            </w:pPr>
            <w:r>
              <w:rPr>
                <w:rFonts w:hint="eastAsia" w:ascii="Arial Narrow" w:hAnsi="Arial Narrow"/>
                <w:szCs w:val="21"/>
              </w:rPr>
              <w:t>3</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B03F">
            <w:pPr>
              <w:widowControl/>
              <w:jc w:val="center"/>
              <w:textAlignment w:val="center"/>
              <w:rPr>
                <w:rFonts w:ascii="Arial Narrow" w:hAnsi="Arial Narrow"/>
                <w:szCs w:val="21"/>
              </w:rPr>
            </w:pPr>
            <w:r>
              <w:rPr>
                <w:rFonts w:hint="eastAsia" w:ascii="Arial Narrow" w:hAnsi="Arial Narrow"/>
                <w:szCs w:val="21"/>
              </w:rPr>
              <w:t>2</w:t>
            </w:r>
          </w:p>
        </w:tc>
      </w:tr>
      <w:tr w14:paraId="1C4922C2">
        <w:tblPrEx>
          <w:tblCellMar>
            <w:top w:w="0" w:type="dxa"/>
            <w:left w:w="108" w:type="dxa"/>
            <w:bottom w:w="0" w:type="dxa"/>
            <w:right w:w="108" w:type="dxa"/>
          </w:tblCellMar>
        </w:tblPrEx>
        <w:trPr>
          <w:trHeight w:val="397" w:hRule="atLeast"/>
          <w:jc w:val="center"/>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EFDE9">
            <w:pPr>
              <w:widowControl/>
              <w:jc w:val="center"/>
              <w:textAlignment w:val="center"/>
              <w:rPr>
                <w:rFonts w:ascii="Arial Narrow" w:hAnsi="Arial Narrow" w:eastAsia="仿宋_GB2312" w:cs="宋体"/>
                <w:kern w:val="0"/>
                <w:szCs w:val="21"/>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4B78">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项目工期（3分）</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B35F">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开工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7FFF">
            <w:pPr>
              <w:widowControl/>
              <w:jc w:val="center"/>
              <w:textAlignment w:val="center"/>
              <w:rPr>
                <w:rFonts w:ascii="Arial Narrow" w:hAnsi="Arial Narrow"/>
                <w:szCs w:val="21"/>
              </w:rPr>
            </w:pPr>
            <w:r>
              <w:rPr>
                <w:rFonts w:hint="eastAsia" w:ascii="Arial Narrow" w:hAnsi="Arial Narrow"/>
                <w:szCs w:val="21"/>
              </w:rPr>
              <w:t>3</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5E4F">
            <w:pPr>
              <w:widowControl/>
              <w:jc w:val="center"/>
              <w:textAlignment w:val="center"/>
              <w:rPr>
                <w:rFonts w:ascii="Arial Narrow" w:hAnsi="Arial Narrow"/>
                <w:szCs w:val="21"/>
              </w:rPr>
            </w:pPr>
            <w:r>
              <w:rPr>
                <w:rFonts w:hint="eastAsia" w:ascii="Arial Narrow" w:hAnsi="Arial Narrow"/>
                <w:szCs w:val="21"/>
              </w:rPr>
              <w:t>0</w:t>
            </w:r>
          </w:p>
        </w:tc>
      </w:tr>
      <w:tr w14:paraId="1B0D1BF4">
        <w:tblPrEx>
          <w:tblCellMar>
            <w:top w:w="0" w:type="dxa"/>
            <w:left w:w="108" w:type="dxa"/>
            <w:bottom w:w="0" w:type="dxa"/>
            <w:right w:w="108" w:type="dxa"/>
          </w:tblCellMar>
        </w:tblPrEx>
        <w:trPr>
          <w:trHeight w:val="397" w:hRule="atLeast"/>
          <w:jc w:val="center"/>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9F5E8">
            <w:pPr>
              <w:widowControl/>
              <w:jc w:val="center"/>
              <w:textAlignment w:val="center"/>
              <w:rPr>
                <w:rFonts w:ascii="Arial Narrow" w:hAnsi="Arial Narrow" w:eastAsia="仿宋_GB2312" w:cs="宋体"/>
                <w:kern w:val="0"/>
                <w:szCs w:val="21"/>
              </w:rPr>
            </w:pP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024F5">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项目质量可控性</w:t>
            </w:r>
          </w:p>
          <w:p w14:paraId="61FAB0BA">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（10分）</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AFC2">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监督管理</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2332">
            <w:pPr>
              <w:widowControl/>
              <w:jc w:val="center"/>
              <w:textAlignment w:val="center"/>
              <w:rPr>
                <w:rFonts w:ascii="Arial Narrow" w:hAnsi="Arial Narrow"/>
                <w:szCs w:val="21"/>
              </w:rPr>
            </w:pPr>
            <w:r>
              <w:rPr>
                <w:rFonts w:hint="eastAsia" w:ascii="Arial Narrow" w:hAnsi="Arial Narrow"/>
                <w:szCs w:val="21"/>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90B4">
            <w:pPr>
              <w:widowControl/>
              <w:jc w:val="center"/>
              <w:textAlignment w:val="center"/>
              <w:rPr>
                <w:rFonts w:ascii="Arial Narrow" w:hAnsi="Arial Narrow"/>
                <w:szCs w:val="21"/>
              </w:rPr>
            </w:pPr>
            <w:r>
              <w:rPr>
                <w:rFonts w:hint="eastAsia" w:ascii="Arial Narrow" w:hAnsi="Arial Narrow"/>
                <w:szCs w:val="21"/>
              </w:rPr>
              <w:t>4</w:t>
            </w:r>
          </w:p>
        </w:tc>
      </w:tr>
      <w:tr w14:paraId="0B7E3125">
        <w:tblPrEx>
          <w:tblCellMar>
            <w:top w:w="0" w:type="dxa"/>
            <w:left w:w="108" w:type="dxa"/>
            <w:bottom w:w="0" w:type="dxa"/>
            <w:right w:w="108" w:type="dxa"/>
          </w:tblCellMar>
        </w:tblPrEx>
        <w:trPr>
          <w:trHeight w:val="397" w:hRule="atLeast"/>
          <w:jc w:val="center"/>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8EAB0">
            <w:pPr>
              <w:widowControl/>
              <w:jc w:val="center"/>
              <w:textAlignment w:val="center"/>
              <w:rPr>
                <w:rFonts w:ascii="Arial Narrow" w:hAnsi="Arial Narrow" w:eastAsia="仿宋_GB2312" w:cs="宋体"/>
                <w:kern w:val="0"/>
                <w:szCs w:val="21"/>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D2C64">
            <w:pPr>
              <w:widowControl/>
              <w:jc w:val="center"/>
              <w:textAlignment w:val="center"/>
              <w:rPr>
                <w:rFonts w:ascii="Arial Narrow" w:hAnsi="Arial Narrow" w:eastAsia="仿宋_GB2312" w:cs="宋体"/>
                <w:kern w:val="0"/>
                <w:szCs w:val="21"/>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23081">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项目质量要求或标准</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A6AD9">
            <w:pPr>
              <w:widowControl/>
              <w:jc w:val="center"/>
              <w:textAlignment w:val="center"/>
              <w:rPr>
                <w:rFonts w:ascii="Arial Narrow" w:hAnsi="Arial Narrow"/>
                <w:szCs w:val="21"/>
              </w:rPr>
            </w:pPr>
            <w:r>
              <w:rPr>
                <w:rFonts w:hint="eastAsia" w:ascii="Arial Narrow" w:hAnsi="Arial Narrow"/>
                <w:szCs w:val="21"/>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0811D">
            <w:pPr>
              <w:widowControl/>
              <w:jc w:val="center"/>
              <w:textAlignment w:val="center"/>
              <w:rPr>
                <w:rFonts w:ascii="Arial Narrow" w:hAnsi="Arial Narrow"/>
                <w:szCs w:val="21"/>
              </w:rPr>
            </w:pPr>
            <w:r>
              <w:rPr>
                <w:rFonts w:hint="eastAsia" w:ascii="Arial Narrow" w:hAnsi="Arial Narrow"/>
                <w:szCs w:val="21"/>
              </w:rPr>
              <w:t>5</w:t>
            </w:r>
          </w:p>
        </w:tc>
      </w:tr>
      <w:tr w14:paraId="3A81F681">
        <w:tblPrEx>
          <w:tblCellMar>
            <w:top w:w="0" w:type="dxa"/>
            <w:left w:w="108" w:type="dxa"/>
            <w:bottom w:w="0" w:type="dxa"/>
            <w:right w:w="108" w:type="dxa"/>
          </w:tblCellMar>
        </w:tblPrEx>
        <w:trPr>
          <w:trHeight w:val="397" w:hRule="atLeast"/>
          <w:jc w:val="center"/>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F9717">
            <w:pPr>
              <w:widowControl/>
              <w:jc w:val="center"/>
              <w:textAlignment w:val="center"/>
              <w:rPr>
                <w:rFonts w:ascii="Arial Narrow" w:hAnsi="Arial Narrow" w:eastAsia="仿宋_GB2312" w:cs="宋体"/>
                <w:kern w:val="0"/>
                <w:szCs w:val="21"/>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C02E">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项目调整（2分）</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1B9C">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预算调整</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367AB">
            <w:pPr>
              <w:widowControl/>
              <w:jc w:val="center"/>
              <w:textAlignment w:val="center"/>
              <w:rPr>
                <w:rFonts w:ascii="Arial Narrow" w:hAnsi="Arial Narrow"/>
                <w:szCs w:val="21"/>
              </w:rPr>
            </w:pPr>
            <w:r>
              <w:rPr>
                <w:rFonts w:hint="eastAsia" w:ascii="Arial Narrow" w:hAnsi="Arial Narrow"/>
                <w:szCs w:val="21"/>
              </w:rPr>
              <w:t>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9EDA">
            <w:pPr>
              <w:widowControl/>
              <w:jc w:val="center"/>
              <w:textAlignment w:val="center"/>
              <w:rPr>
                <w:rFonts w:ascii="Arial Narrow" w:hAnsi="Arial Narrow"/>
                <w:szCs w:val="21"/>
              </w:rPr>
            </w:pPr>
            <w:r>
              <w:rPr>
                <w:rFonts w:hint="eastAsia" w:ascii="Arial Narrow" w:hAnsi="Arial Narrow"/>
                <w:szCs w:val="21"/>
              </w:rPr>
              <w:t>2</w:t>
            </w:r>
          </w:p>
        </w:tc>
      </w:tr>
      <w:tr w14:paraId="3D27D02C">
        <w:tblPrEx>
          <w:tblCellMar>
            <w:top w:w="0" w:type="dxa"/>
            <w:left w:w="108" w:type="dxa"/>
            <w:bottom w:w="0" w:type="dxa"/>
            <w:right w:w="108" w:type="dxa"/>
          </w:tblCellMar>
        </w:tblPrEx>
        <w:trPr>
          <w:trHeight w:val="397" w:hRule="atLeast"/>
          <w:jc w:val="center"/>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70FAD">
            <w:pPr>
              <w:widowControl/>
              <w:jc w:val="center"/>
              <w:textAlignment w:val="center"/>
              <w:rPr>
                <w:rFonts w:ascii="Arial Narrow" w:hAnsi="Arial Narrow" w:eastAsia="仿宋_GB2312" w:cs="宋体"/>
                <w:kern w:val="0"/>
                <w:szCs w:val="21"/>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4D48">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预算执行（2分）</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C827">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预算偏离度</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4492B">
            <w:pPr>
              <w:widowControl/>
              <w:jc w:val="center"/>
              <w:textAlignment w:val="center"/>
              <w:rPr>
                <w:rFonts w:ascii="Arial Narrow" w:hAnsi="Arial Narrow"/>
                <w:szCs w:val="21"/>
              </w:rPr>
            </w:pPr>
            <w:r>
              <w:rPr>
                <w:rFonts w:hint="eastAsia" w:ascii="Arial Narrow" w:hAnsi="Arial Narrow"/>
                <w:szCs w:val="21"/>
              </w:rPr>
              <w:t>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A937">
            <w:pPr>
              <w:widowControl/>
              <w:jc w:val="center"/>
              <w:textAlignment w:val="center"/>
              <w:rPr>
                <w:rFonts w:ascii="Arial Narrow" w:hAnsi="Arial Narrow"/>
                <w:szCs w:val="21"/>
              </w:rPr>
            </w:pPr>
            <w:r>
              <w:rPr>
                <w:rFonts w:hint="eastAsia" w:ascii="Arial Narrow" w:hAnsi="Arial Narrow"/>
                <w:szCs w:val="21"/>
              </w:rPr>
              <w:t>2</w:t>
            </w:r>
          </w:p>
        </w:tc>
      </w:tr>
      <w:tr w14:paraId="46569488">
        <w:tblPrEx>
          <w:tblCellMar>
            <w:top w:w="0" w:type="dxa"/>
            <w:left w:w="108" w:type="dxa"/>
            <w:bottom w:w="0" w:type="dxa"/>
            <w:right w:w="108" w:type="dxa"/>
          </w:tblCellMar>
        </w:tblPrEx>
        <w:trPr>
          <w:trHeight w:val="397" w:hRule="atLeast"/>
          <w:jc w:val="center"/>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3C468">
            <w:pPr>
              <w:widowControl/>
              <w:jc w:val="center"/>
              <w:textAlignment w:val="center"/>
              <w:rPr>
                <w:rFonts w:ascii="Arial Narrow" w:hAnsi="Arial Narrow" w:eastAsia="仿宋_GB2312" w:cs="宋体"/>
                <w:kern w:val="0"/>
                <w:szCs w:val="21"/>
              </w:rPr>
            </w:pP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6B5D9">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财务管理（12分）</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40D4">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管理制度健全性</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86BA">
            <w:pPr>
              <w:widowControl/>
              <w:jc w:val="center"/>
              <w:textAlignment w:val="center"/>
              <w:rPr>
                <w:rFonts w:ascii="Arial Narrow" w:hAnsi="Arial Narrow"/>
                <w:szCs w:val="21"/>
              </w:rPr>
            </w:pPr>
            <w:r>
              <w:rPr>
                <w:rFonts w:hint="eastAsia" w:ascii="Arial Narrow" w:hAnsi="Arial Narrow"/>
                <w:szCs w:val="21"/>
              </w:rPr>
              <w:t>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C442">
            <w:pPr>
              <w:widowControl/>
              <w:jc w:val="center"/>
              <w:textAlignment w:val="center"/>
              <w:rPr>
                <w:rFonts w:ascii="Arial Narrow" w:hAnsi="Arial Narrow"/>
                <w:szCs w:val="21"/>
              </w:rPr>
            </w:pPr>
            <w:r>
              <w:rPr>
                <w:rFonts w:hint="eastAsia" w:ascii="Arial Narrow" w:hAnsi="Arial Narrow"/>
                <w:szCs w:val="21"/>
              </w:rPr>
              <w:t>2</w:t>
            </w:r>
          </w:p>
        </w:tc>
      </w:tr>
      <w:tr w14:paraId="71E7DD54">
        <w:tblPrEx>
          <w:tblCellMar>
            <w:top w:w="0" w:type="dxa"/>
            <w:left w:w="108" w:type="dxa"/>
            <w:bottom w:w="0" w:type="dxa"/>
            <w:right w:w="108" w:type="dxa"/>
          </w:tblCellMar>
        </w:tblPrEx>
        <w:trPr>
          <w:trHeight w:val="397" w:hRule="atLeast"/>
          <w:jc w:val="center"/>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4FFDE">
            <w:pPr>
              <w:widowControl/>
              <w:jc w:val="center"/>
              <w:textAlignment w:val="center"/>
              <w:rPr>
                <w:rFonts w:ascii="Arial Narrow" w:hAnsi="Arial Narrow" w:eastAsia="仿宋_GB2312" w:cs="宋体"/>
                <w:kern w:val="0"/>
                <w:szCs w:val="21"/>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D2A9A">
            <w:pPr>
              <w:widowControl/>
              <w:jc w:val="center"/>
              <w:textAlignment w:val="center"/>
              <w:rPr>
                <w:rFonts w:ascii="Arial Narrow" w:hAnsi="Arial Narrow" w:eastAsia="仿宋_GB2312" w:cs="宋体"/>
                <w:kern w:val="0"/>
                <w:szCs w:val="21"/>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C26F">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资金使用合规性</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9825">
            <w:pPr>
              <w:widowControl/>
              <w:jc w:val="center"/>
              <w:textAlignment w:val="center"/>
              <w:rPr>
                <w:rFonts w:ascii="Arial Narrow" w:hAnsi="Arial Narrow"/>
                <w:szCs w:val="21"/>
              </w:rPr>
            </w:pPr>
            <w:r>
              <w:rPr>
                <w:rFonts w:hint="eastAsia" w:ascii="Arial Narrow" w:hAnsi="Arial Narrow"/>
                <w:szCs w:val="21"/>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3B2C">
            <w:pPr>
              <w:widowControl/>
              <w:jc w:val="center"/>
              <w:textAlignment w:val="center"/>
              <w:rPr>
                <w:rFonts w:ascii="Arial Narrow" w:hAnsi="Arial Narrow"/>
                <w:szCs w:val="21"/>
              </w:rPr>
            </w:pPr>
            <w:r>
              <w:rPr>
                <w:rFonts w:hint="eastAsia" w:ascii="Arial Narrow" w:hAnsi="Arial Narrow"/>
                <w:szCs w:val="21"/>
              </w:rPr>
              <w:t>5</w:t>
            </w:r>
          </w:p>
        </w:tc>
      </w:tr>
      <w:tr w14:paraId="11E79980">
        <w:tblPrEx>
          <w:tblCellMar>
            <w:top w:w="0" w:type="dxa"/>
            <w:left w:w="108" w:type="dxa"/>
            <w:bottom w:w="0" w:type="dxa"/>
            <w:right w:w="108" w:type="dxa"/>
          </w:tblCellMar>
        </w:tblPrEx>
        <w:trPr>
          <w:trHeight w:val="397" w:hRule="atLeast"/>
          <w:jc w:val="center"/>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D3BB2">
            <w:pPr>
              <w:widowControl/>
              <w:jc w:val="center"/>
              <w:textAlignment w:val="center"/>
              <w:rPr>
                <w:rFonts w:ascii="Arial Narrow" w:hAnsi="Arial Narrow" w:eastAsia="仿宋_GB2312" w:cs="宋体"/>
                <w:kern w:val="0"/>
                <w:szCs w:val="21"/>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CBC00">
            <w:pPr>
              <w:widowControl/>
              <w:jc w:val="center"/>
              <w:textAlignment w:val="center"/>
              <w:rPr>
                <w:rFonts w:ascii="Arial Narrow" w:hAnsi="Arial Narrow" w:eastAsia="仿宋_GB2312" w:cs="宋体"/>
                <w:kern w:val="0"/>
                <w:szCs w:val="21"/>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18C4">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财务核算规范性</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1D52">
            <w:pPr>
              <w:widowControl/>
              <w:jc w:val="center"/>
              <w:textAlignment w:val="center"/>
              <w:rPr>
                <w:rFonts w:ascii="Arial Narrow" w:hAnsi="Arial Narrow"/>
                <w:szCs w:val="21"/>
              </w:rPr>
            </w:pPr>
            <w:r>
              <w:rPr>
                <w:rFonts w:hint="eastAsia" w:ascii="Arial Narrow" w:hAnsi="Arial Narrow"/>
                <w:szCs w:val="21"/>
              </w:rPr>
              <w:t>3</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87B6">
            <w:pPr>
              <w:widowControl/>
              <w:jc w:val="center"/>
              <w:textAlignment w:val="center"/>
              <w:rPr>
                <w:rFonts w:ascii="Arial Narrow" w:hAnsi="Arial Narrow"/>
                <w:szCs w:val="21"/>
              </w:rPr>
            </w:pPr>
            <w:r>
              <w:rPr>
                <w:rFonts w:hint="eastAsia" w:ascii="Arial Narrow" w:hAnsi="Arial Narrow"/>
                <w:szCs w:val="21"/>
              </w:rPr>
              <w:t>3</w:t>
            </w:r>
          </w:p>
        </w:tc>
      </w:tr>
      <w:tr w14:paraId="366EE091">
        <w:tblPrEx>
          <w:tblCellMar>
            <w:top w:w="0" w:type="dxa"/>
            <w:left w:w="108" w:type="dxa"/>
            <w:bottom w:w="0" w:type="dxa"/>
            <w:right w:w="108" w:type="dxa"/>
          </w:tblCellMar>
        </w:tblPrEx>
        <w:trPr>
          <w:trHeight w:val="397" w:hRule="atLeast"/>
          <w:jc w:val="center"/>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8F2C4">
            <w:pPr>
              <w:widowControl/>
              <w:jc w:val="center"/>
              <w:textAlignment w:val="center"/>
              <w:rPr>
                <w:rFonts w:ascii="Arial Narrow" w:hAnsi="Arial Narrow" w:eastAsia="仿宋_GB2312" w:cs="宋体"/>
                <w:kern w:val="0"/>
                <w:szCs w:val="21"/>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A73E4">
            <w:pPr>
              <w:widowControl/>
              <w:jc w:val="center"/>
              <w:textAlignment w:val="center"/>
              <w:rPr>
                <w:rFonts w:ascii="Arial Narrow" w:hAnsi="Arial Narrow" w:eastAsia="仿宋_GB2312" w:cs="宋体"/>
                <w:kern w:val="0"/>
                <w:szCs w:val="21"/>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2DBA">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财务监控有效性</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B330">
            <w:pPr>
              <w:widowControl/>
              <w:jc w:val="center"/>
              <w:textAlignment w:val="center"/>
              <w:rPr>
                <w:rFonts w:ascii="Arial Narrow" w:hAnsi="Arial Narrow"/>
                <w:szCs w:val="21"/>
              </w:rPr>
            </w:pPr>
            <w:r>
              <w:rPr>
                <w:rFonts w:hint="eastAsia" w:ascii="Arial Narrow" w:hAnsi="Arial Narrow"/>
                <w:szCs w:val="21"/>
              </w:rPr>
              <w:t>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E339">
            <w:pPr>
              <w:widowControl/>
              <w:jc w:val="center"/>
              <w:textAlignment w:val="center"/>
              <w:rPr>
                <w:rFonts w:ascii="Arial Narrow" w:hAnsi="Arial Narrow"/>
                <w:szCs w:val="21"/>
              </w:rPr>
            </w:pPr>
            <w:r>
              <w:rPr>
                <w:rFonts w:hint="eastAsia" w:ascii="Arial Narrow" w:hAnsi="Arial Narrow"/>
                <w:szCs w:val="21"/>
              </w:rPr>
              <w:t>1</w:t>
            </w:r>
          </w:p>
        </w:tc>
      </w:tr>
      <w:tr w14:paraId="3DF42D3B">
        <w:tblPrEx>
          <w:tblCellMar>
            <w:top w:w="0" w:type="dxa"/>
            <w:left w:w="108" w:type="dxa"/>
            <w:bottom w:w="0" w:type="dxa"/>
            <w:right w:w="108" w:type="dxa"/>
          </w:tblCellMar>
        </w:tblPrEx>
        <w:trPr>
          <w:trHeight w:val="397" w:hRule="atLeast"/>
          <w:jc w:val="center"/>
        </w:trPr>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5CD88">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产出（10分）</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856F">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项目产出（10分）</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AC4D">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完成及时率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1D12">
            <w:pPr>
              <w:widowControl/>
              <w:jc w:val="center"/>
              <w:textAlignment w:val="center"/>
              <w:rPr>
                <w:rFonts w:ascii="Arial Narrow" w:hAnsi="Arial Narrow"/>
                <w:szCs w:val="21"/>
              </w:rPr>
            </w:pPr>
            <w:r>
              <w:rPr>
                <w:rFonts w:hint="eastAsia" w:ascii="Arial Narrow" w:hAnsi="Arial Narrow"/>
                <w:szCs w:val="21"/>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65B2">
            <w:pPr>
              <w:widowControl/>
              <w:jc w:val="center"/>
              <w:textAlignment w:val="center"/>
              <w:rPr>
                <w:rFonts w:ascii="Arial Narrow" w:hAnsi="Arial Narrow"/>
                <w:szCs w:val="21"/>
              </w:rPr>
            </w:pPr>
            <w:r>
              <w:rPr>
                <w:rFonts w:hint="eastAsia" w:ascii="Arial Narrow" w:hAnsi="Arial Narrow"/>
                <w:szCs w:val="21"/>
              </w:rPr>
              <w:t>3</w:t>
            </w:r>
          </w:p>
        </w:tc>
      </w:tr>
      <w:tr w14:paraId="34F9D9EA">
        <w:tblPrEx>
          <w:tblCellMar>
            <w:top w:w="0" w:type="dxa"/>
            <w:left w:w="108" w:type="dxa"/>
            <w:bottom w:w="0" w:type="dxa"/>
            <w:right w:w="108" w:type="dxa"/>
          </w:tblCellMar>
        </w:tblPrEx>
        <w:trPr>
          <w:trHeight w:val="397" w:hRule="atLeast"/>
          <w:jc w:val="center"/>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8541">
            <w:pPr>
              <w:widowControl/>
              <w:jc w:val="center"/>
              <w:textAlignment w:val="center"/>
              <w:rPr>
                <w:rFonts w:ascii="Arial Narrow" w:hAnsi="Arial Narrow" w:eastAsia="仿宋_GB2312" w:cs="宋体"/>
                <w:kern w:val="0"/>
                <w:szCs w:val="21"/>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E703">
            <w:pPr>
              <w:widowControl/>
              <w:jc w:val="center"/>
              <w:textAlignment w:val="center"/>
              <w:rPr>
                <w:rFonts w:ascii="Arial Narrow" w:hAnsi="Arial Narrow" w:eastAsia="仿宋_GB2312" w:cs="宋体"/>
                <w:kern w:val="0"/>
                <w:szCs w:val="21"/>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3DE6">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质量达标率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55BB">
            <w:pPr>
              <w:widowControl/>
              <w:jc w:val="center"/>
              <w:textAlignment w:val="center"/>
              <w:rPr>
                <w:rFonts w:ascii="Arial Narrow" w:hAnsi="Arial Narrow"/>
                <w:szCs w:val="21"/>
              </w:rPr>
            </w:pPr>
            <w:r>
              <w:rPr>
                <w:rFonts w:hint="eastAsia" w:ascii="Arial Narrow" w:hAnsi="Arial Narrow"/>
                <w:szCs w:val="21"/>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0ABA">
            <w:pPr>
              <w:widowControl/>
              <w:jc w:val="center"/>
              <w:textAlignment w:val="center"/>
              <w:rPr>
                <w:rFonts w:ascii="Arial Narrow" w:hAnsi="Arial Narrow"/>
                <w:szCs w:val="21"/>
              </w:rPr>
            </w:pPr>
            <w:r>
              <w:rPr>
                <w:rFonts w:hint="eastAsia" w:ascii="Arial Narrow" w:hAnsi="Arial Narrow"/>
                <w:szCs w:val="21"/>
              </w:rPr>
              <w:t>5</w:t>
            </w:r>
          </w:p>
        </w:tc>
      </w:tr>
      <w:tr w14:paraId="3B77E1C6">
        <w:tblPrEx>
          <w:tblCellMar>
            <w:top w:w="0" w:type="dxa"/>
            <w:left w:w="108" w:type="dxa"/>
            <w:bottom w:w="0" w:type="dxa"/>
            <w:right w:w="108" w:type="dxa"/>
          </w:tblCellMar>
        </w:tblPrEx>
        <w:trPr>
          <w:trHeight w:val="397" w:hRule="atLeast"/>
          <w:jc w:val="center"/>
        </w:trPr>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4340">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效果（15分）</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BE8AD">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项目效益（15分）</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13AF">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社会效益</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5C52">
            <w:pPr>
              <w:widowControl/>
              <w:jc w:val="center"/>
              <w:textAlignment w:val="center"/>
              <w:rPr>
                <w:rFonts w:ascii="Arial Narrow" w:hAnsi="Arial Narrow"/>
                <w:szCs w:val="21"/>
              </w:rPr>
            </w:pPr>
            <w:r>
              <w:rPr>
                <w:rFonts w:hint="eastAsia" w:ascii="Arial Narrow" w:hAnsi="Arial Narrow"/>
                <w:szCs w:val="21"/>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DB68">
            <w:pPr>
              <w:widowControl/>
              <w:jc w:val="center"/>
              <w:textAlignment w:val="center"/>
              <w:rPr>
                <w:rFonts w:ascii="Arial Narrow" w:hAnsi="Arial Narrow"/>
                <w:szCs w:val="21"/>
              </w:rPr>
            </w:pPr>
            <w:r>
              <w:rPr>
                <w:rFonts w:hint="eastAsia" w:ascii="Arial Narrow" w:hAnsi="Arial Narrow"/>
                <w:szCs w:val="21"/>
              </w:rPr>
              <w:t>3</w:t>
            </w:r>
          </w:p>
        </w:tc>
      </w:tr>
      <w:tr w14:paraId="78CC940F">
        <w:tblPrEx>
          <w:tblCellMar>
            <w:top w:w="0" w:type="dxa"/>
            <w:left w:w="108" w:type="dxa"/>
            <w:bottom w:w="0" w:type="dxa"/>
            <w:right w:w="108" w:type="dxa"/>
          </w:tblCellMar>
        </w:tblPrEx>
        <w:trPr>
          <w:trHeight w:val="397" w:hRule="atLeast"/>
          <w:jc w:val="center"/>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228B">
            <w:pPr>
              <w:widowControl/>
              <w:jc w:val="center"/>
              <w:textAlignment w:val="center"/>
              <w:rPr>
                <w:rFonts w:ascii="Arial Narrow" w:hAnsi="Arial Narrow" w:eastAsia="仿宋_GB2312" w:cs="宋体"/>
                <w:kern w:val="0"/>
                <w:szCs w:val="21"/>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3A699">
            <w:pPr>
              <w:widowControl/>
              <w:jc w:val="center"/>
              <w:textAlignment w:val="center"/>
              <w:rPr>
                <w:rFonts w:ascii="Arial Narrow" w:hAnsi="Arial Narrow" w:eastAsia="仿宋_GB2312" w:cs="宋体"/>
                <w:kern w:val="0"/>
                <w:szCs w:val="21"/>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98D8">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生态效益</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278E">
            <w:pPr>
              <w:widowControl/>
              <w:jc w:val="center"/>
              <w:textAlignment w:val="center"/>
              <w:rPr>
                <w:rFonts w:ascii="Arial Narrow" w:hAnsi="Arial Narrow"/>
                <w:szCs w:val="21"/>
              </w:rPr>
            </w:pPr>
            <w:r>
              <w:rPr>
                <w:rFonts w:hint="eastAsia" w:ascii="Arial Narrow" w:hAnsi="Arial Narrow"/>
                <w:szCs w:val="21"/>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6559">
            <w:pPr>
              <w:widowControl/>
              <w:jc w:val="center"/>
              <w:textAlignment w:val="center"/>
              <w:rPr>
                <w:rFonts w:ascii="Arial Narrow" w:hAnsi="Arial Narrow"/>
                <w:szCs w:val="21"/>
              </w:rPr>
            </w:pPr>
            <w:r>
              <w:rPr>
                <w:rFonts w:hint="eastAsia" w:ascii="Arial Narrow" w:hAnsi="Arial Narrow"/>
                <w:szCs w:val="21"/>
              </w:rPr>
              <w:t>5</w:t>
            </w:r>
          </w:p>
        </w:tc>
      </w:tr>
      <w:tr w14:paraId="48168AD4">
        <w:tblPrEx>
          <w:tblCellMar>
            <w:top w:w="0" w:type="dxa"/>
            <w:left w:w="108" w:type="dxa"/>
            <w:bottom w:w="0" w:type="dxa"/>
            <w:right w:w="108" w:type="dxa"/>
          </w:tblCellMar>
        </w:tblPrEx>
        <w:trPr>
          <w:trHeight w:val="397" w:hRule="atLeast"/>
          <w:jc w:val="center"/>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DE89">
            <w:pPr>
              <w:widowControl/>
              <w:jc w:val="center"/>
              <w:textAlignment w:val="center"/>
              <w:rPr>
                <w:rFonts w:ascii="Arial Narrow" w:hAnsi="Arial Narrow" w:eastAsia="仿宋_GB2312" w:cs="宋体"/>
                <w:kern w:val="0"/>
                <w:szCs w:val="21"/>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C90D8">
            <w:pPr>
              <w:widowControl/>
              <w:jc w:val="center"/>
              <w:textAlignment w:val="center"/>
              <w:rPr>
                <w:rFonts w:ascii="Arial Narrow" w:hAnsi="Arial Narrow" w:eastAsia="仿宋_GB2312" w:cs="宋体"/>
                <w:kern w:val="0"/>
                <w:szCs w:val="21"/>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7093">
            <w:pPr>
              <w:widowControl/>
              <w:jc w:val="center"/>
              <w:textAlignment w:val="center"/>
              <w:rPr>
                <w:rFonts w:ascii="Arial Narrow" w:hAnsi="Arial Narrow" w:eastAsia="仿宋_GB2312" w:cs="宋体"/>
                <w:kern w:val="0"/>
                <w:szCs w:val="21"/>
              </w:rPr>
            </w:pPr>
            <w:r>
              <w:rPr>
                <w:rFonts w:hint="eastAsia" w:ascii="Arial Narrow" w:hAnsi="Arial Narrow" w:eastAsia="仿宋_GB2312" w:cs="宋体"/>
                <w:kern w:val="0"/>
                <w:szCs w:val="21"/>
              </w:rPr>
              <w:t>社会公众或服务对象满意度</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E421">
            <w:pPr>
              <w:widowControl/>
              <w:jc w:val="center"/>
              <w:textAlignment w:val="center"/>
              <w:rPr>
                <w:rFonts w:ascii="Arial Narrow" w:hAnsi="Arial Narrow"/>
                <w:szCs w:val="21"/>
              </w:rPr>
            </w:pPr>
            <w:r>
              <w:rPr>
                <w:rFonts w:hint="eastAsia" w:ascii="Arial Narrow" w:hAnsi="Arial Narrow"/>
                <w:szCs w:val="21"/>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B896">
            <w:pPr>
              <w:widowControl/>
              <w:jc w:val="center"/>
              <w:textAlignment w:val="center"/>
              <w:rPr>
                <w:rFonts w:ascii="Arial Narrow" w:hAnsi="Arial Narrow"/>
                <w:szCs w:val="21"/>
              </w:rPr>
            </w:pPr>
            <w:r>
              <w:rPr>
                <w:rFonts w:hint="eastAsia" w:ascii="Arial Narrow" w:hAnsi="Arial Narrow"/>
                <w:szCs w:val="21"/>
              </w:rPr>
              <w:t>4.66</w:t>
            </w:r>
          </w:p>
        </w:tc>
      </w:tr>
      <w:tr w14:paraId="262829E4">
        <w:tblPrEx>
          <w:tblCellMar>
            <w:top w:w="0" w:type="dxa"/>
            <w:left w:w="108" w:type="dxa"/>
            <w:bottom w:w="0" w:type="dxa"/>
            <w:right w:w="108" w:type="dxa"/>
          </w:tblCellMar>
        </w:tblPrEx>
        <w:trPr>
          <w:trHeight w:val="397" w:hRule="atLeast"/>
          <w:jc w:val="center"/>
        </w:trPr>
        <w:tc>
          <w:tcPr>
            <w:tcW w:w="39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3C90">
            <w:pPr>
              <w:widowControl/>
              <w:jc w:val="center"/>
              <w:textAlignment w:val="center"/>
              <w:rPr>
                <w:rFonts w:hint="eastAsia" w:ascii="Arial Narrow" w:hAnsi="Arial Narrow" w:eastAsia="仿宋_GB2312" w:cs="宋体"/>
                <w:kern w:val="0"/>
                <w:szCs w:val="21"/>
              </w:rPr>
            </w:pPr>
            <w:r>
              <w:rPr>
                <w:rFonts w:hint="eastAsia" w:ascii="Arial Narrow" w:hAnsi="Arial Narrow" w:eastAsia="仿宋_GB2312" w:cs="宋体"/>
                <w:kern w:val="0"/>
                <w:szCs w:val="21"/>
              </w:rPr>
              <w:t>合计</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92C2">
            <w:pPr>
              <w:widowControl/>
              <w:jc w:val="center"/>
              <w:textAlignment w:val="center"/>
              <w:rPr>
                <w:rFonts w:ascii="Arial Narrow" w:hAnsi="Arial Narrow" w:eastAsia="仿宋_GB2312" w:cs="宋体"/>
                <w:kern w:val="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3169">
            <w:pPr>
              <w:widowControl/>
              <w:jc w:val="center"/>
              <w:textAlignment w:val="center"/>
              <w:rPr>
                <w:rFonts w:ascii="Arial Narrow" w:hAnsi="Arial Narrow"/>
                <w:szCs w:val="21"/>
              </w:rPr>
            </w:pPr>
            <w:r>
              <w:rPr>
                <w:rFonts w:hint="eastAsia" w:ascii="Arial Narrow" w:hAnsi="Arial Narrow"/>
                <w:szCs w:val="21"/>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33DF">
            <w:pPr>
              <w:widowControl/>
              <w:jc w:val="center"/>
              <w:textAlignment w:val="center"/>
              <w:rPr>
                <w:rFonts w:ascii="Arial Narrow" w:hAnsi="Arial Narrow"/>
                <w:szCs w:val="21"/>
              </w:rPr>
            </w:pPr>
            <w:r>
              <w:rPr>
                <w:rFonts w:hint="eastAsia" w:ascii="Arial Narrow" w:hAnsi="Arial Narrow"/>
                <w:szCs w:val="21"/>
              </w:rPr>
              <w:t>88.66</w:t>
            </w:r>
          </w:p>
        </w:tc>
      </w:tr>
    </w:tbl>
    <w:p w14:paraId="7F1E2F8D">
      <w:pPr>
        <w:spacing w:before="120" w:beforeLines="50" w:line="360" w:lineRule="auto"/>
        <w:ind w:firstLine="482" w:firstLineChars="200"/>
        <w:outlineLvl w:val="0"/>
        <w:rPr>
          <w:rFonts w:ascii="Arial Narrow" w:hAnsi="Arial Narrow" w:eastAsia="仿宋_GB2312"/>
          <w:b/>
          <w:sz w:val="24"/>
        </w:rPr>
      </w:pPr>
      <w:bookmarkStart w:id="26" w:name="_Toc28882"/>
      <w:r>
        <w:rPr>
          <w:rFonts w:ascii="Arial Narrow" w:hAnsi="Arial Narrow" w:eastAsia="仿宋_GB2312"/>
          <w:b/>
          <w:sz w:val="24"/>
        </w:rPr>
        <w:t>（二）综合评价情况</w:t>
      </w:r>
      <w:bookmarkEnd w:id="26"/>
    </w:p>
    <w:p w14:paraId="699C8A18">
      <w:pPr>
        <w:adjustRightInd w:val="0"/>
        <w:snapToGrid w:val="0"/>
        <w:spacing w:line="360" w:lineRule="auto"/>
        <w:ind w:firstLine="480" w:firstLineChars="200"/>
        <w:rPr>
          <w:rFonts w:ascii="Arial Narrow" w:hAnsi="Arial Narrow" w:eastAsia="仿宋_GB2312"/>
          <w:sz w:val="24"/>
        </w:rPr>
      </w:pPr>
      <w:r>
        <w:rPr>
          <w:rFonts w:ascii="Arial Narrow" w:hAnsi="Arial Narrow" w:eastAsia="仿宋_GB2312"/>
          <w:sz w:val="24"/>
        </w:rPr>
        <w:t>1</w:t>
      </w:r>
      <w:r>
        <w:rPr>
          <w:rFonts w:hint="eastAsia" w:ascii="Arial Narrow" w:hAnsi="Arial Narrow" w:eastAsia="仿宋_GB2312"/>
          <w:sz w:val="24"/>
        </w:rPr>
        <w:t>.投入</w:t>
      </w:r>
      <w:r>
        <w:rPr>
          <w:rFonts w:ascii="Arial Narrow" w:hAnsi="Arial Narrow" w:eastAsia="仿宋_GB2312"/>
          <w:sz w:val="24"/>
        </w:rPr>
        <w:t>。标准分值</w:t>
      </w:r>
      <w:r>
        <w:rPr>
          <w:rFonts w:hint="eastAsia" w:ascii="Arial Narrow" w:hAnsi="Arial Narrow" w:eastAsia="仿宋_GB2312"/>
          <w:sz w:val="24"/>
        </w:rPr>
        <w:t>2</w:t>
      </w:r>
      <w:r>
        <w:rPr>
          <w:rFonts w:ascii="Arial Narrow" w:hAnsi="Arial Narrow" w:eastAsia="仿宋_GB2312"/>
          <w:sz w:val="24"/>
        </w:rPr>
        <w:t>0分，实际得分</w:t>
      </w:r>
      <w:r>
        <w:rPr>
          <w:rFonts w:hint="eastAsia" w:ascii="Arial Narrow" w:hAnsi="Arial Narrow" w:eastAsia="仿宋_GB2312"/>
          <w:sz w:val="24"/>
        </w:rPr>
        <w:t>20</w:t>
      </w:r>
      <w:r>
        <w:rPr>
          <w:rFonts w:ascii="Arial Narrow" w:hAnsi="Arial Narrow" w:eastAsia="仿宋_GB2312"/>
          <w:sz w:val="24"/>
        </w:rPr>
        <w:t>分，得分率</w:t>
      </w:r>
      <w:r>
        <w:rPr>
          <w:rFonts w:hint="eastAsia" w:ascii="Arial Narrow" w:hAnsi="Arial Narrow" w:eastAsia="仿宋_GB2312"/>
          <w:sz w:val="24"/>
        </w:rPr>
        <w:t>100</w:t>
      </w:r>
      <w:r>
        <w:rPr>
          <w:rFonts w:ascii="Arial Narrow" w:hAnsi="Arial Narrow" w:eastAsia="仿宋_GB2312"/>
          <w:sz w:val="24"/>
        </w:rPr>
        <w:t>%，情况</w:t>
      </w:r>
      <w:r>
        <w:rPr>
          <w:rFonts w:hint="eastAsia" w:ascii="Arial Narrow" w:hAnsi="Arial Narrow" w:eastAsia="仿宋_GB2312"/>
          <w:sz w:val="24"/>
        </w:rPr>
        <w:t>优</w:t>
      </w:r>
      <w:r>
        <w:rPr>
          <w:rFonts w:ascii="Arial Narrow" w:hAnsi="Arial Narrow" w:eastAsia="仿宋_GB2312"/>
          <w:sz w:val="24"/>
        </w:rPr>
        <w:t>。</w:t>
      </w:r>
    </w:p>
    <w:p w14:paraId="70C7E5A7">
      <w:pPr>
        <w:adjustRightInd w:val="0"/>
        <w:snapToGrid w:val="0"/>
        <w:spacing w:line="360" w:lineRule="auto"/>
        <w:ind w:firstLine="480" w:firstLineChars="200"/>
        <w:rPr>
          <w:rFonts w:ascii="Arial Narrow" w:hAnsi="Arial Narrow" w:eastAsia="仿宋_GB2312"/>
          <w:sz w:val="24"/>
        </w:rPr>
      </w:pPr>
      <w:r>
        <w:rPr>
          <w:rFonts w:ascii="Arial Narrow" w:hAnsi="Arial Narrow" w:eastAsia="仿宋_GB2312"/>
          <w:sz w:val="24"/>
        </w:rPr>
        <w:t>2</w:t>
      </w:r>
      <w:r>
        <w:rPr>
          <w:rFonts w:hint="eastAsia" w:ascii="Arial Narrow" w:hAnsi="Arial Narrow" w:eastAsia="仿宋_GB2312"/>
          <w:sz w:val="24"/>
        </w:rPr>
        <w:t>.管理</w:t>
      </w:r>
      <w:r>
        <w:rPr>
          <w:rFonts w:ascii="Arial Narrow" w:hAnsi="Arial Narrow" w:eastAsia="仿宋_GB2312"/>
          <w:sz w:val="24"/>
        </w:rPr>
        <w:t>。标准分值</w:t>
      </w:r>
      <w:r>
        <w:rPr>
          <w:rFonts w:hint="eastAsia" w:ascii="Arial Narrow" w:hAnsi="Arial Narrow" w:eastAsia="仿宋_GB2312"/>
          <w:sz w:val="24"/>
        </w:rPr>
        <w:t>55</w:t>
      </w:r>
      <w:r>
        <w:rPr>
          <w:rFonts w:ascii="Arial Narrow" w:hAnsi="Arial Narrow" w:eastAsia="仿宋_GB2312"/>
          <w:sz w:val="24"/>
        </w:rPr>
        <w:t>分，实际得分</w:t>
      </w:r>
      <w:r>
        <w:rPr>
          <w:rFonts w:hint="eastAsia" w:ascii="Arial Narrow" w:hAnsi="Arial Narrow" w:eastAsia="仿宋_GB2312"/>
          <w:sz w:val="24"/>
        </w:rPr>
        <w:t>48</w:t>
      </w:r>
      <w:r>
        <w:rPr>
          <w:rFonts w:ascii="Arial Narrow" w:hAnsi="Arial Narrow" w:eastAsia="仿宋_GB2312"/>
          <w:sz w:val="24"/>
        </w:rPr>
        <w:t>分，得分率</w:t>
      </w:r>
      <w:r>
        <w:rPr>
          <w:rFonts w:hint="eastAsia" w:ascii="Arial Narrow" w:hAnsi="Arial Narrow" w:eastAsia="仿宋_GB2312"/>
          <w:sz w:val="24"/>
        </w:rPr>
        <w:t>87.27</w:t>
      </w:r>
      <w:r>
        <w:rPr>
          <w:rFonts w:ascii="Arial Narrow" w:hAnsi="Arial Narrow" w:eastAsia="仿宋_GB2312"/>
          <w:sz w:val="24"/>
        </w:rPr>
        <w:t>%，情况</w:t>
      </w:r>
      <w:r>
        <w:rPr>
          <w:rFonts w:hint="eastAsia" w:ascii="Arial Narrow" w:hAnsi="Arial Narrow" w:eastAsia="仿宋_GB2312"/>
          <w:sz w:val="24"/>
        </w:rPr>
        <w:t>良</w:t>
      </w:r>
      <w:r>
        <w:rPr>
          <w:rFonts w:ascii="Arial Narrow" w:hAnsi="Arial Narrow" w:eastAsia="仿宋_GB2312"/>
          <w:sz w:val="24"/>
        </w:rPr>
        <w:t>，主要扣分在</w:t>
      </w:r>
      <w:r>
        <w:rPr>
          <w:rFonts w:hint="eastAsia" w:ascii="Arial Narrow" w:hAnsi="Arial Narrow" w:eastAsia="仿宋_GB2312"/>
          <w:sz w:val="24"/>
        </w:rPr>
        <w:t>合同签订及执行、项目工期方面</w:t>
      </w:r>
      <w:r>
        <w:rPr>
          <w:rFonts w:ascii="Arial Narrow" w:hAnsi="Arial Narrow" w:eastAsia="仿宋_GB2312"/>
          <w:sz w:val="24"/>
        </w:rPr>
        <w:t>。</w:t>
      </w:r>
    </w:p>
    <w:p w14:paraId="2893FC09">
      <w:pPr>
        <w:adjustRightInd w:val="0"/>
        <w:snapToGrid w:val="0"/>
        <w:spacing w:line="360" w:lineRule="auto"/>
        <w:ind w:firstLine="480" w:firstLineChars="200"/>
        <w:rPr>
          <w:rFonts w:ascii="Arial Narrow" w:hAnsi="Arial Narrow" w:eastAsia="仿宋_GB2312"/>
          <w:sz w:val="24"/>
        </w:rPr>
      </w:pPr>
      <w:r>
        <w:rPr>
          <w:rFonts w:ascii="Arial Narrow" w:hAnsi="Arial Narrow" w:eastAsia="仿宋_GB2312"/>
          <w:sz w:val="24"/>
        </w:rPr>
        <w:t>3</w:t>
      </w:r>
      <w:r>
        <w:rPr>
          <w:rFonts w:hint="eastAsia" w:ascii="Arial Narrow" w:hAnsi="Arial Narrow" w:eastAsia="仿宋_GB2312"/>
          <w:sz w:val="24"/>
        </w:rPr>
        <w:t>.</w:t>
      </w:r>
      <w:r>
        <w:rPr>
          <w:rFonts w:ascii="Arial Narrow" w:hAnsi="Arial Narrow" w:eastAsia="仿宋_GB2312"/>
          <w:sz w:val="24"/>
        </w:rPr>
        <w:t>产出。标准分值</w:t>
      </w:r>
      <w:r>
        <w:rPr>
          <w:rFonts w:hint="eastAsia" w:ascii="Arial Narrow" w:hAnsi="Arial Narrow" w:eastAsia="仿宋_GB2312"/>
          <w:sz w:val="24"/>
        </w:rPr>
        <w:t>10</w:t>
      </w:r>
      <w:r>
        <w:rPr>
          <w:rFonts w:ascii="Arial Narrow" w:hAnsi="Arial Narrow" w:eastAsia="仿宋_GB2312"/>
          <w:sz w:val="24"/>
        </w:rPr>
        <w:t>分，实际得分</w:t>
      </w:r>
      <w:r>
        <w:rPr>
          <w:rFonts w:hint="eastAsia" w:ascii="Arial Narrow" w:hAnsi="Arial Narrow" w:eastAsia="仿宋_GB2312"/>
          <w:sz w:val="24"/>
        </w:rPr>
        <w:t>8</w:t>
      </w:r>
      <w:r>
        <w:rPr>
          <w:rFonts w:ascii="Arial Narrow" w:hAnsi="Arial Narrow" w:eastAsia="仿宋_GB2312"/>
          <w:sz w:val="24"/>
        </w:rPr>
        <w:t>分，得分率</w:t>
      </w:r>
      <w:r>
        <w:rPr>
          <w:rFonts w:hint="eastAsia" w:ascii="Arial Narrow" w:hAnsi="Arial Narrow" w:eastAsia="仿宋_GB2312"/>
          <w:sz w:val="24"/>
        </w:rPr>
        <w:t>80.00</w:t>
      </w:r>
      <w:r>
        <w:rPr>
          <w:rFonts w:ascii="Arial Narrow" w:hAnsi="Arial Narrow" w:eastAsia="仿宋_GB2312"/>
          <w:sz w:val="24"/>
        </w:rPr>
        <w:t>%，情况</w:t>
      </w:r>
      <w:r>
        <w:rPr>
          <w:rFonts w:hint="eastAsia" w:ascii="Arial Narrow" w:hAnsi="Arial Narrow" w:eastAsia="仿宋_GB2312"/>
          <w:sz w:val="24"/>
        </w:rPr>
        <w:t>良</w:t>
      </w:r>
      <w:r>
        <w:rPr>
          <w:rFonts w:ascii="Arial Narrow" w:hAnsi="Arial Narrow" w:eastAsia="仿宋_GB2312"/>
          <w:sz w:val="24"/>
        </w:rPr>
        <w:t>，主要扣分在</w:t>
      </w:r>
      <w:r>
        <w:rPr>
          <w:rFonts w:hint="eastAsia" w:ascii="Arial Narrow" w:hAnsi="Arial Narrow" w:eastAsia="仿宋_GB2312"/>
          <w:sz w:val="24"/>
        </w:rPr>
        <w:t>完成及时率方面</w:t>
      </w:r>
      <w:r>
        <w:rPr>
          <w:rFonts w:ascii="Arial Narrow" w:hAnsi="Arial Narrow" w:eastAsia="仿宋_GB2312"/>
          <w:sz w:val="24"/>
        </w:rPr>
        <w:t>。</w:t>
      </w:r>
    </w:p>
    <w:p w14:paraId="04FB4AC7">
      <w:pPr>
        <w:adjustRightInd w:val="0"/>
        <w:snapToGrid w:val="0"/>
        <w:spacing w:line="360" w:lineRule="auto"/>
        <w:ind w:firstLine="480" w:firstLineChars="200"/>
        <w:rPr>
          <w:rFonts w:ascii="Arial Narrow" w:hAnsi="Arial Narrow" w:eastAsia="仿宋_GB2312"/>
          <w:sz w:val="24"/>
        </w:rPr>
      </w:pPr>
      <w:r>
        <w:rPr>
          <w:rFonts w:ascii="Arial Narrow" w:hAnsi="Arial Narrow" w:eastAsia="仿宋_GB2312"/>
          <w:sz w:val="24"/>
        </w:rPr>
        <w:t>4</w:t>
      </w:r>
      <w:r>
        <w:rPr>
          <w:rFonts w:hint="eastAsia" w:ascii="Arial Narrow" w:hAnsi="Arial Narrow" w:eastAsia="仿宋_GB2312"/>
          <w:sz w:val="24"/>
        </w:rPr>
        <w:t>.效果</w:t>
      </w:r>
      <w:r>
        <w:rPr>
          <w:rFonts w:ascii="Arial Narrow" w:hAnsi="Arial Narrow" w:eastAsia="仿宋_GB2312"/>
          <w:sz w:val="24"/>
        </w:rPr>
        <w:t>。标准分值</w:t>
      </w:r>
      <w:r>
        <w:rPr>
          <w:rFonts w:hint="eastAsia" w:ascii="Arial Narrow" w:hAnsi="Arial Narrow" w:eastAsia="仿宋_GB2312"/>
          <w:sz w:val="24"/>
        </w:rPr>
        <w:t>15</w:t>
      </w:r>
      <w:r>
        <w:rPr>
          <w:rFonts w:ascii="Arial Narrow" w:hAnsi="Arial Narrow" w:eastAsia="仿宋_GB2312"/>
          <w:sz w:val="24"/>
        </w:rPr>
        <w:t>分，实际得分</w:t>
      </w:r>
      <w:r>
        <w:rPr>
          <w:rFonts w:hint="eastAsia" w:ascii="Arial Narrow" w:hAnsi="Arial Narrow" w:eastAsia="仿宋_GB2312"/>
          <w:sz w:val="24"/>
        </w:rPr>
        <w:t>12.66</w:t>
      </w:r>
      <w:r>
        <w:rPr>
          <w:rFonts w:ascii="Arial Narrow" w:hAnsi="Arial Narrow" w:eastAsia="仿宋_GB2312"/>
          <w:sz w:val="24"/>
        </w:rPr>
        <w:t>分，得分率</w:t>
      </w:r>
      <w:r>
        <w:rPr>
          <w:rFonts w:hint="eastAsia" w:ascii="Arial Narrow" w:hAnsi="Arial Narrow" w:eastAsia="仿宋_GB2312"/>
          <w:sz w:val="24"/>
        </w:rPr>
        <w:t>84.40</w:t>
      </w:r>
      <w:r>
        <w:rPr>
          <w:rFonts w:ascii="Arial Narrow" w:hAnsi="Arial Narrow" w:eastAsia="仿宋_GB2312"/>
          <w:sz w:val="24"/>
        </w:rPr>
        <w:t>%，情况</w:t>
      </w:r>
      <w:r>
        <w:rPr>
          <w:rFonts w:hint="eastAsia" w:ascii="Arial Narrow" w:hAnsi="Arial Narrow" w:eastAsia="仿宋_GB2312"/>
          <w:sz w:val="24"/>
        </w:rPr>
        <w:t>良</w:t>
      </w:r>
      <w:r>
        <w:rPr>
          <w:rFonts w:ascii="Arial Narrow" w:hAnsi="Arial Narrow" w:eastAsia="仿宋_GB2312"/>
          <w:sz w:val="24"/>
        </w:rPr>
        <w:t>，主要扣分在</w:t>
      </w:r>
      <w:r>
        <w:rPr>
          <w:rFonts w:hint="eastAsia" w:ascii="Arial Narrow" w:hAnsi="Arial Narrow" w:eastAsia="仿宋_GB2312"/>
          <w:sz w:val="24"/>
        </w:rPr>
        <w:t>社会效益和社会公众或服务对象满意度方面</w:t>
      </w:r>
      <w:r>
        <w:rPr>
          <w:rFonts w:ascii="Arial Narrow" w:hAnsi="Arial Narrow" w:eastAsia="仿宋_GB2312"/>
          <w:sz w:val="24"/>
        </w:rPr>
        <w:t>。</w:t>
      </w:r>
    </w:p>
    <w:p w14:paraId="47DE2922">
      <w:pPr>
        <w:spacing w:before="240" w:beforeLines="100" w:line="360" w:lineRule="auto"/>
        <w:ind w:firstLine="482" w:firstLineChars="200"/>
        <w:outlineLvl w:val="0"/>
        <w:rPr>
          <w:rFonts w:ascii="Arial Narrow" w:hAnsi="Arial Narrow" w:eastAsia="仿宋_GB2312"/>
          <w:b/>
          <w:sz w:val="24"/>
        </w:rPr>
      </w:pPr>
      <w:bookmarkStart w:id="27" w:name="_Toc437528941"/>
      <w:bookmarkStart w:id="28" w:name="_Toc21103"/>
      <w:r>
        <w:rPr>
          <w:rFonts w:ascii="Arial Narrow" w:hAnsi="Arial Narrow" w:eastAsia="仿宋_GB2312"/>
          <w:b/>
          <w:sz w:val="24"/>
        </w:rPr>
        <w:t>四、绩效评价指标分析</w:t>
      </w:r>
      <w:bookmarkEnd w:id="27"/>
      <w:bookmarkEnd w:id="28"/>
    </w:p>
    <w:p w14:paraId="6A4E5277">
      <w:pPr>
        <w:adjustRightInd w:val="0"/>
        <w:snapToGrid w:val="0"/>
        <w:spacing w:line="360" w:lineRule="auto"/>
        <w:ind w:firstLine="480" w:firstLineChars="200"/>
        <w:rPr>
          <w:rFonts w:ascii="Arial Narrow" w:hAnsi="Arial Narrow" w:eastAsia="仿宋_GB2312"/>
          <w:sz w:val="24"/>
        </w:rPr>
      </w:pPr>
      <w:r>
        <w:rPr>
          <w:rFonts w:ascii="Arial Narrow" w:hAnsi="Arial Narrow" w:eastAsia="仿宋_GB2312"/>
          <w:sz w:val="24"/>
        </w:rPr>
        <w:t>本次项目绩效评价的一级指标四个，分别为：</w:t>
      </w:r>
      <w:r>
        <w:rPr>
          <w:rFonts w:hint="eastAsia" w:ascii="Arial Narrow" w:hAnsi="Arial Narrow" w:eastAsia="仿宋_GB2312"/>
          <w:sz w:val="24"/>
        </w:rPr>
        <w:t>投入</w:t>
      </w:r>
      <w:r>
        <w:rPr>
          <w:rFonts w:ascii="Arial Narrow" w:hAnsi="Arial Narrow" w:eastAsia="仿宋_GB2312"/>
          <w:sz w:val="24"/>
        </w:rPr>
        <w:t>（</w:t>
      </w:r>
      <w:r>
        <w:rPr>
          <w:rFonts w:hint="eastAsia" w:ascii="Arial Narrow" w:hAnsi="Arial Narrow" w:eastAsia="仿宋_GB2312"/>
          <w:sz w:val="24"/>
        </w:rPr>
        <w:t>2</w:t>
      </w:r>
      <w:r>
        <w:rPr>
          <w:rFonts w:ascii="Arial Narrow" w:hAnsi="Arial Narrow" w:eastAsia="仿宋_GB2312"/>
          <w:sz w:val="24"/>
        </w:rPr>
        <w:t>0分）、</w:t>
      </w:r>
      <w:r>
        <w:rPr>
          <w:rFonts w:hint="eastAsia" w:ascii="Arial Narrow" w:hAnsi="Arial Narrow" w:eastAsia="仿宋_GB2312"/>
          <w:sz w:val="24"/>
        </w:rPr>
        <w:t>管理</w:t>
      </w:r>
      <w:r>
        <w:rPr>
          <w:rFonts w:ascii="Arial Narrow" w:hAnsi="Arial Narrow" w:eastAsia="仿宋_GB2312"/>
          <w:sz w:val="24"/>
        </w:rPr>
        <w:t>（</w:t>
      </w:r>
      <w:r>
        <w:rPr>
          <w:rFonts w:hint="eastAsia" w:ascii="Arial Narrow" w:hAnsi="Arial Narrow" w:eastAsia="仿宋_GB2312"/>
          <w:sz w:val="24"/>
        </w:rPr>
        <w:t>55</w:t>
      </w:r>
      <w:r>
        <w:rPr>
          <w:rFonts w:ascii="Arial Narrow" w:hAnsi="Arial Narrow" w:eastAsia="仿宋_GB2312"/>
          <w:sz w:val="24"/>
        </w:rPr>
        <w:t>分）、产出（</w:t>
      </w:r>
      <w:r>
        <w:rPr>
          <w:rFonts w:hint="eastAsia" w:ascii="Arial Narrow" w:hAnsi="Arial Narrow" w:eastAsia="仿宋_GB2312"/>
          <w:sz w:val="24"/>
        </w:rPr>
        <w:t>10</w:t>
      </w:r>
      <w:r>
        <w:rPr>
          <w:rFonts w:ascii="Arial Narrow" w:hAnsi="Arial Narrow" w:eastAsia="仿宋_GB2312"/>
          <w:sz w:val="24"/>
        </w:rPr>
        <w:t>分）和效果（</w:t>
      </w:r>
      <w:r>
        <w:rPr>
          <w:rFonts w:hint="eastAsia" w:ascii="Arial Narrow" w:hAnsi="Arial Narrow" w:eastAsia="仿宋_GB2312"/>
          <w:sz w:val="24"/>
        </w:rPr>
        <w:t>15</w:t>
      </w:r>
      <w:r>
        <w:rPr>
          <w:rFonts w:ascii="Arial Narrow" w:hAnsi="Arial Narrow" w:eastAsia="仿宋_GB2312"/>
          <w:sz w:val="24"/>
        </w:rPr>
        <w:t>分），现按四个一级指标逐项进行分析评价。</w:t>
      </w:r>
    </w:p>
    <w:p w14:paraId="53F1E73F">
      <w:pPr>
        <w:spacing w:before="120" w:beforeLines="50" w:line="360" w:lineRule="auto"/>
        <w:ind w:firstLine="482" w:firstLineChars="200"/>
        <w:outlineLvl w:val="0"/>
        <w:rPr>
          <w:rFonts w:ascii="Arial Narrow" w:hAnsi="Arial Narrow" w:eastAsia="仿宋_GB2312"/>
          <w:b/>
          <w:sz w:val="24"/>
        </w:rPr>
      </w:pPr>
      <w:bookmarkStart w:id="29" w:name="_Toc437528942"/>
      <w:bookmarkStart w:id="30" w:name="_Toc3230"/>
      <w:r>
        <w:rPr>
          <w:rFonts w:ascii="Arial Narrow" w:hAnsi="Arial Narrow" w:eastAsia="仿宋_GB2312"/>
          <w:b/>
          <w:sz w:val="24"/>
        </w:rPr>
        <w:t>（一）</w:t>
      </w:r>
      <w:bookmarkEnd w:id="29"/>
      <w:r>
        <w:rPr>
          <w:rFonts w:hint="eastAsia" w:ascii="Arial Narrow" w:hAnsi="Arial Narrow" w:eastAsia="仿宋_GB2312"/>
          <w:b/>
          <w:sz w:val="24"/>
        </w:rPr>
        <w:t>投入（前期投入）</w:t>
      </w:r>
      <w:bookmarkEnd w:id="30"/>
    </w:p>
    <w:p w14:paraId="4D31B5CB">
      <w:pPr>
        <w:adjustRightInd w:val="0"/>
        <w:snapToGrid w:val="0"/>
        <w:spacing w:line="360" w:lineRule="auto"/>
        <w:ind w:firstLine="480" w:firstLineChars="200"/>
        <w:rPr>
          <w:rFonts w:ascii="Arial Narrow" w:hAnsi="Arial Narrow" w:eastAsia="仿宋_GB2312"/>
          <w:sz w:val="24"/>
        </w:rPr>
      </w:pPr>
      <w:r>
        <w:rPr>
          <w:rFonts w:hint="eastAsia" w:ascii="Arial Narrow" w:hAnsi="Arial Narrow" w:eastAsia="仿宋_GB2312"/>
          <w:sz w:val="24"/>
        </w:rPr>
        <w:t>投入</w:t>
      </w:r>
      <w:r>
        <w:rPr>
          <w:rFonts w:ascii="Arial Narrow" w:hAnsi="Arial Narrow" w:eastAsia="仿宋_GB2312"/>
          <w:sz w:val="24"/>
        </w:rPr>
        <w:t>，即项目</w:t>
      </w:r>
      <w:r>
        <w:rPr>
          <w:rFonts w:hint="eastAsia" w:ascii="Arial Narrow" w:hAnsi="Arial Narrow" w:eastAsia="仿宋_GB2312"/>
          <w:sz w:val="24"/>
        </w:rPr>
        <w:t>前期投入</w:t>
      </w:r>
      <w:r>
        <w:rPr>
          <w:rFonts w:ascii="Arial Narrow" w:hAnsi="Arial Narrow" w:eastAsia="仿宋_GB2312"/>
          <w:sz w:val="24"/>
        </w:rPr>
        <w:t>，主要评价项目立项是否规范、</w:t>
      </w:r>
      <w:r>
        <w:rPr>
          <w:rFonts w:hint="eastAsia" w:ascii="Arial Narrow" w:hAnsi="Arial Narrow" w:eastAsia="仿宋_GB2312"/>
          <w:sz w:val="24"/>
        </w:rPr>
        <w:t>决策依据</w:t>
      </w:r>
      <w:r>
        <w:rPr>
          <w:rFonts w:ascii="Arial Narrow" w:hAnsi="Arial Narrow" w:eastAsia="仿宋_GB2312"/>
          <w:sz w:val="24"/>
        </w:rPr>
        <w:t>是否合理、是否明确，</w:t>
      </w:r>
      <w:r>
        <w:rPr>
          <w:rFonts w:hint="eastAsia" w:ascii="Arial Narrow" w:hAnsi="Arial Narrow" w:eastAsia="仿宋_GB2312"/>
          <w:sz w:val="24"/>
        </w:rPr>
        <w:t>决策程序是否合规，决策内容是否存在重大偏差，资金到位是否及时</w:t>
      </w:r>
      <w:r>
        <w:rPr>
          <w:rFonts w:ascii="Arial Narrow" w:hAnsi="Arial Narrow" w:eastAsia="仿宋_GB2312"/>
          <w:sz w:val="24"/>
        </w:rPr>
        <w:t>。</w:t>
      </w:r>
      <w:r>
        <w:rPr>
          <w:rFonts w:hint="eastAsia" w:ascii="Arial Narrow" w:hAnsi="Arial Narrow" w:eastAsia="仿宋_GB2312"/>
          <w:sz w:val="24"/>
        </w:rPr>
        <w:t>下设项目立项、决策依据、决策程序、决策内容、资金保障等5个二级指标，投入</w:t>
      </w:r>
      <w:r>
        <w:rPr>
          <w:rFonts w:ascii="Arial Narrow" w:hAnsi="Arial Narrow" w:eastAsia="仿宋_GB2312"/>
          <w:sz w:val="24"/>
        </w:rPr>
        <w:t>标准分值</w:t>
      </w:r>
      <w:r>
        <w:rPr>
          <w:rFonts w:hint="eastAsia" w:ascii="Arial Narrow" w:hAnsi="Arial Narrow" w:eastAsia="仿宋_GB2312"/>
          <w:sz w:val="24"/>
        </w:rPr>
        <w:t>20</w:t>
      </w:r>
      <w:r>
        <w:rPr>
          <w:rFonts w:ascii="Arial Narrow" w:hAnsi="Arial Narrow" w:eastAsia="仿宋_GB2312"/>
          <w:sz w:val="24"/>
        </w:rPr>
        <w:t>分。</w:t>
      </w:r>
    </w:p>
    <w:p w14:paraId="0011DEF5">
      <w:pPr>
        <w:adjustRightInd w:val="0"/>
        <w:snapToGrid w:val="0"/>
        <w:spacing w:line="360" w:lineRule="auto"/>
        <w:ind w:firstLine="480" w:firstLineChars="200"/>
        <w:rPr>
          <w:rFonts w:ascii="Arial Narrow" w:hAnsi="Arial Narrow" w:eastAsia="仿宋_GB2312"/>
          <w:sz w:val="24"/>
        </w:rPr>
      </w:pPr>
      <w:r>
        <w:rPr>
          <w:rFonts w:ascii="Arial Narrow" w:hAnsi="Arial Narrow" w:eastAsia="仿宋_GB2312"/>
          <w:sz w:val="24"/>
        </w:rPr>
        <w:t>1</w:t>
      </w:r>
      <w:r>
        <w:rPr>
          <w:rFonts w:hint="eastAsia" w:ascii="Arial Narrow" w:hAnsi="Arial Narrow" w:eastAsia="仿宋_GB2312"/>
          <w:sz w:val="24"/>
        </w:rPr>
        <w:t>.</w:t>
      </w:r>
      <w:r>
        <w:rPr>
          <w:rFonts w:ascii="Arial Narrow" w:hAnsi="Arial Narrow" w:eastAsia="仿宋_GB2312"/>
          <w:sz w:val="24"/>
        </w:rPr>
        <w:t>项目立项</w:t>
      </w:r>
    </w:p>
    <w:p w14:paraId="490A8900">
      <w:pPr>
        <w:adjustRightInd w:val="0"/>
        <w:snapToGrid w:val="0"/>
        <w:spacing w:line="360" w:lineRule="auto"/>
        <w:ind w:firstLine="480" w:firstLineChars="200"/>
        <w:rPr>
          <w:rFonts w:ascii="Arial Narrow" w:hAnsi="Arial Narrow" w:eastAsia="仿宋_GB2312"/>
          <w:sz w:val="24"/>
        </w:rPr>
      </w:pPr>
      <w:r>
        <w:rPr>
          <w:rFonts w:ascii="Arial Narrow" w:hAnsi="Arial Narrow" w:eastAsia="仿宋_GB2312"/>
          <w:sz w:val="24"/>
        </w:rPr>
        <w:t>项目立项包含</w:t>
      </w:r>
      <w:r>
        <w:rPr>
          <w:rFonts w:hint="eastAsia" w:ascii="Arial Narrow" w:hAnsi="Arial Narrow" w:eastAsia="仿宋_GB2312"/>
          <w:sz w:val="24"/>
        </w:rPr>
        <w:t>项目立项规范性1个</w:t>
      </w:r>
      <w:r>
        <w:rPr>
          <w:rFonts w:ascii="Arial Narrow" w:hAnsi="Arial Narrow" w:eastAsia="仿宋_GB2312"/>
          <w:sz w:val="24"/>
        </w:rPr>
        <w:t>三级指标，项目立项标准分值</w:t>
      </w:r>
      <w:r>
        <w:rPr>
          <w:rFonts w:hint="eastAsia" w:ascii="Arial Narrow" w:hAnsi="Arial Narrow" w:eastAsia="仿宋_GB2312"/>
          <w:sz w:val="24"/>
        </w:rPr>
        <w:t>2</w:t>
      </w:r>
      <w:r>
        <w:rPr>
          <w:rFonts w:ascii="Arial Narrow" w:hAnsi="Arial Narrow" w:eastAsia="仿宋_GB2312"/>
          <w:sz w:val="24"/>
        </w:rPr>
        <w:t>分。</w:t>
      </w:r>
    </w:p>
    <w:p w14:paraId="41B2D555">
      <w:pPr>
        <w:adjustRightInd w:val="0"/>
        <w:snapToGrid w:val="0"/>
        <w:spacing w:line="360" w:lineRule="auto"/>
        <w:ind w:firstLine="480" w:firstLineChars="200"/>
        <w:rPr>
          <w:rFonts w:ascii="Arial Narrow" w:hAnsi="Arial Narrow" w:eastAsia="仿宋_GB2312"/>
          <w:sz w:val="24"/>
        </w:rPr>
      </w:pPr>
      <w:r>
        <w:rPr>
          <w:rFonts w:ascii="Arial Narrow" w:hAnsi="Arial Narrow" w:eastAsia="仿宋_GB2312"/>
          <w:sz w:val="24"/>
        </w:rPr>
        <w:t>（1）</w:t>
      </w:r>
      <w:r>
        <w:rPr>
          <w:rFonts w:hint="eastAsia" w:ascii="Arial Narrow" w:hAnsi="Arial Narrow" w:eastAsia="仿宋_GB2312"/>
          <w:sz w:val="24"/>
        </w:rPr>
        <w:t>项目立项规范性</w:t>
      </w:r>
      <w:r>
        <w:rPr>
          <w:rFonts w:ascii="Arial Narrow" w:hAnsi="Arial Narrow" w:eastAsia="仿宋_GB2312"/>
          <w:sz w:val="24"/>
        </w:rPr>
        <w:t>（</w:t>
      </w:r>
      <w:r>
        <w:rPr>
          <w:rFonts w:hint="eastAsia" w:ascii="Arial Narrow" w:hAnsi="Arial Narrow" w:eastAsia="仿宋_GB2312"/>
          <w:sz w:val="24"/>
        </w:rPr>
        <w:t>2</w:t>
      </w:r>
      <w:r>
        <w:rPr>
          <w:rFonts w:ascii="Arial Narrow" w:hAnsi="Arial Narrow" w:eastAsia="仿宋_GB2312"/>
          <w:sz w:val="24"/>
        </w:rPr>
        <w:t>分）</w:t>
      </w:r>
    </w:p>
    <w:p w14:paraId="4576F0FF">
      <w:pPr>
        <w:adjustRightInd w:val="0"/>
        <w:snapToGrid w:val="0"/>
        <w:spacing w:line="360" w:lineRule="auto"/>
        <w:ind w:firstLine="480" w:firstLineChars="200"/>
        <w:rPr>
          <w:rFonts w:ascii="Arial Narrow" w:hAnsi="Arial Narrow" w:eastAsia="仿宋_GB2312"/>
          <w:sz w:val="24"/>
        </w:rPr>
      </w:pPr>
      <w:r>
        <w:rPr>
          <w:rFonts w:ascii="Arial Narrow" w:hAnsi="Arial Narrow" w:eastAsia="仿宋_GB2312"/>
          <w:sz w:val="24"/>
        </w:rPr>
        <w:t>项目立项规范性主要评价项目</w:t>
      </w:r>
      <w:r>
        <w:rPr>
          <w:rFonts w:hint="eastAsia" w:ascii="Arial Narrow" w:hAnsi="Arial Narrow" w:eastAsia="仿宋_GB2312"/>
          <w:sz w:val="24"/>
        </w:rPr>
        <w:t>立项是否按照规定的程序申请设立，所提交的文件、材料是否符合相关要求，事前是否已经过必要的可行性研究、专家论证、风险评估、集体决策等。</w:t>
      </w:r>
    </w:p>
    <w:p w14:paraId="30A1F275">
      <w:pPr>
        <w:adjustRightInd w:val="0"/>
        <w:snapToGrid w:val="0"/>
        <w:spacing w:line="360" w:lineRule="auto"/>
        <w:ind w:firstLine="480" w:firstLineChars="200"/>
        <w:rPr>
          <w:rFonts w:ascii="Arial Narrow" w:hAnsi="Arial Narrow" w:eastAsia="仿宋_GB2312"/>
          <w:sz w:val="24"/>
        </w:rPr>
      </w:pPr>
      <w:r>
        <w:rPr>
          <w:rFonts w:hint="eastAsia" w:ascii="Arial Narrow" w:hAnsi="Arial Narrow" w:eastAsia="仿宋_GB2312"/>
          <w:sz w:val="24"/>
        </w:rPr>
        <w:t>立项申请资料</w:t>
      </w:r>
    </w:p>
    <w:p w14:paraId="10C6EB85">
      <w:pPr>
        <w:adjustRightInd w:val="0"/>
        <w:snapToGrid w:val="0"/>
        <w:spacing w:line="360" w:lineRule="auto"/>
        <w:ind w:firstLine="480" w:firstLineChars="200"/>
        <w:rPr>
          <w:rFonts w:ascii="Arial Narrow" w:hAnsi="Arial Narrow" w:eastAsia="仿宋_GB2312"/>
          <w:sz w:val="24"/>
        </w:rPr>
      </w:pPr>
      <w:r>
        <w:rPr>
          <w:rFonts w:hint="eastAsia" w:ascii="Arial Narrow" w:hAnsi="Arial Narrow" w:eastAsia="仿宋_GB2312"/>
          <w:sz w:val="24"/>
        </w:rPr>
        <w:t>A.《重庆市铜梁区人民政府办公室关于印发2020年重庆市铜梁区人民政府工作报告确定目标任务责任分解方案的通知》(铜府办发〔2020〕1号）</w:t>
      </w:r>
    </w:p>
    <w:p w14:paraId="637DF271">
      <w:pPr>
        <w:adjustRightInd w:val="0"/>
        <w:snapToGrid w:val="0"/>
        <w:spacing w:line="360" w:lineRule="auto"/>
        <w:ind w:firstLine="480" w:firstLineChars="200"/>
        <w:rPr>
          <w:rFonts w:ascii="Arial Narrow" w:hAnsi="Arial Narrow" w:eastAsia="仿宋_GB2312"/>
          <w:sz w:val="24"/>
        </w:rPr>
      </w:pPr>
      <w:r>
        <w:rPr>
          <w:rFonts w:hint="eastAsia" w:ascii="Arial Narrow" w:hAnsi="Arial Narrow" w:eastAsia="仿宋_GB2312"/>
          <w:sz w:val="24"/>
        </w:rPr>
        <w:t>B.《重庆市铜梁区人民政府关于&lt;重庆市铜梁区城镇供水专业规划（2019-2030年）&gt;的批复》(铜府〔2019〕126号）</w:t>
      </w:r>
    </w:p>
    <w:p w14:paraId="51CA182F">
      <w:pPr>
        <w:adjustRightInd w:val="0"/>
        <w:snapToGrid w:val="0"/>
        <w:spacing w:line="360" w:lineRule="auto"/>
        <w:ind w:firstLine="480" w:firstLineChars="200"/>
        <w:rPr>
          <w:rFonts w:ascii="Arial Narrow" w:hAnsi="Arial Narrow" w:eastAsia="仿宋_GB2312"/>
          <w:sz w:val="24"/>
        </w:rPr>
      </w:pPr>
      <w:r>
        <w:rPr>
          <w:rFonts w:hint="eastAsia" w:ascii="Arial Narrow" w:hAnsi="Arial Narrow" w:eastAsia="仿宋_GB2312"/>
          <w:sz w:val="24"/>
        </w:rPr>
        <w:t>C.《重庆市铜梁区人民政府和重庆市水利投资(集团）有限公司</w:t>
      </w:r>
      <w:r>
        <w:rPr>
          <w:rFonts w:hint="eastAsia" w:ascii="Arial Narrow" w:hAnsi="Arial Narrow" w:eastAsia="仿宋_GB2312"/>
          <w:sz w:val="24"/>
          <w:lang w:eastAsia="zh-CN"/>
        </w:rPr>
        <w:t>关于</w:t>
      </w:r>
      <w:r>
        <w:rPr>
          <w:rFonts w:hint="eastAsia" w:ascii="Arial Narrow" w:hAnsi="Arial Narrow" w:eastAsia="仿宋_GB2312"/>
          <w:sz w:val="24"/>
        </w:rPr>
        <w:t>铜梁区城乡供水一体化专题会议纪要》（铜府纪要〔2019〕26号）</w:t>
      </w:r>
    </w:p>
    <w:p w14:paraId="5F4209B3">
      <w:pPr>
        <w:adjustRightInd w:val="0"/>
        <w:snapToGrid w:val="0"/>
        <w:spacing w:line="360" w:lineRule="auto"/>
        <w:ind w:firstLine="480" w:firstLineChars="200"/>
        <w:rPr>
          <w:rFonts w:ascii="Arial Narrow" w:hAnsi="Arial Narrow" w:eastAsia="仿宋_GB2312"/>
          <w:sz w:val="24"/>
        </w:rPr>
      </w:pPr>
      <w:r>
        <w:rPr>
          <w:rFonts w:hint="eastAsia" w:ascii="Arial Narrow" w:hAnsi="Arial Narrow" w:eastAsia="仿宋_GB2312"/>
          <w:sz w:val="24"/>
        </w:rPr>
        <w:t>D.拟立项项目“四性”符合情况内审表</w:t>
      </w:r>
    </w:p>
    <w:p w14:paraId="380F1FB4">
      <w:pPr>
        <w:adjustRightInd w:val="0"/>
        <w:snapToGrid w:val="0"/>
        <w:spacing w:line="360" w:lineRule="auto"/>
        <w:ind w:firstLine="480" w:firstLineChars="200"/>
        <w:rPr>
          <w:rFonts w:ascii="Arial Narrow" w:hAnsi="Arial Narrow" w:eastAsia="仿宋_GB2312"/>
          <w:sz w:val="24"/>
        </w:rPr>
      </w:pPr>
      <w:r>
        <w:rPr>
          <w:rFonts w:hint="eastAsia" w:ascii="Arial Narrow" w:hAnsi="Arial Narrow" w:eastAsia="仿宋_GB2312"/>
          <w:sz w:val="24"/>
        </w:rPr>
        <w:t>E.前期工作任务书</w:t>
      </w:r>
    </w:p>
    <w:p w14:paraId="4ECCB35B">
      <w:pPr>
        <w:adjustRightInd w:val="0"/>
        <w:snapToGrid w:val="0"/>
        <w:spacing w:line="360" w:lineRule="auto"/>
        <w:ind w:firstLine="480" w:firstLineChars="200"/>
        <w:rPr>
          <w:rFonts w:ascii="Arial Narrow" w:hAnsi="Arial Narrow" w:eastAsia="仿宋_GB2312"/>
          <w:sz w:val="24"/>
        </w:rPr>
      </w:pPr>
      <w:r>
        <w:rPr>
          <w:rFonts w:hint="eastAsia" w:ascii="Arial Narrow" w:hAnsi="Arial Narrow" w:eastAsia="仿宋_GB2312"/>
          <w:sz w:val="24"/>
        </w:rPr>
        <w:t>立项程序完整合规，提交</w:t>
      </w:r>
      <w:r>
        <w:rPr>
          <w:rFonts w:hint="eastAsia" w:ascii="Arial Narrow" w:hAnsi="Arial Narrow" w:eastAsia="仿宋_GB2312"/>
          <w:sz w:val="24"/>
          <w:lang w:eastAsia="zh-CN"/>
        </w:rPr>
        <w:t>的</w:t>
      </w:r>
      <w:r>
        <w:rPr>
          <w:rFonts w:hint="eastAsia" w:ascii="Arial Narrow" w:hAnsi="Arial Narrow" w:eastAsia="仿宋_GB2312"/>
          <w:sz w:val="24"/>
        </w:rPr>
        <w:t>文件材料符合要求，经过总经理办公会、支委会等集体决策，得2分。</w:t>
      </w:r>
    </w:p>
    <w:p w14:paraId="09F80CD0">
      <w:pPr>
        <w:adjustRightInd w:val="0"/>
        <w:snapToGrid w:val="0"/>
        <w:spacing w:line="360" w:lineRule="auto"/>
        <w:ind w:firstLine="480" w:firstLineChars="200"/>
        <w:rPr>
          <w:rFonts w:ascii="Arial Narrow" w:hAnsi="Arial Narrow" w:eastAsia="仿宋_GB2312"/>
          <w:sz w:val="24"/>
        </w:rPr>
      </w:pPr>
      <w:r>
        <w:rPr>
          <w:rFonts w:hint="eastAsia" w:ascii="Arial Narrow" w:hAnsi="Arial Narrow" w:eastAsia="仿宋_GB2312"/>
          <w:sz w:val="24"/>
        </w:rPr>
        <w:t>项目立项得分2分，标准分值2分。</w:t>
      </w:r>
    </w:p>
    <w:p w14:paraId="22BDDC59">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2.决策依据</w:t>
      </w:r>
    </w:p>
    <w:p w14:paraId="7F3FEF5F">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决策依据</w:t>
      </w:r>
      <w:r>
        <w:rPr>
          <w:rFonts w:ascii="Arial Narrow" w:hAnsi="Arial Narrow" w:eastAsia="仿宋_GB2312"/>
          <w:sz w:val="24"/>
        </w:rPr>
        <w:t>包含</w:t>
      </w:r>
      <w:r>
        <w:rPr>
          <w:rFonts w:hint="eastAsia" w:ascii="Arial Narrow" w:hAnsi="Arial Narrow" w:eastAsia="仿宋_GB2312"/>
          <w:sz w:val="24"/>
        </w:rPr>
        <w:t>国家政策、市场发展、指标明确性等3个三级指标，</w:t>
      </w:r>
      <w:r>
        <w:rPr>
          <w:rStyle w:val="10"/>
          <w:rFonts w:hint="eastAsia" w:ascii="Arial Narrow" w:hAnsi="Arial Narrow" w:eastAsia="仿宋_GB2312"/>
          <w:color w:val="auto"/>
          <w:sz w:val="24"/>
          <w:u w:val="none"/>
        </w:rPr>
        <w:t>决策依据标准分值6</w:t>
      </w:r>
      <w:r>
        <w:rPr>
          <w:rStyle w:val="10"/>
          <w:rFonts w:ascii="Arial Narrow" w:hAnsi="Arial Narrow" w:eastAsia="仿宋_GB2312"/>
          <w:color w:val="auto"/>
          <w:sz w:val="24"/>
          <w:u w:val="none"/>
        </w:rPr>
        <w:t>分</w:t>
      </w:r>
      <w:r>
        <w:rPr>
          <w:rStyle w:val="10"/>
          <w:rFonts w:hint="eastAsia" w:ascii="Arial Narrow" w:hAnsi="Arial Narrow" w:eastAsia="仿宋_GB2312"/>
          <w:color w:val="auto"/>
          <w:sz w:val="24"/>
          <w:u w:val="none"/>
        </w:rPr>
        <w:t>。</w:t>
      </w:r>
    </w:p>
    <w:p w14:paraId="708CCAC6">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（1）国家政策（2分）</w:t>
      </w:r>
    </w:p>
    <w:p w14:paraId="5DF1D15B">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国家政策主要评价决策是否符合国家政策。</w:t>
      </w:r>
    </w:p>
    <w:p w14:paraId="44D05B03">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w:t>
      </w:r>
      <w:r>
        <w:rPr>
          <w:rFonts w:hint="eastAsia" w:ascii="Arial Narrow" w:hAnsi="Arial Narrow" w:eastAsia="仿宋_GB2312"/>
          <w:sz w:val="24"/>
        </w:rPr>
        <w:t>铜梁区太平水厂工程（一期）</w:t>
      </w:r>
      <w:r>
        <w:rPr>
          <w:rStyle w:val="10"/>
          <w:rFonts w:hint="eastAsia" w:ascii="Arial Narrow" w:hAnsi="Arial Narrow" w:eastAsia="仿宋_GB2312"/>
          <w:color w:val="auto"/>
          <w:sz w:val="24"/>
          <w:u w:val="none"/>
        </w:rPr>
        <w:t>”项目在《重庆市铜梁区城镇供水专业规划（2019-2030年）》内，建设水厂属于国家支持项目，得2分。</w:t>
      </w:r>
    </w:p>
    <w:p w14:paraId="3FA87367">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（2）市场发展（2分）</w:t>
      </w:r>
    </w:p>
    <w:p w14:paraId="1232DCDC">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市场发展主要评价项目建议书、可行性研究报告等，是否对行业政策调查、资源状况调查、市场状况、经济效益、社会效益、环境效益等进行分析。</w:t>
      </w:r>
    </w:p>
    <w:p w14:paraId="21A60A07">
      <w:pPr>
        <w:numPr>
          <w:ilvl w:val="0"/>
          <w:numId w:val="2"/>
        </w:num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行业政策调查分析。</w:t>
      </w:r>
      <w:r>
        <w:rPr>
          <w:rStyle w:val="10"/>
          <w:rFonts w:ascii="Arial Narrow" w:hAnsi="Arial Narrow" w:eastAsia="仿宋_GB2312"/>
          <w:color w:val="auto"/>
          <w:sz w:val="24"/>
          <w:u w:val="none"/>
        </w:rPr>
        <w:t>可行性研究报告</w:t>
      </w:r>
      <w:r>
        <w:rPr>
          <w:rStyle w:val="10"/>
          <w:rFonts w:hint="eastAsia" w:ascii="Arial Narrow" w:hAnsi="Arial Narrow" w:eastAsia="仿宋_GB2312"/>
          <w:color w:val="auto"/>
          <w:sz w:val="24"/>
          <w:u w:val="none"/>
        </w:rPr>
        <w:t>编制依据包括《重庆市城乡总体规划（2007-2020年）》、《重庆市铜梁区城乡总体规划(2014)》、《重庆市铜梁区分散式供水工程管理办法》、《重庆市铜梁区城镇供水专业规划》、《重庆市渝西水资源配置工程总体方案》、《铜梁区城乡一体化水质达标解决方案》等。</w:t>
      </w:r>
    </w:p>
    <w:p w14:paraId="40F541C7">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B.资源状况调查分析。</w:t>
      </w:r>
      <w:r>
        <w:rPr>
          <w:rStyle w:val="10"/>
          <w:rFonts w:ascii="Arial Narrow" w:hAnsi="Arial Narrow" w:eastAsia="仿宋_GB2312"/>
          <w:color w:val="auto"/>
          <w:sz w:val="24"/>
          <w:u w:val="none"/>
        </w:rPr>
        <w:t>可行性研究报告</w:t>
      </w:r>
      <w:r>
        <w:rPr>
          <w:rStyle w:val="10"/>
          <w:rFonts w:hint="eastAsia" w:ascii="Arial Narrow" w:hAnsi="Arial Narrow" w:eastAsia="仿宋_GB2312"/>
          <w:color w:val="auto"/>
          <w:sz w:val="24"/>
          <w:u w:val="none"/>
        </w:rPr>
        <w:t>资源状况调查分析包括</w:t>
      </w:r>
      <w:r>
        <w:rPr>
          <w:rStyle w:val="10"/>
          <w:rFonts w:ascii="Arial Narrow" w:hAnsi="Arial Narrow" w:eastAsia="仿宋_GB2312"/>
          <w:color w:val="auto"/>
          <w:sz w:val="24"/>
          <w:u w:val="none"/>
        </w:rPr>
        <w:t>地理位置</w:t>
      </w:r>
      <w:r>
        <w:rPr>
          <w:rStyle w:val="10"/>
          <w:rFonts w:hint="eastAsia" w:ascii="Arial Narrow" w:hAnsi="Arial Narrow" w:eastAsia="仿宋_GB2312"/>
          <w:color w:val="auto"/>
          <w:sz w:val="24"/>
          <w:u w:val="none"/>
        </w:rPr>
        <w:t>、</w:t>
      </w:r>
      <w:r>
        <w:rPr>
          <w:rStyle w:val="10"/>
          <w:rFonts w:ascii="Arial Narrow" w:hAnsi="Arial Narrow" w:eastAsia="仿宋_GB2312"/>
          <w:color w:val="auto"/>
          <w:sz w:val="24"/>
          <w:u w:val="none"/>
        </w:rPr>
        <w:t>地形地</w:t>
      </w:r>
      <w:r>
        <w:rPr>
          <w:rStyle w:val="10"/>
          <w:rFonts w:hint="eastAsia" w:ascii="Arial Narrow" w:hAnsi="Arial Narrow" w:eastAsia="仿宋_GB2312"/>
          <w:color w:val="auto"/>
          <w:sz w:val="24"/>
          <w:u w:val="none"/>
          <w:lang w:eastAsia="zh-CN"/>
        </w:rPr>
        <w:t>貌条</w:t>
      </w:r>
      <w:r>
        <w:rPr>
          <w:rStyle w:val="10"/>
          <w:rFonts w:ascii="Arial Narrow" w:hAnsi="Arial Narrow" w:eastAsia="仿宋_GB2312"/>
          <w:color w:val="auto"/>
          <w:sz w:val="24"/>
          <w:u w:val="none"/>
        </w:rPr>
        <w:t>件</w:t>
      </w:r>
      <w:r>
        <w:rPr>
          <w:rStyle w:val="10"/>
          <w:rFonts w:hint="eastAsia" w:ascii="Arial Narrow" w:hAnsi="Arial Narrow" w:eastAsia="仿宋_GB2312"/>
          <w:color w:val="auto"/>
          <w:sz w:val="24"/>
          <w:u w:val="none"/>
        </w:rPr>
        <w:t>、</w:t>
      </w:r>
      <w:r>
        <w:rPr>
          <w:rStyle w:val="10"/>
          <w:rFonts w:ascii="Arial Narrow" w:hAnsi="Arial Narrow" w:eastAsia="仿宋_GB2312"/>
          <w:color w:val="auto"/>
          <w:sz w:val="24"/>
          <w:u w:val="none"/>
        </w:rPr>
        <w:t>水系水文</w:t>
      </w:r>
      <w:r>
        <w:rPr>
          <w:rStyle w:val="10"/>
          <w:rFonts w:hint="eastAsia" w:ascii="Arial Narrow" w:hAnsi="Arial Narrow" w:eastAsia="仿宋_GB2312"/>
          <w:color w:val="auto"/>
          <w:sz w:val="24"/>
          <w:u w:val="none"/>
        </w:rPr>
        <w:t>、</w:t>
      </w:r>
      <w:r>
        <w:rPr>
          <w:rStyle w:val="10"/>
          <w:rFonts w:ascii="Arial Narrow" w:hAnsi="Arial Narrow" w:eastAsia="仿宋_GB2312"/>
          <w:color w:val="auto"/>
          <w:sz w:val="24"/>
          <w:u w:val="none"/>
        </w:rPr>
        <w:t>气象气候</w:t>
      </w:r>
      <w:r>
        <w:rPr>
          <w:rStyle w:val="10"/>
          <w:rFonts w:hint="eastAsia" w:ascii="Arial Narrow" w:hAnsi="Arial Narrow" w:eastAsia="仿宋_GB2312"/>
          <w:color w:val="auto"/>
          <w:sz w:val="24"/>
          <w:u w:val="none"/>
        </w:rPr>
        <w:t>、</w:t>
      </w:r>
      <w:r>
        <w:rPr>
          <w:rStyle w:val="10"/>
          <w:rFonts w:ascii="Arial Narrow" w:hAnsi="Arial Narrow" w:eastAsia="仿宋_GB2312"/>
          <w:color w:val="auto"/>
          <w:sz w:val="24"/>
          <w:u w:val="none"/>
        </w:rPr>
        <w:t>自然资源</w:t>
      </w:r>
      <w:r>
        <w:rPr>
          <w:rStyle w:val="10"/>
          <w:rFonts w:hint="eastAsia" w:ascii="Arial Narrow" w:hAnsi="Arial Narrow" w:eastAsia="仿宋_GB2312"/>
          <w:color w:val="auto"/>
          <w:sz w:val="24"/>
          <w:u w:val="none"/>
        </w:rPr>
        <w:t>等。</w:t>
      </w:r>
    </w:p>
    <w:p w14:paraId="66C8B31F">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C.市场状况分析、经济效益分析。</w:t>
      </w:r>
      <w:r>
        <w:rPr>
          <w:rStyle w:val="10"/>
          <w:rFonts w:ascii="Arial Narrow" w:hAnsi="Arial Narrow" w:eastAsia="仿宋_GB2312"/>
          <w:color w:val="auto"/>
          <w:sz w:val="24"/>
          <w:u w:val="none"/>
        </w:rPr>
        <w:t>可行性研究报告</w:t>
      </w:r>
      <w:r>
        <w:rPr>
          <w:rStyle w:val="10"/>
          <w:rFonts w:hint="eastAsia" w:ascii="Arial Narrow" w:hAnsi="Arial Narrow" w:eastAsia="仿宋_GB2312"/>
          <w:color w:val="auto"/>
          <w:sz w:val="24"/>
          <w:u w:val="none"/>
        </w:rPr>
        <w:t>市场状况、经济效益分析</w:t>
      </w:r>
      <w:r>
        <w:rPr>
          <w:rStyle w:val="10"/>
          <w:rFonts w:ascii="Arial Narrow" w:hAnsi="Arial Narrow" w:eastAsia="仿宋_GB2312"/>
          <w:color w:val="auto"/>
          <w:sz w:val="24"/>
          <w:u w:val="none"/>
        </w:rPr>
        <w:t>社会经济发展状况</w:t>
      </w:r>
      <w:r>
        <w:rPr>
          <w:rStyle w:val="10"/>
          <w:rFonts w:hint="eastAsia" w:ascii="Arial Narrow" w:hAnsi="Arial Narrow" w:eastAsia="仿宋_GB2312"/>
          <w:color w:val="auto"/>
          <w:sz w:val="24"/>
          <w:u w:val="none"/>
        </w:rPr>
        <w:t>、供水现状等。</w:t>
      </w:r>
    </w:p>
    <w:p w14:paraId="1C80D99B">
      <w:pPr>
        <w:adjustRightInd w:val="0"/>
        <w:snapToGrid w:val="0"/>
        <w:spacing w:line="360" w:lineRule="auto"/>
        <w:ind w:firstLine="480" w:firstLineChars="200"/>
        <w:rPr>
          <w:rStyle w:val="10"/>
          <w:rFonts w:ascii="Arial Narrow" w:hAnsi="Arial Narrow"/>
          <w:color w:val="auto"/>
          <w:sz w:val="24"/>
          <w:u w:val="none"/>
        </w:rPr>
      </w:pPr>
      <w:r>
        <w:rPr>
          <w:rStyle w:val="10"/>
          <w:rFonts w:hint="eastAsia" w:ascii="Arial Narrow" w:hAnsi="Arial Narrow" w:eastAsia="仿宋_GB2312"/>
          <w:color w:val="auto"/>
          <w:sz w:val="24"/>
          <w:u w:val="none"/>
        </w:rPr>
        <w:t>D.社会效益、环境效益分析。社会效益、环境效益分析包括利润总额及分配、财务盈利能力分析、合理性分析等</w:t>
      </w:r>
    </w:p>
    <w:p w14:paraId="32507146">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ascii="Arial Narrow" w:hAnsi="Arial Narrow" w:eastAsia="仿宋_GB2312"/>
          <w:color w:val="auto"/>
          <w:sz w:val="24"/>
          <w:u w:val="none"/>
        </w:rPr>
        <w:t>可行性研究报告和项目建议书已体现对行业政策调查、资源状况调查、市场状况、经济效益、社会效益、环境效益的分析，结论可行，得2分。</w:t>
      </w:r>
    </w:p>
    <w:p w14:paraId="5823972B">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（3）指标明确性（2分）</w:t>
      </w:r>
    </w:p>
    <w:p w14:paraId="2DC7895D">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指标明确性主要评价项目建议书、可行性研究报告、实施方案等内容目标设定的效益指标是否清晰、细化、可衡量。</w:t>
      </w:r>
    </w:p>
    <w:p w14:paraId="7B55C4C7">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ascii="Arial Narrow" w:hAnsi="Arial Narrow" w:eastAsia="仿宋_GB2312"/>
          <w:color w:val="auto"/>
          <w:sz w:val="24"/>
          <w:u w:val="none"/>
        </w:rPr>
        <w:t>项目建议书、可行性研究报告、实施方案等已将效益目标通过清晰、可衡量的指标予以体现，得2分。</w:t>
      </w:r>
    </w:p>
    <w:p w14:paraId="47EB6AA5">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决策依据得分6分，标准分值6分。</w:t>
      </w:r>
    </w:p>
    <w:p w14:paraId="3C4CB772">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3.决策程序</w:t>
      </w:r>
    </w:p>
    <w:p w14:paraId="3361382F">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决策程序</w:t>
      </w:r>
      <w:r>
        <w:rPr>
          <w:rFonts w:ascii="Arial Narrow" w:hAnsi="Arial Narrow" w:eastAsia="仿宋_GB2312"/>
          <w:sz w:val="24"/>
        </w:rPr>
        <w:t>包含</w:t>
      </w:r>
      <w:r>
        <w:rPr>
          <w:rFonts w:hint="eastAsia" w:ascii="Arial Narrow" w:hAnsi="Arial Narrow" w:eastAsia="仿宋_GB2312"/>
          <w:sz w:val="24"/>
        </w:rPr>
        <w:t>决策程序合规性1个三级指标，</w:t>
      </w:r>
      <w:r>
        <w:rPr>
          <w:rStyle w:val="10"/>
          <w:rFonts w:hint="eastAsia" w:ascii="Arial Narrow" w:hAnsi="Arial Narrow" w:eastAsia="仿宋_GB2312"/>
          <w:color w:val="auto"/>
          <w:sz w:val="24"/>
          <w:u w:val="none"/>
        </w:rPr>
        <w:t>决策依据标准分值6</w:t>
      </w:r>
      <w:r>
        <w:rPr>
          <w:rStyle w:val="10"/>
          <w:rFonts w:ascii="Arial Narrow" w:hAnsi="Arial Narrow" w:eastAsia="仿宋_GB2312"/>
          <w:color w:val="auto"/>
          <w:sz w:val="24"/>
          <w:u w:val="none"/>
        </w:rPr>
        <w:t>分</w:t>
      </w:r>
      <w:r>
        <w:rPr>
          <w:rStyle w:val="10"/>
          <w:rFonts w:hint="eastAsia" w:ascii="Arial Narrow" w:hAnsi="Arial Narrow" w:eastAsia="仿宋_GB2312"/>
          <w:color w:val="auto"/>
          <w:sz w:val="24"/>
          <w:u w:val="none"/>
        </w:rPr>
        <w:t>。</w:t>
      </w:r>
    </w:p>
    <w:p w14:paraId="19D42F27">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（1）</w:t>
      </w:r>
      <w:r>
        <w:rPr>
          <w:rStyle w:val="10"/>
          <w:rFonts w:ascii="Arial Narrow" w:hAnsi="Arial Narrow" w:eastAsia="仿宋_GB2312"/>
          <w:color w:val="auto"/>
          <w:sz w:val="24"/>
          <w:u w:val="none"/>
        </w:rPr>
        <w:t>决策程序合规性</w:t>
      </w:r>
      <w:r>
        <w:rPr>
          <w:rStyle w:val="10"/>
          <w:rFonts w:hint="eastAsia" w:ascii="Arial Narrow" w:hAnsi="Arial Narrow" w:eastAsia="仿宋_GB2312"/>
          <w:color w:val="auto"/>
          <w:sz w:val="24"/>
          <w:u w:val="none"/>
        </w:rPr>
        <w:t>（6分）</w:t>
      </w:r>
    </w:p>
    <w:p w14:paraId="626DA477">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ascii="Arial Narrow" w:hAnsi="Arial Narrow" w:eastAsia="仿宋_GB2312"/>
          <w:color w:val="auto"/>
          <w:sz w:val="24"/>
          <w:u w:val="none"/>
        </w:rPr>
        <w:t>决策程序合规性</w:t>
      </w:r>
      <w:r>
        <w:rPr>
          <w:rStyle w:val="10"/>
          <w:rFonts w:hint="eastAsia" w:ascii="Arial Narrow" w:hAnsi="Arial Narrow" w:eastAsia="仿宋_GB2312"/>
          <w:color w:val="auto"/>
          <w:sz w:val="24"/>
          <w:u w:val="none"/>
        </w:rPr>
        <w:t>主要评价是否按单位内部决策流程进行决策；项目立项、可研、实施方案等是否得到有关单位批复。</w:t>
      </w:r>
    </w:p>
    <w:p w14:paraId="6F16B45A">
      <w:pPr>
        <w:adjustRightInd w:val="0"/>
        <w:snapToGrid w:val="0"/>
        <w:spacing w:line="360" w:lineRule="auto"/>
        <w:ind w:firstLine="480" w:firstLineChars="200"/>
        <w:rPr>
          <w:rFonts w:ascii="Arial Narrow" w:hAnsi="Arial Narrow" w:eastAsia="仿宋_GB2312"/>
          <w:sz w:val="24"/>
        </w:rPr>
      </w:pPr>
      <w:r>
        <w:rPr>
          <w:rFonts w:hint="eastAsia" w:ascii="Arial Narrow" w:hAnsi="Arial Narrow" w:eastAsia="仿宋_GB2312"/>
          <w:sz w:val="24"/>
        </w:rPr>
        <w:t>立项程序相关批复</w:t>
      </w:r>
    </w:p>
    <w:p w14:paraId="77E624CF">
      <w:pPr>
        <w:pStyle w:val="13"/>
        <w:spacing w:line="360" w:lineRule="auto"/>
        <w:ind w:firstLine="480" w:firstLineChars="200"/>
        <w:jc w:val="both"/>
        <w:rPr>
          <w:rFonts w:ascii="Arial Narrow" w:hAnsi="Arial Narrow" w:eastAsia="仿宋_GB2312" w:cs="Times New Roman"/>
          <w:color w:val="auto"/>
          <w:kern w:val="2"/>
        </w:rPr>
      </w:pPr>
      <w:r>
        <w:rPr>
          <w:rFonts w:hint="eastAsia" w:ascii="Arial Narrow" w:hAnsi="Arial Narrow" w:eastAsia="仿宋_GB2312" w:cs="Times New Roman"/>
          <w:color w:val="auto"/>
          <w:kern w:val="2"/>
        </w:rPr>
        <w:t>A.2020年8月3日，取得</w:t>
      </w:r>
      <w:r>
        <w:rPr>
          <w:rFonts w:hint="eastAsia" w:ascii="Arial Narrow" w:hAnsi="Arial Narrow" w:eastAsia="仿宋_GB2312"/>
          <w:color w:val="auto"/>
        </w:rPr>
        <w:t>重庆市水利投资（集团）有限公司</w:t>
      </w:r>
      <w:r>
        <w:rPr>
          <w:rFonts w:hint="eastAsia" w:ascii="Arial Narrow" w:hAnsi="Arial Narrow" w:eastAsia="仿宋_GB2312" w:cs="Times New Roman"/>
          <w:color w:val="auto"/>
          <w:kern w:val="2"/>
        </w:rPr>
        <w:t>《关于铜梁区太平水厂工程（一期）立项的批复》（渝水投复〔2020〕203号）；</w:t>
      </w:r>
    </w:p>
    <w:p w14:paraId="16BC8DFB">
      <w:pPr>
        <w:pStyle w:val="13"/>
        <w:spacing w:line="360" w:lineRule="auto"/>
        <w:ind w:firstLine="480" w:firstLineChars="200"/>
        <w:jc w:val="both"/>
        <w:rPr>
          <w:rFonts w:ascii="Arial Narrow" w:hAnsi="Arial Narrow" w:eastAsia="仿宋_GB2312" w:cs="Times New Roman"/>
          <w:color w:val="auto"/>
          <w:kern w:val="2"/>
        </w:rPr>
      </w:pPr>
      <w:r>
        <w:rPr>
          <w:rFonts w:hint="eastAsia" w:ascii="Arial Narrow" w:hAnsi="Arial Narrow" w:eastAsia="仿宋_GB2312" w:cs="Times New Roman"/>
          <w:color w:val="auto"/>
          <w:kern w:val="2"/>
        </w:rPr>
        <w:t>B.2021年4月29日，取得铜梁区发改委《关于铜梁区太平水厂工程（一期）立项的批复》（铜发改委审〔2021〕195号）；</w:t>
      </w:r>
    </w:p>
    <w:p w14:paraId="3EF4BC50">
      <w:pPr>
        <w:pStyle w:val="13"/>
        <w:spacing w:line="360" w:lineRule="auto"/>
        <w:ind w:firstLine="480" w:firstLineChars="200"/>
        <w:jc w:val="both"/>
        <w:rPr>
          <w:rFonts w:ascii="Arial Narrow" w:hAnsi="Arial Narrow" w:eastAsia="仿宋_GB2312" w:cs="Times New Roman"/>
          <w:color w:val="auto"/>
          <w:kern w:val="2"/>
        </w:rPr>
      </w:pPr>
      <w:r>
        <w:rPr>
          <w:rFonts w:hint="eastAsia" w:ascii="Arial Narrow" w:hAnsi="Arial Narrow" w:eastAsia="仿宋_GB2312" w:cs="Times New Roman"/>
          <w:color w:val="auto"/>
          <w:kern w:val="2"/>
        </w:rPr>
        <w:t>C.2021年8月25日，取得</w:t>
      </w:r>
      <w:r>
        <w:rPr>
          <w:rFonts w:hint="eastAsia" w:ascii="Arial Narrow" w:hAnsi="Arial Narrow" w:eastAsia="仿宋_GB2312"/>
          <w:color w:val="auto"/>
        </w:rPr>
        <w:t>重庆市水利投资（集团）有限公司</w:t>
      </w:r>
      <w:r>
        <w:rPr>
          <w:rFonts w:hint="eastAsia" w:ascii="Arial Narrow" w:hAnsi="Arial Narrow" w:eastAsia="仿宋_GB2312" w:cs="Times New Roman"/>
          <w:color w:val="auto"/>
          <w:kern w:val="2"/>
        </w:rPr>
        <w:t>《铜梁区太平水厂工程（一期）可行性研究报告审查意见单》；</w:t>
      </w:r>
    </w:p>
    <w:p w14:paraId="51A18A0D">
      <w:pPr>
        <w:pStyle w:val="13"/>
        <w:spacing w:line="360" w:lineRule="auto"/>
        <w:ind w:firstLine="480" w:firstLineChars="200"/>
        <w:jc w:val="both"/>
        <w:rPr>
          <w:rFonts w:ascii="Arial Narrow" w:hAnsi="Arial Narrow" w:eastAsia="仿宋_GB2312" w:cs="Times New Roman"/>
          <w:color w:val="auto"/>
          <w:kern w:val="2"/>
        </w:rPr>
      </w:pPr>
      <w:r>
        <w:rPr>
          <w:rFonts w:hint="eastAsia" w:ascii="Arial Narrow" w:hAnsi="Arial Narrow" w:eastAsia="仿宋_GB2312" w:cs="Times New Roman"/>
          <w:color w:val="auto"/>
          <w:kern w:val="2"/>
        </w:rPr>
        <w:t>D.2021年9月1日，取得铜梁区发改委《关于铜梁区太平水厂工程（一期）可行性研究报告的批复》（铜发改委审〔2021〕460号）；</w:t>
      </w:r>
    </w:p>
    <w:p w14:paraId="40BC76BE">
      <w:pPr>
        <w:pStyle w:val="13"/>
        <w:spacing w:line="360" w:lineRule="auto"/>
        <w:ind w:firstLine="480" w:firstLineChars="200"/>
        <w:jc w:val="both"/>
        <w:rPr>
          <w:rFonts w:ascii="Arial Narrow" w:hAnsi="Arial Narrow" w:eastAsia="仿宋_GB2312" w:cs="Times New Roman"/>
          <w:color w:val="auto"/>
          <w:kern w:val="2"/>
        </w:rPr>
      </w:pPr>
      <w:r>
        <w:rPr>
          <w:rFonts w:hint="eastAsia" w:ascii="Arial Narrow" w:hAnsi="Arial Narrow" w:eastAsia="仿宋_GB2312" w:cs="Times New Roman"/>
          <w:color w:val="auto"/>
          <w:kern w:val="2"/>
        </w:rPr>
        <w:t>E.2021年11月22日，取得</w:t>
      </w:r>
      <w:r>
        <w:rPr>
          <w:rFonts w:hint="eastAsia" w:ascii="Arial Narrow" w:hAnsi="Arial Narrow" w:eastAsia="仿宋_GB2312"/>
          <w:color w:val="auto"/>
        </w:rPr>
        <w:t>重庆市水利投资（集团）有限公司</w:t>
      </w:r>
      <w:r>
        <w:rPr>
          <w:rFonts w:hint="eastAsia" w:ascii="Arial Narrow" w:hAnsi="Arial Narrow" w:eastAsia="仿宋_GB2312" w:cs="Times New Roman"/>
          <w:color w:val="auto"/>
          <w:kern w:val="2"/>
        </w:rPr>
        <w:t>《铜梁区太平水厂工程（一期）初步设计报告审查意见单》；</w:t>
      </w:r>
    </w:p>
    <w:p w14:paraId="76E94655">
      <w:pPr>
        <w:pStyle w:val="13"/>
        <w:spacing w:line="360" w:lineRule="auto"/>
        <w:ind w:firstLine="480" w:firstLineChars="200"/>
        <w:jc w:val="both"/>
        <w:rPr>
          <w:rFonts w:ascii="Arial Narrow" w:hAnsi="Arial Narrow" w:eastAsia="仿宋_GB2312" w:cs="Times New Roman"/>
          <w:color w:val="auto"/>
          <w:kern w:val="2"/>
        </w:rPr>
      </w:pPr>
      <w:r>
        <w:rPr>
          <w:rFonts w:hint="eastAsia" w:ascii="Arial Narrow" w:hAnsi="Arial Narrow" w:eastAsia="仿宋_GB2312" w:cs="Times New Roman"/>
          <w:color w:val="auto"/>
          <w:kern w:val="2"/>
        </w:rPr>
        <w:t>F.2021年11月24日，取得铜梁区建委《关于铜梁区太平水厂工程（一期）初步设计报告的批复》（铜发改委审〔2021〕203号）；</w:t>
      </w:r>
    </w:p>
    <w:p w14:paraId="680766CC">
      <w:pPr>
        <w:pStyle w:val="13"/>
        <w:spacing w:line="360" w:lineRule="auto"/>
        <w:ind w:firstLine="480" w:firstLineChars="200"/>
        <w:jc w:val="both"/>
        <w:rPr>
          <w:rFonts w:ascii="Arial Narrow" w:hAnsi="Arial Narrow" w:eastAsia="仿宋_GB2312" w:cs="Times New Roman"/>
          <w:color w:val="auto"/>
          <w:kern w:val="2"/>
        </w:rPr>
      </w:pPr>
      <w:r>
        <w:rPr>
          <w:rFonts w:hint="eastAsia" w:ascii="Arial Narrow" w:hAnsi="Arial Narrow" w:eastAsia="仿宋_GB2312" w:cs="Times New Roman"/>
          <w:color w:val="auto"/>
          <w:kern w:val="2"/>
        </w:rPr>
        <w:t>G.2021年12月2日，取得铜梁区发改委《关于铜梁区太平水厂工程（一期）投资概算的批复》（铜发改委审〔2021〕590号）；</w:t>
      </w:r>
    </w:p>
    <w:p w14:paraId="08EC8A2E">
      <w:pPr>
        <w:adjustRightInd w:val="0"/>
        <w:snapToGrid w:val="0"/>
        <w:spacing w:line="360" w:lineRule="auto"/>
        <w:ind w:firstLine="480" w:firstLineChars="200"/>
        <w:rPr>
          <w:rFonts w:ascii="Arial Narrow" w:hAnsi="Arial Narrow" w:eastAsia="仿宋_GB2312"/>
          <w:sz w:val="24"/>
        </w:rPr>
      </w:pPr>
      <w:r>
        <w:rPr>
          <w:rFonts w:hint="eastAsia" w:ascii="Arial Narrow" w:hAnsi="Arial Narrow" w:eastAsia="仿宋_GB2312"/>
          <w:sz w:val="24"/>
        </w:rPr>
        <w:t>H.2021年12月25日，取得</w:t>
      </w:r>
      <w:r>
        <w:rPr>
          <w:rFonts w:hint="eastAsia" w:ascii="Arial Narrow" w:hAnsi="Arial Narrow" w:eastAsia="仿宋_GB2312"/>
          <w:color w:val="auto"/>
          <w:sz w:val="24"/>
          <w:szCs w:val="24"/>
        </w:rPr>
        <w:t>重庆市水利投资（集团）有限公司</w:t>
      </w:r>
      <w:r>
        <w:rPr>
          <w:rFonts w:hint="eastAsia" w:ascii="Arial Narrow" w:hAnsi="Arial Narrow" w:eastAsia="仿宋_GB2312"/>
          <w:sz w:val="24"/>
        </w:rPr>
        <w:t>投资决议（渝水投复〔2021〕217号）。</w:t>
      </w:r>
    </w:p>
    <w:p w14:paraId="58AF2BBB">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决策程序合规，得6分。</w:t>
      </w:r>
    </w:p>
    <w:p w14:paraId="15D6EC8A">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决策程序得分6分，标准分值6分。</w:t>
      </w:r>
    </w:p>
    <w:p w14:paraId="7F102234">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4.决策内容</w:t>
      </w:r>
    </w:p>
    <w:p w14:paraId="030BB6CB">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决策内容</w:t>
      </w:r>
      <w:r>
        <w:rPr>
          <w:rFonts w:ascii="Arial Narrow" w:hAnsi="Arial Narrow" w:eastAsia="仿宋_GB2312"/>
          <w:sz w:val="24"/>
        </w:rPr>
        <w:t>包含</w:t>
      </w:r>
      <w:r>
        <w:rPr>
          <w:rFonts w:hint="eastAsia" w:ascii="Arial Narrow" w:hAnsi="Arial Narrow" w:eastAsia="仿宋_GB2312"/>
          <w:sz w:val="24"/>
        </w:rPr>
        <w:t>建设范围、地点、规模、总体投资1个三级指标，</w:t>
      </w:r>
      <w:r>
        <w:rPr>
          <w:rStyle w:val="10"/>
          <w:rFonts w:hint="eastAsia" w:ascii="Arial Narrow" w:hAnsi="Arial Narrow" w:eastAsia="仿宋_GB2312"/>
          <w:color w:val="auto"/>
          <w:sz w:val="24"/>
          <w:u w:val="none"/>
        </w:rPr>
        <w:t>决策内容标准分值2</w:t>
      </w:r>
      <w:r>
        <w:rPr>
          <w:rStyle w:val="10"/>
          <w:rFonts w:ascii="Arial Narrow" w:hAnsi="Arial Narrow" w:eastAsia="仿宋_GB2312"/>
          <w:color w:val="auto"/>
          <w:sz w:val="24"/>
          <w:u w:val="none"/>
        </w:rPr>
        <w:t>分</w:t>
      </w:r>
      <w:r>
        <w:rPr>
          <w:rStyle w:val="10"/>
          <w:rFonts w:hint="eastAsia" w:ascii="Arial Narrow" w:hAnsi="Arial Narrow" w:eastAsia="仿宋_GB2312"/>
          <w:color w:val="auto"/>
          <w:sz w:val="24"/>
          <w:u w:val="none"/>
        </w:rPr>
        <w:t>。</w:t>
      </w:r>
    </w:p>
    <w:p w14:paraId="5049DA70">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（1）建设范围、地点、规模、总体投资（2分）</w:t>
      </w:r>
    </w:p>
    <w:p w14:paraId="27175F26">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建设范围、地点、规模、总体投资主要评价决策批复已对项目申请实施方案内容进行全部决策并不存在重大偏差。</w:t>
      </w:r>
      <w:bookmarkStart w:id="31" w:name="_Hlk159404437"/>
    </w:p>
    <w:p w14:paraId="330BCB3C">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批复内容与申请实施内容一致，得2分。</w:t>
      </w:r>
    </w:p>
    <w:p w14:paraId="519BC4BC">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决策内容得分2分，标准分值2分。</w:t>
      </w:r>
    </w:p>
    <w:p w14:paraId="5B95C68F">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5.资金保障</w:t>
      </w:r>
    </w:p>
    <w:p w14:paraId="4212F816">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资金保障</w:t>
      </w:r>
      <w:r>
        <w:rPr>
          <w:rFonts w:ascii="Arial Narrow" w:hAnsi="Arial Narrow" w:eastAsia="仿宋_GB2312"/>
          <w:sz w:val="24"/>
        </w:rPr>
        <w:t>包含</w:t>
      </w:r>
      <w:r>
        <w:rPr>
          <w:rFonts w:hint="eastAsia" w:ascii="Arial Narrow" w:hAnsi="Arial Narrow" w:eastAsia="仿宋_GB2312"/>
          <w:sz w:val="24"/>
        </w:rPr>
        <w:t>资金到位率、到位及时率2个三级指标，</w:t>
      </w:r>
      <w:r>
        <w:rPr>
          <w:rStyle w:val="10"/>
          <w:rFonts w:hint="eastAsia" w:ascii="Arial Narrow" w:hAnsi="Arial Narrow" w:eastAsia="仿宋_GB2312"/>
          <w:color w:val="auto"/>
          <w:sz w:val="24"/>
          <w:u w:val="none"/>
        </w:rPr>
        <w:t>资金保障标准分值4</w:t>
      </w:r>
      <w:r>
        <w:rPr>
          <w:rStyle w:val="10"/>
          <w:rFonts w:ascii="Arial Narrow" w:hAnsi="Arial Narrow" w:eastAsia="仿宋_GB2312"/>
          <w:color w:val="auto"/>
          <w:sz w:val="24"/>
          <w:u w:val="none"/>
        </w:rPr>
        <w:t>分</w:t>
      </w:r>
      <w:r>
        <w:rPr>
          <w:rStyle w:val="10"/>
          <w:rFonts w:hint="eastAsia" w:ascii="Arial Narrow" w:hAnsi="Arial Narrow" w:eastAsia="仿宋_GB2312"/>
          <w:color w:val="auto"/>
          <w:sz w:val="24"/>
          <w:u w:val="none"/>
        </w:rPr>
        <w:t>。</w:t>
      </w:r>
    </w:p>
    <w:p w14:paraId="395EF723">
      <w:pPr>
        <w:adjustRightInd w:val="0"/>
        <w:snapToGrid w:val="0"/>
        <w:spacing w:line="360" w:lineRule="auto"/>
        <w:ind w:firstLine="480" w:firstLineChars="200"/>
        <w:rPr>
          <w:rFonts w:ascii="Arial Narrow" w:hAnsi="Arial Narrow" w:eastAsia="仿宋_GB2312"/>
          <w:sz w:val="24"/>
        </w:rPr>
      </w:pPr>
      <w:r>
        <w:rPr>
          <w:rStyle w:val="10"/>
          <w:rFonts w:hint="eastAsia" w:ascii="Arial Narrow" w:hAnsi="Arial Narrow" w:eastAsia="仿宋_GB2312"/>
          <w:color w:val="auto"/>
          <w:sz w:val="24"/>
          <w:u w:val="none"/>
        </w:rPr>
        <w:t>（1）</w:t>
      </w:r>
      <w:r>
        <w:rPr>
          <w:rFonts w:hint="eastAsia" w:ascii="Arial Narrow" w:hAnsi="Arial Narrow" w:eastAsia="仿宋_GB2312"/>
          <w:sz w:val="24"/>
        </w:rPr>
        <w:t>资金到位率（2分）</w:t>
      </w:r>
    </w:p>
    <w:p w14:paraId="0D250EB1">
      <w:pPr>
        <w:adjustRightInd w:val="0"/>
        <w:snapToGrid w:val="0"/>
        <w:spacing w:line="360" w:lineRule="auto"/>
        <w:ind w:firstLine="480" w:firstLineChars="200"/>
        <w:rPr>
          <w:rFonts w:ascii="Arial Narrow" w:hAnsi="Arial Narrow" w:eastAsia="仿宋_GB2312"/>
          <w:sz w:val="24"/>
        </w:rPr>
      </w:pPr>
      <w:r>
        <w:rPr>
          <w:rFonts w:hint="eastAsia" w:ascii="Arial Narrow" w:hAnsi="Arial Narrow" w:eastAsia="仿宋_GB2312"/>
          <w:sz w:val="24"/>
        </w:rPr>
        <w:t>资金到位率</w:t>
      </w:r>
      <w:r>
        <w:rPr>
          <w:rStyle w:val="10"/>
          <w:rFonts w:hint="eastAsia" w:ascii="Arial Narrow" w:hAnsi="Arial Narrow" w:eastAsia="仿宋_GB2312"/>
          <w:color w:val="auto"/>
          <w:sz w:val="24"/>
          <w:u w:val="none"/>
        </w:rPr>
        <w:t>主要评价</w:t>
      </w:r>
      <w:r>
        <w:rPr>
          <w:rFonts w:hint="eastAsia" w:ascii="Arial Narrow" w:hAnsi="Arial Narrow" w:eastAsia="仿宋_GB2312"/>
          <w:sz w:val="24"/>
        </w:rPr>
        <w:t>实际到位资金与计划投入资金的比率，用以反映和考核资金落实情况对项目实施的总体保障程度。</w:t>
      </w:r>
    </w:p>
    <w:p w14:paraId="7B845DBB">
      <w:pPr>
        <w:adjustRightInd w:val="0"/>
        <w:snapToGrid w:val="0"/>
        <w:spacing w:line="360" w:lineRule="auto"/>
        <w:ind w:firstLine="480" w:firstLineChars="200"/>
        <w:rPr>
          <w:rFonts w:ascii="Arial Narrow" w:hAnsi="Arial Narrow" w:eastAsia="仿宋_GB2312"/>
          <w:sz w:val="24"/>
        </w:rPr>
      </w:pPr>
      <w:r>
        <w:rPr>
          <w:rFonts w:hint="eastAsia" w:ascii="Arial Narrow" w:hAnsi="Arial Narrow" w:eastAsia="仿宋_GB2312"/>
          <w:sz w:val="24"/>
        </w:rPr>
        <w:t>应到位19,383.99万元，实际到位资金总额19,383.99万元，到位率100%，得2分。</w:t>
      </w:r>
    </w:p>
    <w:p w14:paraId="05A52811">
      <w:pPr>
        <w:adjustRightInd w:val="0"/>
        <w:snapToGrid w:val="0"/>
        <w:spacing w:line="360" w:lineRule="auto"/>
        <w:ind w:firstLine="480" w:firstLineChars="200"/>
        <w:rPr>
          <w:rFonts w:ascii="Arial Narrow" w:hAnsi="Arial Narrow" w:eastAsia="仿宋_GB2312"/>
          <w:sz w:val="24"/>
        </w:rPr>
      </w:pPr>
      <w:r>
        <w:rPr>
          <w:rFonts w:hint="eastAsia" w:ascii="Arial Narrow" w:hAnsi="Arial Narrow" w:eastAsia="仿宋_GB2312"/>
          <w:sz w:val="24"/>
        </w:rPr>
        <w:t>（2）到位及时率（2分）</w:t>
      </w:r>
    </w:p>
    <w:p w14:paraId="04F7F4F8">
      <w:pPr>
        <w:adjustRightInd w:val="0"/>
        <w:snapToGrid w:val="0"/>
        <w:spacing w:line="360" w:lineRule="auto"/>
        <w:ind w:firstLine="480" w:firstLineChars="200"/>
        <w:rPr>
          <w:rFonts w:ascii="Arial Narrow" w:hAnsi="Arial Narrow" w:eastAsia="仿宋_GB2312"/>
          <w:sz w:val="24"/>
        </w:rPr>
      </w:pPr>
      <w:r>
        <w:rPr>
          <w:rFonts w:hint="eastAsia" w:ascii="Arial Narrow" w:hAnsi="Arial Narrow" w:eastAsia="仿宋_GB2312"/>
          <w:sz w:val="24"/>
        </w:rPr>
        <w:t>到位及时率</w:t>
      </w:r>
      <w:r>
        <w:rPr>
          <w:rStyle w:val="10"/>
          <w:rFonts w:hint="eastAsia" w:ascii="Arial Narrow" w:hAnsi="Arial Narrow" w:eastAsia="仿宋_GB2312"/>
          <w:color w:val="auto"/>
          <w:sz w:val="24"/>
          <w:u w:val="none"/>
        </w:rPr>
        <w:t>主要评价</w:t>
      </w:r>
      <w:r>
        <w:rPr>
          <w:rFonts w:hint="eastAsia" w:ascii="Arial Narrow" w:hAnsi="Arial Narrow" w:eastAsia="仿宋_GB2312"/>
          <w:sz w:val="24"/>
        </w:rPr>
        <w:t>及时到位资金与应到位资金的比率，用以反映和考核项目资金落实的及时性程度。</w:t>
      </w:r>
    </w:p>
    <w:p w14:paraId="3F4EEA18">
      <w:pPr>
        <w:adjustRightInd w:val="0"/>
        <w:snapToGrid w:val="0"/>
        <w:spacing w:line="360" w:lineRule="auto"/>
        <w:ind w:firstLine="480" w:firstLineChars="200"/>
        <w:rPr>
          <w:rFonts w:ascii="Arial Narrow" w:hAnsi="Arial Narrow" w:eastAsia="仿宋_GB2312"/>
          <w:sz w:val="24"/>
        </w:rPr>
      </w:pPr>
      <w:r>
        <w:rPr>
          <w:rFonts w:hint="eastAsia" w:ascii="Arial Narrow" w:hAnsi="Arial Narrow" w:eastAsia="仿宋_GB2312"/>
          <w:sz w:val="24"/>
        </w:rPr>
        <w:t>截至2022年10月开工时点，应到位19,383.99万元，实际到位19,383.99万元，到位及时率100%，得2分。</w:t>
      </w:r>
    </w:p>
    <w:p w14:paraId="27B05F3F">
      <w:pPr>
        <w:adjustRightInd w:val="0"/>
        <w:snapToGrid w:val="0"/>
        <w:spacing w:line="360" w:lineRule="auto"/>
        <w:ind w:firstLine="480" w:firstLineChars="200"/>
        <w:rPr>
          <w:rFonts w:ascii="Arial Narrow" w:hAnsi="Arial Narrow" w:eastAsia="仿宋_GB2312"/>
          <w:sz w:val="24"/>
        </w:rPr>
      </w:pPr>
      <w:r>
        <w:rPr>
          <w:rFonts w:hint="eastAsia" w:ascii="Arial Narrow" w:hAnsi="Arial Narrow" w:eastAsia="仿宋_GB2312"/>
          <w:sz w:val="24"/>
        </w:rPr>
        <w:t>资金保障得分4分，标准分值4分。</w:t>
      </w:r>
    </w:p>
    <w:p w14:paraId="0DE4822D">
      <w:pPr>
        <w:adjustRightInd w:val="0"/>
        <w:snapToGrid w:val="0"/>
        <w:spacing w:line="360" w:lineRule="auto"/>
        <w:ind w:firstLine="480" w:firstLineChars="200"/>
        <w:rPr>
          <w:rFonts w:ascii="Arial Narrow" w:hAnsi="Arial Narrow" w:eastAsia="仿宋_GB2312"/>
          <w:sz w:val="24"/>
        </w:rPr>
      </w:pPr>
      <w:r>
        <w:rPr>
          <w:rFonts w:ascii="Arial Narrow" w:hAnsi="Arial Narrow" w:eastAsia="仿宋_GB2312"/>
          <w:sz w:val="24"/>
        </w:rPr>
        <w:t>投入</w:t>
      </w:r>
      <w:r>
        <w:rPr>
          <w:rFonts w:hint="eastAsia" w:ascii="Arial Narrow" w:hAnsi="Arial Narrow" w:eastAsia="仿宋_GB2312"/>
          <w:sz w:val="24"/>
        </w:rPr>
        <w:t>得分20分，标准分值20分。</w:t>
      </w:r>
    </w:p>
    <w:bookmarkEnd w:id="31"/>
    <w:p w14:paraId="5507B659">
      <w:pPr>
        <w:spacing w:before="120" w:beforeLines="50" w:line="360" w:lineRule="auto"/>
        <w:ind w:firstLine="482" w:firstLineChars="200"/>
        <w:outlineLvl w:val="0"/>
        <w:rPr>
          <w:rFonts w:ascii="仿宋_GB2312" w:eastAsia="仿宋_GB2312"/>
          <w:b/>
          <w:sz w:val="24"/>
        </w:rPr>
      </w:pPr>
      <w:bookmarkStart w:id="32" w:name="_Toc7407"/>
      <w:r>
        <w:rPr>
          <w:rFonts w:hint="eastAsia" w:ascii="仿宋_GB2312" w:eastAsia="仿宋_GB2312"/>
          <w:b/>
          <w:sz w:val="24"/>
        </w:rPr>
        <w:t>（二）管理（项目实施过程管理）</w:t>
      </w:r>
      <w:bookmarkEnd w:id="32"/>
    </w:p>
    <w:p w14:paraId="06EB823C">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项目实施过程管理主要评价项目实施过程项目管理制度健全性，是否按规定程序进行项目招标、招投标程序是否合规，合同签订是否规范，项目质量监控是否到位，资金使用是否规范等，管理设九个二级指标，分别为项目管理、项目方案、项目招投标、合同签订及执行、项目工期、项目质量可控性、项目调整、预算执行、财务管理。管理标准分值55分。</w:t>
      </w:r>
    </w:p>
    <w:p w14:paraId="3CD02CCD">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1.项目管理</w:t>
      </w:r>
    </w:p>
    <w:p w14:paraId="76E2300F">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项目管理下设项目管理制度健全性1个三级指标，标准分值5分。</w:t>
      </w:r>
    </w:p>
    <w:p w14:paraId="0D759C8A">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（1）项目管理制度健全性（5分）</w:t>
      </w:r>
    </w:p>
    <w:p w14:paraId="3590D342">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项目管理制度健全性主要评价项目管理单位是否制定相应的管理制度，业务管理制度是否合规、合法、完整等。</w:t>
      </w:r>
    </w:p>
    <w:p w14:paraId="7FDB23BB">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项目实施单位重庆市铜梁区龙泽水务有限责任公司属于三级单位，实际中参照上级单位的各项管理制度执行，业务管理工作设立工程建设项目部负责组织实施，项目部下设办公室、合同管理、质量、进度、安全管理和财务管理等机构，建立内部管理体系，并明确和建立项目管理的有关职责，所参照管理制度健全，内容完整合规，得5分。</w:t>
      </w:r>
    </w:p>
    <w:p w14:paraId="487D9715">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2.项目方案</w:t>
      </w:r>
    </w:p>
    <w:p w14:paraId="4988524F">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项目方案下设初设方案1个三级指标，标准分值3分。</w:t>
      </w:r>
    </w:p>
    <w:p w14:paraId="7C82F4C3">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（1）初设方案（3分）</w:t>
      </w:r>
    </w:p>
    <w:p w14:paraId="7680E9CE">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初设方案主要评价项目是否编制初设方案。</w:t>
      </w:r>
    </w:p>
    <w:p w14:paraId="05E3783E">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重庆市铜梁区龙泽水务有限责任公司已编制《铜梁区太平水厂工程（一期）初步设计》方案，并于2021年11月24日取得重庆市铜梁区住房和城乡建设委员会</w:t>
      </w:r>
      <w:r>
        <w:rPr>
          <w:rStyle w:val="10"/>
          <w:rFonts w:hint="eastAsia" w:ascii="Arial Narrow" w:hAnsi="Arial Narrow" w:eastAsia="仿宋_GB2312"/>
          <w:color w:val="auto"/>
          <w:sz w:val="24"/>
          <w:u w:val="none"/>
          <w:lang w:eastAsia="zh-CN"/>
        </w:rPr>
        <w:t>《</w:t>
      </w:r>
      <w:r>
        <w:rPr>
          <w:rStyle w:val="10"/>
          <w:rFonts w:hint="eastAsia" w:ascii="Arial Narrow" w:hAnsi="Arial Narrow" w:eastAsia="仿宋_GB2312"/>
          <w:color w:val="auto"/>
          <w:sz w:val="24"/>
          <w:u w:val="none"/>
        </w:rPr>
        <w:t>关于铜梁区太平水厂工程(一期)初步设计的批复</w:t>
      </w:r>
      <w:r>
        <w:rPr>
          <w:rStyle w:val="10"/>
          <w:rFonts w:hint="eastAsia" w:ascii="Arial Narrow" w:hAnsi="Arial Narrow" w:eastAsia="仿宋_GB2312"/>
          <w:color w:val="auto"/>
          <w:sz w:val="24"/>
          <w:u w:val="none"/>
          <w:lang w:eastAsia="zh-CN"/>
        </w:rPr>
        <w:t>》</w:t>
      </w:r>
      <w:r>
        <w:rPr>
          <w:rStyle w:val="10"/>
          <w:rFonts w:hint="eastAsia" w:ascii="Arial Narrow" w:hAnsi="Arial Narrow" w:eastAsia="仿宋_GB2312"/>
          <w:color w:val="auto"/>
          <w:sz w:val="24"/>
          <w:u w:val="none"/>
        </w:rPr>
        <w:t>（铜建委</w:t>
      </w:r>
      <w:r>
        <w:rPr>
          <w:rStyle w:val="10"/>
          <w:rFonts w:hint="eastAsia" w:ascii="Arial Narrow" w:hAnsi="Arial Narrow" w:eastAsia="仿宋_GB2312"/>
          <w:color w:val="auto"/>
          <w:sz w:val="24"/>
          <w:u w:val="none"/>
          <w:lang w:eastAsia="zh-CN"/>
        </w:rPr>
        <w:t>〔2021〕203号</w:t>
      </w:r>
      <w:r>
        <w:rPr>
          <w:rStyle w:val="10"/>
          <w:rFonts w:hint="eastAsia" w:ascii="Arial Narrow" w:hAnsi="Arial Narrow" w:eastAsia="仿宋_GB2312"/>
          <w:color w:val="auto"/>
          <w:sz w:val="24"/>
          <w:u w:val="none"/>
        </w:rPr>
        <w:t>），得3分。</w:t>
      </w:r>
    </w:p>
    <w:p w14:paraId="0A1FACC6">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项目方案得3分，标准分值3分。</w:t>
      </w:r>
    </w:p>
    <w:p w14:paraId="7F259258">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3.项目招投标</w:t>
      </w:r>
    </w:p>
    <w:p w14:paraId="484A78BA">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项目招投标下设建筑工程、设备采购安装、勘察、输水管网、设计、监理6个三级指标，标准分值12分。</w:t>
      </w:r>
    </w:p>
    <w:p w14:paraId="11A5A20E">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（1）建筑工程（2分）</w:t>
      </w:r>
    </w:p>
    <w:p w14:paraId="79BE0B81">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建筑工程主要评价建筑工程服务商确定是否按规定程序进行项目招标、招投标程序是否合规。</w:t>
      </w:r>
    </w:p>
    <w:p w14:paraId="71F016F3">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铜梁区太平水厂工程(一期)厂区土建部分已按规定程序进行招投标，2022年7月26日发出中标通知书，经评标委员会评定由广州市市政工程机械施工有限公司承建，得2分。</w:t>
      </w:r>
    </w:p>
    <w:p w14:paraId="56107887">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（2）设备采购安装（2分）</w:t>
      </w:r>
    </w:p>
    <w:p w14:paraId="37B31826">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设备采购安装主要评价重要设备采购安装服务商确定是否按规定程序进行项目招标、招投标程序是否合规。</w:t>
      </w:r>
    </w:p>
    <w:p w14:paraId="01D8426F">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铜梁区太平水厂工程(一期)厂区部分工程重要设备采购及安装项目已按规定程序进行招投标，经评标委员会评定并报建设工程招标监督管理机构备案确定升升集团（曾用名：诚捷祥集团有限公司）为中标人，并于2023年3月24日签订《铜梁区太平水厂工程(一期)厂区部分工程重要设备采购及安装工程施工合同》，得2分。</w:t>
      </w:r>
    </w:p>
    <w:p w14:paraId="1FC95960">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（3）勘察（2分）</w:t>
      </w:r>
    </w:p>
    <w:p w14:paraId="79D8D6CE">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勘察主要评价项目勘察服务商确定是否按规定程序进行项目招标、招投标程序是否合规。</w:t>
      </w:r>
    </w:p>
    <w:p w14:paraId="3DC5E810">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铜梁区太平水厂工程(一期)勘察已按规定程序进行招投标，经评标委员会评定，确定中国市政工程中南设计研究总院有限公司、西北综合勘察设计研究院(联合体)为中标人，得2分。</w:t>
      </w:r>
    </w:p>
    <w:p w14:paraId="3302BED4">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（4）输水管网（2分）</w:t>
      </w:r>
    </w:p>
    <w:p w14:paraId="3CA69EEF">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输水管网主要评价输水管网工程服务确定商是否按规定程序进行项目招标、招投标程序是否合规。</w:t>
      </w:r>
    </w:p>
    <w:p w14:paraId="60DFB367">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铜梁区太平水厂工程(一期)输水管网工程已按规定程序进行招投标，经评标委员会评定四川缔信建设工程有限公司为中标人，得2分。</w:t>
      </w:r>
    </w:p>
    <w:p w14:paraId="14A38D68">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（5）设计（2分）</w:t>
      </w:r>
    </w:p>
    <w:p w14:paraId="502E34C1">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设计主要评价项目设计服务商确定是否按规定程序进行项目招标、招投标程序是否合规。</w:t>
      </w:r>
    </w:p>
    <w:p w14:paraId="30C75390">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铜梁区太平水厂工程(一期)设计已按规定程序进行招投标，经评标委员会评定，确定中国市政工程中南设计研究总院有限公司、西北综合勘察设计研究院(联合体)为中标人，得2分。</w:t>
      </w:r>
    </w:p>
    <w:p w14:paraId="27BA5F64">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（6）监理（2分）</w:t>
      </w:r>
    </w:p>
    <w:p w14:paraId="204A8713">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监理主要评价项目监理服务商确定是否按规定程序进行项目招标、招投标程序是否合规。</w:t>
      </w:r>
    </w:p>
    <w:p w14:paraId="7EDF025B">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铜梁区太平水厂工程(一期)工程监理已按规定程序进行招投标，经评标委员会评定确定中鸿亿博集团有限公司为中标人，得2分。</w:t>
      </w:r>
    </w:p>
    <w:p w14:paraId="254FA9FC">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项目招投标得分12分，标准分值12分。</w:t>
      </w:r>
    </w:p>
    <w:p w14:paraId="360E10D9">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4.合同签订及执行</w:t>
      </w:r>
    </w:p>
    <w:p w14:paraId="2797FBDB">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合同签订及执行下设合同签订、合同执行2个三级指标，标准分值6分。</w:t>
      </w:r>
    </w:p>
    <w:p w14:paraId="6C4A7019">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（1）合同签订（3分）</w:t>
      </w:r>
    </w:p>
    <w:p w14:paraId="6724FD06">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合同签订主要评价项目实施过程中签订的合同或者协议是否与招标文件或者决策会议纪要一致。</w:t>
      </w:r>
    </w:p>
    <w:p w14:paraId="445A16B8">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项目实施过程中签订的合同和协议基本与招标文件或者相关会议纪要一致。“铜梁区太平水厂工程（一期）电力线路迁改项目”签订的合同未按专题会议纪要[2022]第41期讨论内容规定履约保证金的情况，扣1分，得2分。</w:t>
      </w:r>
    </w:p>
    <w:p w14:paraId="514D27F5">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（2）合同执行（3分）</w:t>
      </w:r>
    </w:p>
    <w:p w14:paraId="0A61D4BA">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合同执行主要评价项目实施过程中是否按照合同条款进行项目进度款支付、追究违约责任等。</w:t>
      </w:r>
    </w:p>
    <w:p w14:paraId="0EE02AD7">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项目实施过程中基本能够按照合同条款进行项目进度款支付、追究违约责任。存在未追究违约责任的情况，如《铜梁区太平水厂（一期）厂区土建工程的合同约定书》“合同专用条款16.2.2（6）（7）因承包人的原因导致厂区清水池基础混凝土浇筑在开工后120日内尚未开始浇筑，每延误一天，承包人按10,000.00元/天计算违约金，累计违约上限，不超过签约合同价2%”。根据《监理【2023】通知单004号》内容，施工现场截至2023年5月进度与合同进度比较，从开工（2022年10月28日）到目前2023年5月30日，工期约达200天，已超过条款规定时间，尚未追究违约责任,扣1分，得2分。</w:t>
      </w:r>
    </w:p>
    <w:p w14:paraId="0B934CB4">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合同签订及执行得分4分，标准分值6分。</w:t>
      </w:r>
    </w:p>
    <w:p w14:paraId="4B038466">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5.</w:t>
      </w:r>
      <w:r>
        <w:rPr>
          <w:rStyle w:val="10"/>
          <w:rFonts w:ascii="Arial Narrow" w:hAnsi="Arial Narrow" w:eastAsia="仿宋_GB2312"/>
          <w:color w:val="auto"/>
          <w:sz w:val="24"/>
          <w:u w:val="none"/>
        </w:rPr>
        <w:t>项目工期</w:t>
      </w:r>
    </w:p>
    <w:p w14:paraId="34C0D87B">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ascii="Arial Narrow" w:hAnsi="Arial Narrow" w:eastAsia="仿宋_GB2312"/>
          <w:color w:val="auto"/>
          <w:sz w:val="24"/>
          <w:u w:val="none"/>
        </w:rPr>
        <w:t>项目工期</w:t>
      </w:r>
      <w:r>
        <w:rPr>
          <w:rStyle w:val="10"/>
          <w:rFonts w:hint="eastAsia" w:ascii="Arial Narrow" w:hAnsi="Arial Narrow" w:eastAsia="仿宋_GB2312"/>
          <w:color w:val="auto"/>
          <w:sz w:val="24"/>
          <w:u w:val="none"/>
        </w:rPr>
        <w:t>下设开工1个三级指标，标准分值3分。</w:t>
      </w:r>
    </w:p>
    <w:p w14:paraId="04E6882F">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（1）开工（3分）</w:t>
      </w:r>
    </w:p>
    <w:p w14:paraId="2627063A">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ascii="Arial Narrow" w:hAnsi="Arial Narrow" w:eastAsia="仿宋_GB2312"/>
          <w:color w:val="auto"/>
          <w:sz w:val="24"/>
          <w:u w:val="none"/>
        </w:rPr>
        <w:t>开工</w:t>
      </w:r>
      <w:r>
        <w:rPr>
          <w:rStyle w:val="10"/>
          <w:rFonts w:hint="eastAsia" w:ascii="Arial Narrow" w:hAnsi="Arial Narrow" w:eastAsia="仿宋_GB2312"/>
          <w:color w:val="auto"/>
          <w:sz w:val="24"/>
          <w:u w:val="none"/>
        </w:rPr>
        <w:t>主要评价</w:t>
      </w:r>
      <w:r>
        <w:rPr>
          <w:rStyle w:val="10"/>
          <w:rFonts w:ascii="Arial Narrow" w:hAnsi="Arial Narrow" w:eastAsia="仿宋_GB2312"/>
          <w:color w:val="auto"/>
          <w:sz w:val="24"/>
          <w:u w:val="none"/>
        </w:rPr>
        <w:t>是否在批复时间内开工。</w:t>
      </w:r>
    </w:p>
    <w:p w14:paraId="1930E5B6">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ascii="Arial Narrow" w:hAnsi="Arial Narrow" w:eastAsia="仿宋_GB2312"/>
          <w:color w:val="auto"/>
          <w:sz w:val="24"/>
          <w:u w:val="none"/>
        </w:rPr>
        <w:t>《重庆市铜梁区发展和改革委员会关于铜梁区太平水厂工程(一期)立项的批复》（铜发改委审</w:t>
      </w:r>
      <w:r>
        <w:rPr>
          <w:rStyle w:val="10"/>
          <w:rFonts w:hint="eastAsia" w:ascii="Arial Narrow" w:hAnsi="Arial Narrow" w:eastAsia="仿宋_GB2312"/>
          <w:color w:val="auto"/>
          <w:sz w:val="24"/>
          <w:u w:val="none"/>
          <w:lang w:eastAsia="zh-CN"/>
        </w:rPr>
        <w:t>〔2021〕195号</w:t>
      </w:r>
      <w:r>
        <w:rPr>
          <w:rStyle w:val="10"/>
          <w:rFonts w:ascii="Arial Narrow" w:hAnsi="Arial Narrow" w:eastAsia="仿宋_GB2312"/>
          <w:color w:val="auto"/>
          <w:sz w:val="24"/>
          <w:u w:val="none"/>
        </w:rPr>
        <w:t>）显示项目</w:t>
      </w:r>
      <w:r>
        <w:rPr>
          <w:rStyle w:val="10"/>
          <w:rFonts w:hint="eastAsia" w:ascii="Arial Narrow" w:hAnsi="Arial Narrow" w:eastAsia="仿宋_GB2312"/>
          <w:color w:val="auto"/>
          <w:sz w:val="24"/>
          <w:u w:val="none"/>
        </w:rPr>
        <w:t>批复时间为2021年10月</w:t>
      </w:r>
      <w:r>
        <w:rPr>
          <w:rStyle w:val="10"/>
          <w:rFonts w:ascii="Arial Narrow" w:hAnsi="Arial Narrow" w:eastAsia="仿宋_GB2312"/>
          <w:color w:val="auto"/>
          <w:sz w:val="24"/>
          <w:u w:val="none"/>
        </w:rPr>
        <w:t>，工程开工令显示开工日期为2022年10月28日，延期11个月，扣3分，得0分。</w:t>
      </w:r>
    </w:p>
    <w:p w14:paraId="7AB3F14B">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开工得分0分，标准分值3分。</w:t>
      </w:r>
    </w:p>
    <w:p w14:paraId="296C3896">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6.项目质量可控性</w:t>
      </w:r>
    </w:p>
    <w:p w14:paraId="321306D2">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项目质量可控性下设监督管理、项目质量要求或标准等2</w:t>
      </w:r>
      <w:r>
        <w:rPr>
          <w:rStyle w:val="10"/>
          <w:rFonts w:ascii="Arial Narrow" w:hAnsi="Arial Narrow" w:eastAsia="仿宋_GB2312"/>
          <w:color w:val="auto"/>
          <w:sz w:val="24"/>
          <w:u w:val="none"/>
        </w:rPr>
        <w:t>个三级指标</w:t>
      </w:r>
      <w:r>
        <w:rPr>
          <w:rStyle w:val="10"/>
          <w:rFonts w:hint="eastAsia" w:ascii="Arial Narrow" w:hAnsi="Arial Narrow" w:eastAsia="仿宋_GB2312"/>
          <w:color w:val="auto"/>
          <w:sz w:val="24"/>
          <w:u w:val="none"/>
        </w:rPr>
        <w:t>，标准分值10分。</w:t>
      </w:r>
    </w:p>
    <w:p w14:paraId="0FB0632D">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（1）监督管理（5分）</w:t>
      </w:r>
    </w:p>
    <w:p w14:paraId="0EABABCD">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监督管理主要评价</w:t>
      </w:r>
      <w:r>
        <w:rPr>
          <w:rStyle w:val="10"/>
          <w:rFonts w:ascii="Arial Narrow" w:hAnsi="Arial Narrow" w:eastAsia="仿宋_GB2312"/>
          <w:color w:val="auto"/>
          <w:sz w:val="24"/>
          <w:u w:val="none"/>
        </w:rPr>
        <w:t>是否存在监理日志及监理报告，监理日志是否齐全，是否出具监理报告；工程的其他管控措施落实情况。</w:t>
      </w:r>
    </w:p>
    <w:p w14:paraId="72685F13">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ascii="Arial Narrow" w:hAnsi="Arial Narrow" w:eastAsia="仿宋_GB2312"/>
          <w:color w:val="auto"/>
          <w:sz w:val="24"/>
          <w:u w:val="none"/>
        </w:rPr>
        <w:t>已按招投标规定程序确定中鸿亿博集团有限公司为监理单位，监理日志、监理报告完整</w:t>
      </w:r>
      <w:r>
        <w:rPr>
          <w:rStyle w:val="10"/>
          <w:rFonts w:hint="eastAsia" w:ascii="Arial Narrow" w:hAnsi="Arial Narrow" w:eastAsia="仿宋_GB2312"/>
          <w:color w:val="auto"/>
          <w:sz w:val="24"/>
          <w:u w:val="none"/>
        </w:rPr>
        <w:t>。</w:t>
      </w:r>
      <w:r>
        <w:rPr>
          <w:rStyle w:val="10"/>
          <w:rFonts w:ascii="Arial Narrow" w:hAnsi="Arial Narrow" w:eastAsia="仿宋_GB2312"/>
          <w:color w:val="auto"/>
          <w:sz w:val="24"/>
          <w:u w:val="none"/>
        </w:rPr>
        <w:t>监理日志中存在巡视记录未签字的情况，扣1分，得4分。</w:t>
      </w:r>
    </w:p>
    <w:p w14:paraId="1C6D5379">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（2）项目质量要求或标准（5分）</w:t>
      </w:r>
    </w:p>
    <w:p w14:paraId="7A8C5097">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项目质量要求或标准主要评价</w:t>
      </w:r>
      <w:r>
        <w:rPr>
          <w:rStyle w:val="10"/>
          <w:rFonts w:ascii="Arial Narrow" w:hAnsi="Arial Narrow" w:eastAsia="仿宋_GB2312"/>
          <w:color w:val="auto"/>
          <w:sz w:val="24"/>
          <w:u w:val="none"/>
        </w:rPr>
        <w:t>是否已制定或具有相应的项目质量要求或标准，是否采取了相应的项目质量检查、验收等必需的控制措施或手段。</w:t>
      </w:r>
    </w:p>
    <w:p w14:paraId="4A38C03D">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ascii="Arial Narrow" w:hAnsi="Arial Narrow" w:eastAsia="仿宋_GB2312"/>
          <w:color w:val="auto"/>
          <w:sz w:val="24"/>
          <w:u w:val="none"/>
        </w:rPr>
        <w:t>已制定或具有相应的项目质量要求或标准，采取了相应的项目质量检查、验收等必需的控制措施和手段，得5分。</w:t>
      </w:r>
    </w:p>
    <w:p w14:paraId="276DCC03">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项目质量可控性得分9分，标准分值10分。</w:t>
      </w:r>
    </w:p>
    <w:p w14:paraId="15F3570A">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7.项目调整</w:t>
      </w:r>
    </w:p>
    <w:p w14:paraId="4CD35ECA">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项目调整下设预算调整1个三级指标，标准分值2分。</w:t>
      </w:r>
    </w:p>
    <w:p w14:paraId="20AC32F5">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（1）预算调整（2分）</w:t>
      </w:r>
    </w:p>
    <w:p w14:paraId="2B496CA6">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ascii="Arial Narrow" w:hAnsi="Arial Narrow" w:eastAsia="仿宋_GB2312"/>
          <w:color w:val="auto"/>
          <w:sz w:val="24"/>
          <w:u w:val="none"/>
        </w:rPr>
        <w:t>预算调整</w:t>
      </w:r>
      <w:r>
        <w:rPr>
          <w:rStyle w:val="10"/>
          <w:rFonts w:hint="eastAsia" w:ascii="Arial Narrow" w:hAnsi="Arial Narrow" w:eastAsia="仿宋_GB2312"/>
          <w:color w:val="auto"/>
          <w:sz w:val="24"/>
          <w:u w:val="none"/>
        </w:rPr>
        <w:t>主要评价申请项目预算调整是否程序规范，依据充分。</w:t>
      </w:r>
    </w:p>
    <w:p w14:paraId="4033091D">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ascii="Arial Narrow" w:hAnsi="Arial Narrow" w:eastAsia="仿宋_GB2312"/>
          <w:color w:val="auto"/>
          <w:sz w:val="24"/>
          <w:u w:val="none"/>
        </w:rPr>
        <w:t>该项目无预算调整，得2分。</w:t>
      </w:r>
    </w:p>
    <w:p w14:paraId="67A60925">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预算调整得分2分，标准分值2分。</w:t>
      </w:r>
    </w:p>
    <w:p w14:paraId="436ACC99">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8.预算执行</w:t>
      </w:r>
    </w:p>
    <w:p w14:paraId="0C0E6686">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预算执行下设预算偏离度1个三级指标，标准分值2分。</w:t>
      </w:r>
    </w:p>
    <w:p w14:paraId="7A10AC90">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（1）预算偏离度（2分）</w:t>
      </w:r>
    </w:p>
    <w:p w14:paraId="15E24C26">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ascii="Arial Narrow" w:hAnsi="Arial Narrow" w:eastAsia="仿宋_GB2312"/>
          <w:color w:val="auto"/>
          <w:sz w:val="24"/>
          <w:u w:val="none"/>
        </w:rPr>
        <w:t>预算偏离度</w:t>
      </w:r>
      <w:r>
        <w:rPr>
          <w:rStyle w:val="10"/>
          <w:rFonts w:hint="eastAsia" w:ascii="Arial Narrow" w:hAnsi="Arial Narrow" w:eastAsia="仿宋_GB2312"/>
          <w:color w:val="auto"/>
          <w:sz w:val="24"/>
          <w:u w:val="none"/>
        </w:rPr>
        <w:t>主要评价实际使用资金与项目预算偏离程度。</w:t>
      </w:r>
    </w:p>
    <w:p w14:paraId="366823A2">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截至2024年5月</w:t>
      </w:r>
      <w:r>
        <w:rPr>
          <w:rStyle w:val="10"/>
          <w:rFonts w:ascii="Arial Narrow" w:hAnsi="Arial Narrow" w:eastAsia="仿宋_GB2312"/>
          <w:color w:val="auto"/>
          <w:sz w:val="24"/>
          <w:u w:val="none"/>
        </w:rPr>
        <w:t>无预算偏离，得2分。</w:t>
      </w:r>
    </w:p>
    <w:p w14:paraId="70EFA1EE">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预算执行得分2分，标准分值2分。</w:t>
      </w:r>
    </w:p>
    <w:p w14:paraId="4AD2B709">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9.财务管理</w:t>
      </w:r>
    </w:p>
    <w:p w14:paraId="10100400">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ascii="Arial Narrow" w:hAnsi="Arial Narrow" w:eastAsia="仿宋_GB2312"/>
          <w:color w:val="auto"/>
          <w:sz w:val="24"/>
          <w:u w:val="none"/>
        </w:rPr>
        <w:t>财务管理</w:t>
      </w:r>
      <w:r>
        <w:rPr>
          <w:rStyle w:val="10"/>
          <w:rFonts w:hint="eastAsia" w:ascii="Arial Narrow" w:hAnsi="Arial Narrow" w:eastAsia="仿宋_GB2312"/>
          <w:color w:val="auto"/>
          <w:sz w:val="24"/>
          <w:u w:val="none"/>
        </w:rPr>
        <w:t>下设管理制度健全性、资金使用合规性、财务核算规范性、财务监控有效性4个三级指标，标准分值12分。</w:t>
      </w:r>
    </w:p>
    <w:p w14:paraId="2654205F">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（1）管理制度健全性（2分）</w:t>
      </w:r>
    </w:p>
    <w:p w14:paraId="49B64615">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管理制度健全性主要评价</w:t>
      </w:r>
      <w:r>
        <w:rPr>
          <w:rStyle w:val="10"/>
          <w:rFonts w:ascii="Arial Narrow" w:hAnsi="Arial Narrow" w:eastAsia="仿宋_GB2312"/>
          <w:color w:val="auto"/>
          <w:sz w:val="24"/>
          <w:u w:val="none"/>
        </w:rPr>
        <w:t>项目实施单位的财务和业务管理制度是否健全。</w:t>
      </w:r>
    </w:p>
    <w:p w14:paraId="49ABEC1B">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ascii="Arial Narrow" w:hAnsi="Arial Narrow" w:eastAsia="仿宋_GB2312"/>
          <w:color w:val="auto"/>
          <w:sz w:val="24"/>
          <w:u w:val="none"/>
        </w:rPr>
        <w:t>重庆市铜梁区龙泽水务有限责任公司已参照上级单位重庆水资源产业股份有限公司关于项目投资管理办法以及财务管理办法，参照依据：关于印发《科创项目财务管理办法（试行）》的通知（渝水资源〔2023〕388号）、关于印发《基本建设项目财务管理办法》的通知（渝水投〔2021〕152号）、关于印发《投资管理办法》的通知（渝水资源〔2023〕66号），财务管理</w:t>
      </w:r>
      <w:r>
        <w:rPr>
          <w:rStyle w:val="10"/>
          <w:rFonts w:hint="eastAsia" w:ascii="Arial Narrow" w:hAnsi="Arial Narrow" w:eastAsia="仿宋_GB2312"/>
          <w:color w:val="auto"/>
          <w:sz w:val="24"/>
          <w:u w:val="none"/>
        </w:rPr>
        <w:t>和业务管理</w:t>
      </w:r>
      <w:r>
        <w:rPr>
          <w:rStyle w:val="10"/>
          <w:rFonts w:ascii="Arial Narrow" w:hAnsi="Arial Narrow" w:eastAsia="仿宋_GB2312"/>
          <w:color w:val="auto"/>
          <w:sz w:val="24"/>
          <w:u w:val="none"/>
        </w:rPr>
        <w:t>制度健全，得2分</w:t>
      </w:r>
      <w:r>
        <w:rPr>
          <w:rStyle w:val="10"/>
          <w:rFonts w:hint="eastAsia" w:ascii="Arial Narrow" w:hAnsi="Arial Narrow" w:eastAsia="仿宋_GB2312"/>
          <w:color w:val="auto"/>
          <w:sz w:val="24"/>
          <w:u w:val="none"/>
        </w:rPr>
        <w:t>。</w:t>
      </w:r>
    </w:p>
    <w:p w14:paraId="0AD518A4">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（2）资金使用合规性（5分）</w:t>
      </w:r>
    </w:p>
    <w:p w14:paraId="2384F63F">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资金使用合规性主要评价资金使用是否符合项目预算批复或合同规定的用途。</w:t>
      </w:r>
    </w:p>
    <w:p w14:paraId="5276DEC2">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ascii="Arial Narrow" w:hAnsi="Arial Narrow" w:eastAsia="仿宋_GB2312"/>
          <w:color w:val="auto"/>
          <w:sz w:val="24"/>
          <w:u w:val="none"/>
        </w:rPr>
        <w:t>根据相关财务管理办法，查看财务账务核算，确认资金专款专用，拨付程序合规，未发现违规使用</w:t>
      </w:r>
      <w:r>
        <w:rPr>
          <w:rStyle w:val="10"/>
          <w:rFonts w:hint="eastAsia" w:ascii="Arial Narrow" w:hAnsi="Arial Narrow" w:eastAsia="仿宋_GB2312"/>
          <w:color w:val="auto"/>
          <w:sz w:val="24"/>
          <w:u w:val="none"/>
          <w:lang w:eastAsia="zh-CN"/>
        </w:rPr>
        <w:t>的情况</w:t>
      </w:r>
      <w:r>
        <w:rPr>
          <w:rStyle w:val="10"/>
          <w:rFonts w:ascii="Arial Narrow" w:hAnsi="Arial Narrow" w:eastAsia="仿宋_GB2312"/>
          <w:color w:val="auto"/>
          <w:sz w:val="24"/>
          <w:u w:val="none"/>
        </w:rPr>
        <w:t>，得5分。</w:t>
      </w:r>
    </w:p>
    <w:p w14:paraId="216B4E2E">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（3）财务核算规范性（3分）</w:t>
      </w:r>
    </w:p>
    <w:p w14:paraId="274272F8">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财务核算规范性主要评价项目实施单位是否严格按照《中华人民共和国会计法》、《企业会计准则》等有关规定进行财务核算。</w:t>
      </w:r>
    </w:p>
    <w:p w14:paraId="2CFAA1F6">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经检查，实施单位</w:t>
      </w:r>
      <w:r>
        <w:rPr>
          <w:rStyle w:val="10"/>
          <w:rFonts w:ascii="Arial Narrow" w:hAnsi="Arial Narrow" w:eastAsia="仿宋_GB2312"/>
          <w:color w:val="auto"/>
          <w:sz w:val="24"/>
          <w:u w:val="none"/>
        </w:rPr>
        <w:t>按照《中华人民共和国会计法》、《企业会计准则》等有关规定进行财务核算，得3分。</w:t>
      </w:r>
    </w:p>
    <w:p w14:paraId="2B15026C">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（4）财务监控有效性（2分）</w:t>
      </w:r>
    </w:p>
    <w:p w14:paraId="4ED2D7E2">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财务监控有效性主要评价项目是否为保障资金的安全、规范运行而采取了必要的监控措施。</w:t>
      </w:r>
    </w:p>
    <w:p w14:paraId="04675E5E">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重庆市铜梁区龙泽水务有限责任公司为保障资金的安全、规范运行而采取了必要的监控措施。存在监控不到位</w:t>
      </w:r>
      <w:r>
        <w:rPr>
          <w:rStyle w:val="10"/>
          <w:rFonts w:hint="eastAsia" w:ascii="Arial Narrow" w:hAnsi="Arial Narrow" w:eastAsia="仿宋_GB2312"/>
          <w:color w:val="auto"/>
          <w:sz w:val="24"/>
          <w:u w:val="none"/>
          <w:lang w:eastAsia="zh-CN"/>
        </w:rPr>
        <w:t>的情况</w:t>
      </w:r>
      <w:r>
        <w:rPr>
          <w:rStyle w:val="10"/>
          <w:rFonts w:hint="eastAsia" w:ascii="Arial Narrow" w:hAnsi="Arial Narrow" w:eastAsia="仿宋_GB2312"/>
          <w:color w:val="auto"/>
          <w:sz w:val="24"/>
          <w:u w:val="none"/>
        </w:rPr>
        <w:t>，如《铜梁区太平水厂工程（一期）电力线路迁改竞争性比选专题会议纪要》同意该项目履约担保金为20,000.00元，实际未收取,扣1分，得1分。</w:t>
      </w:r>
    </w:p>
    <w:p w14:paraId="2FC6D3C6">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财务管理得分11分，标准分值12分。</w:t>
      </w:r>
    </w:p>
    <w:p w14:paraId="6A898905">
      <w:pPr>
        <w:adjustRightInd w:val="0"/>
        <w:snapToGrid w:val="0"/>
        <w:spacing w:line="360" w:lineRule="auto"/>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 xml:space="preserve">  </w:t>
      </w:r>
      <w:r>
        <w:rPr>
          <w:rStyle w:val="10"/>
          <w:rFonts w:hint="eastAsia" w:ascii="Arial Narrow" w:hAnsi="Arial Narrow" w:eastAsia="仿宋_GB2312"/>
          <w:color w:val="auto"/>
          <w:sz w:val="24"/>
          <w:u w:val="none"/>
          <w:lang w:val="en-US" w:eastAsia="zh-CN"/>
        </w:rPr>
        <w:t xml:space="preserve">  </w:t>
      </w:r>
      <w:r>
        <w:rPr>
          <w:rStyle w:val="10"/>
          <w:rFonts w:hint="eastAsia" w:ascii="Arial Narrow" w:hAnsi="Arial Narrow" w:eastAsia="仿宋_GB2312"/>
          <w:color w:val="auto"/>
          <w:sz w:val="24"/>
          <w:u w:val="none"/>
        </w:rPr>
        <w:t>过程管理得分48分，标准分值55分。</w:t>
      </w:r>
    </w:p>
    <w:p w14:paraId="06AB11BF">
      <w:pPr>
        <w:spacing w:before="120" w:beforeLines="50" w:line="360" w:lineRule="auto"/>
        <w:ind w:firstLine="482" w:firstLineChars="200"/>
        <w:outlineLvl w:val="0"/>
        <w:rPr>
          <w:rFonts w:ascii="Arial Narrow" w:hAnsi="Arial Narrow" w:eastAsia="仿宋_GB2312"/>
          <w:b/>
          <w:sz w:val="24"/>
        </w:rPr>
      </w:pPr>
      <w:bookmarkStart w:id="33" w:name="_Toc23443"/>
      <w:r>
        <w:rPr>
          <w:rFonts w:ascii="Arial Narrow" w:hAnsi="Arial Narrow" w:eastAsia="仿宋_GB2312"/>
          <w:b/>
          <w:sz w:val="24"/>
        </w:rPr>
        <w:t>（三）产出</w:t>
      </w:r>
      <w:bookmarkEnd w:id="33"/>
    </w:p>
    <w:p w14:paraId="6B8C1AE3">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ascii="Arial Narrow" w:hAnsi="Arial Narrow" w:eastAsia="仿宋_GB2312"/>
          <w:color w:val="auto"/>
          <w:sz w:val="24"/>
          <w:u w:val="none"/>
        </w:rPr>
        <w:t>产出即项目产出</w:t>
      </w:r>
      <w:r>
        <w:rPr>
          <w:rStyle w:val="10"/>
          <w:rFonts w:hint="eastAsia" w:ascii="Arial Narrow" w:hAnsi="Arial Narrow" w:eastAsia="仿宋_GB2312"/>
          <w:color w:val="auto"/>
          <w:sz w:val="24"/>
          <w:u w:val="none"/>
        </w:rPr>
        <w:t>，</w:t>
      </w:r>
      <w:r>
        <w:rPr>
          <w:rStyle w:val="10"/>
          <w:rFonts w:ascii="Arial Narrow" w:hAnsi="Arial Narrow" w:eastAsia="仿宋_GB2312"/>
          <w:color w:val="auto"/>
          <w:sz w:val="24"/>
          <w:u w:val="none"/>
        </w:rPr>
        <w:t>主要评价项目实施完成后，实际完成的产出数量与绩效目标（计划产出数量）的比率。</w:t>
      </w:r>
      <w:r>
        <w:rPr>
          <w:rStyle w:val="10"/>
          <w:rFonts w:hint="eastAsia" w:ascii="Arial Narrow" w:hAnsi="Arial Narrow" w:eastAsia="仿宋_GB2312"/>
          <w:color w:val="auto"/>
          <w:sz w:val="24"/>
          <w:u w:val="none"/>
        </w:rPr>
        <w:t>因本</w:t>
      </w:r>
      <w:r>
        <w:rPr>
          <w:rStyle w:val="10"/>
          <w:rFonts w:hint="eastAsia" w:ascii="Arial Narrow" w:hAnsi="Arial Narrow" w:eastAsia="仿宋_GB2312"/>
          <w:color w:val="auto"/>
          <w:sz w:val="24"/>
          <w:u w:val="none"/>
          <w:lang w:eastAsia="zh-CN"/>
        </w:rPr>
        <w:t>项目</w:t>
      </w:r>
      <w:r>
        <w:rPr>
          <w:rStyle w:val="10"/>
          <w:rFonts w:hint="eastAsia" w:ascii="Arial Narrow" w:hAnsi="Arial Narrow" w:eastAsia="仿宋_GB2312"/>
          <w:color w:val="auto"/>
          <w:sz w:val="24"/>
          <w:u w:val="none"/>
        </w:rPr>
        <w:t>尚</w:t>
      </w:r>
      <w:r>
        <w:rPr>
          <w:rStyle w:val="10"/>
          <w:rFonts w:hint="eastAsia" w:ascii="Arial Narrow" w:hAnsi="Arial Narrow" w:eastAsia="仿宋_GB2312"/>
          <w:color w:val="auto"/>
          <w:sz w:val="24"/>
          <w:u w:val="none"/>
          <w:lang w:eastAsia="zh-CN"/>
        </w:rPr>
        <w:t>未</w:t>
      </w:r>
      <w:r>
        <w:rPr>
          <w:rStyle w:val="10"/>
          <w:rFonts w:hint="eastAsia" w:ascii="Arial Narrow" w:hAnsi="Arial Narrow" w:eastAsia="仿宋_GB2312"/>
          <w:color w:val="auto"/>
          <w:sz w:val="24"/>
          <w:u w:val="none"/>
        </w:rPr>
        <w:t>完工，根据实际情况设置项目产出1个二级指标，产出成本、成本节约率等衡量指标因实际情况暂无法设置，本次评价也在产出方面设置较低权重，着重在投入和管理方面的评价。</w:t>
      </w:r>
    </w:p>
    <w:p w14:paraId="7EFE690B">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1.项目产出</w:t>
      </w:r>
    </w:p>
    <w:p w14:paraId="5FF9AB5E">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项目产出下设完成及时率、质量达标率两个三级指标，标准分值10分。</w:t>
      </w:r>
    </w:p>
    <w:p w14:paraId="0063DA4D">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（1）完成及时率（5分）</w:t>
      </w:r>
    </w:p>
    <w:p w14:paraId="41DEB604">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完成及时率主要评价项目是否按期完工。</w:t>
      </w:r>
    </w:p>
    <w:p w14:paraId="6B073770">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根据开工令，开工时间为2022年10月，合同约定工期12个月，截至2024年6月尚未完工，扣2分，得3分。</w:t>
      </w:r>
    </w:p>
    <w:p w14:paraId="4E187C6A">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（2）质量达标率（5分）</w:t>
      </w:r>
    </w:p>
    <w:p w14:paraId="79F5E53A">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质量达标率主要评价已完工部分是否符合项目设计时依据的相关标准。</w:t>
      </w:r>
    </w:p>
    <w:p w14:paraId="493C3BCF">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经检查，已完工部分均符合设计标准，得5分。</w:t>
      </w:r>
    </w:p>
    <w:p w14:paraId="58BCB902">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项目产出得分8分，标准分值10分。</w:t>
      </w:r>
    </w:p>
    <w:p w14:paraId="32034925">
      <w:pPr>
        <w:spacing w:before="120" w:beforeLines="50" w:line="360" w:lineRule="auto"/>
        <w:ind w:firstLine="482" w:firstLineChars="200"/>
        <w:jc w:val="left"/>
        <w:outlineLvl w:val="0"/>
        <w:rPr>
          <w:rFonts w:ascii="Arial Narrow" w:hAnsi="Arial Narrow" w:eastAsia="仿宋_GB2312"/>
          <w:b/>
          <w:sz w:val="24"/>
        </w:rPr>
      </w:pPr>
      <w:bookmarkStart w:id="34" w:name="_Toc3151"/>
      <w:r>
        <w:rPr>
          <w:rFonts w:ascii="Arial Narrow" w:hAnsi="Arial Narrow" w:eastAsia="仿宋_GB2312"/>
          <w:b/>
          <w:sz w:val="24"/>
        </w:rPr>
        <w:t>（四）</w:t>
      </w:r>
      <w:r>
        <w:rPr>
          <w:rFonts w:hint="eastAsia" w:ascii="Arial Narrow" w:hAnsi="Arial Narrow" w:eastAsia="仿宋_GB2312"/>
          <w:b/>
          <w:sz w:val="24"/>
        </w:rPr>
        <w:t>效果</w:t>
      </w:r>
      <w:bookmarkEnd w:id="34"/>
    </w:p>
    <w:p w14:paraId="7147667D">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ascii="Arial Narrow" w:hAnsi="Arial Narrow" w:eastAsia="仿宋_GB2312"/>
          <w:color w:val="auto"/>
          <w:sz w:val="24"/>
          <w:u w:val="none"/>
        </w:rPr>
        <w:t>效果即项目效果或项目效益，主要评价项目实施后对社会带来的影响，</w:t>
      </w:r>
      <w:r>
        <w:rPr>
          <w:rStyle w:val="10"/>
          <w:rFonts w:hint="eastAsia" w:ascii="Arial Narrow" w:hAnsi="Arial Narrow" w:eastAsia="仿宋_GB2312"/>
          <w:color w:val="auto"/>
          <w:sz w:val="24"/>
          <w:u w:val="none"/>
        </w:rPr>
        <w:t>效果</w:t>
      </w:r>
      <w:r>
        <w:rPr>
          <w:rStyle w:val="10"/>
          <w:rFonts w:ascii="Arial Narrow" w:hAnsi="Arial Narrow" w:eastAsia="仿宋_GB2312"/>
          <w:color w:val="auto"/>
          <w:sz w:val="24"/>
          <w:u w:val="none"/>
        </w:rPr>
        <w:t>包含</w:t>
      </w:r>
      <w:r>
        <w:rPr>
          <w:rStyle w:val="10"/>
          <w:rFonts w:hint="eastAsia" w:ascii="Arial Narrow" w:hAnsi="Arial Narrow" w:eastAsia="仿宋_GB2312"/>
          <w:color w:val="auto"/>
          <w:sz w:val="24"/>
          <w:u w:val="none"/>
        </w:rPr>
        <w:t>项目效益1</w:t>
      </w:r>
      <w:r>
        <w:rPr>
          <w:rStyle w:val="10"/>
          <w:rFonts w:ascii="Arial Narrow" w:hAnsi="Arial Narrow" w:eastAsia="仿宋_GB2312"/>
          <w:color w:val="auto"/>
          <w:sz w:val="24"/>
          <w:u w:val="none"/>
        </w:rPr>
        <w:t>个</w:t>
      </w:r>
      <w:r>
        <w:rPr>
          <w:rStyle w:val="10"/>
          <w:rFonts w:hint="eastAsia" w:ascii="Arial Narrow" w:hAnsi="Arial Narrow" w:eastAsia="仿宋_GB2312"/>
          <w:color w:val="auto"/>
          <w:sz w:val="24"/>
          <w:u w:val="none"/>
        </w:rPr>
        <w:t>三</w:t>
      </w:r>
      <w:r>
        <w:rPr>
          <w:rStyle w:val="10"/>
          <w:rFonts w:ascii="Arial Narrow" w:hAnsi="Arial Narrow" w:eastAsia="仿宋_GB2312"/>
          <w:color w:val="auto"/>
          <w:sz w:val="24"/>
          <w:u w:val="none"/>
        </w:rPr>
        <w:t>级指标</w:t>
      </w:r>
      <w:r>
        <w:rPr>
          <w:rStyle w:val="10"/>
          <w:rFonts w:hint="eastAsia" w:ascii="Arial Narrow" w:hAnsi="Arial Narrow" w:eastAsia="仿宋_GB2312"/>
          <w:color w:val="auto"/>
          <w:sz w:val="24"/>
          <w:u w:val="none"/>
        </w:rPr>
        <w:t>，</w:t>
      </w:r>
      <w:r>
        <w:rPr>
          <w:rStyle w:val="10"/>
          <w:rFonts w:ascii="Arial Narrow" w:hAnsi="Arial Narrow" w:eastAsia="仿宋_GB2312"/>
          <w:color w:val="auto"/>
          <w:sz w:val="24"/>
          <w:u w:val="none"/>
        </w:rPr>
        <w:t>标准分值2</w:t>
      </w:r>
      <w:r>
        <w:rPr>
          <w:rStyle w:val="10"/>
          <w:rFonts w:hint="eastAsia" w:ascii="Arial Narrow" w:hAnsi="Arial Narrow" w:eastAsia="仿宋_GB2312"/>
          <w:color w:val="auto"/>
          <w:sz w:val="24"/>
          <w:u w:val="none"/>
        </w:rPr>
        <w:t>5</w:t>
      </w:r>
      <w:r>
        <w:rPr>
          <w:rStyle w:val="10"/>
          <w:rFonts w:ascii="Arial Narrow" w:hAnsi="Arial Narrow" w:eastAsia="仿宋_GB2312"/>
          <w:color w:val="auto"/>
          <w:sz w:val="24"/>
          <w:u w:val="none"/>
        </w:rPr>
        <w:t>分。</w:t>
      </w:r>
    </w:p>
    <w:p w14:paraId="66C38222">
      <w:pPr>
        <w:numPr>
          <w:ilvl w:val="0"/>
          <w:numId w:val="3"/>
        </w:num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项目效益</w:t>
      </w:r>
    </w:p>
    <w:p w14:paraId="448D584B">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项目效益下设社会效益、生态效益、社会公众或服务对象满意度3个3级指标，标准分值15分。</w:t>
      </w:r>
    </w:p>
    <w:p w14:paraId="2B62E2E3">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（1）社会效益（5分）</w:t>
      </w:r>
    </w:p>
    <w:p w14:paraId="38C204E4">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社会效益主要评价</w:t>
      </w:r>
      <w:r>
        <w:rPr>
          <w:rStyle w:val="10"/>
          <w:rFonts w:ascii="Arial Narrow" w:hAnsi="Arial Narrow" w:eastAsia="仿宋_GB2312"/>
          <w:color w:val="auto"/>
          <w:sz w:val="24"/>
          <w:u w:val="none"/>
        </w:rPr>
        <w:t>是否制定相关制度或办法对施工噪音、扬尘、建渣等进行管理。</w:t>
      </w:r>
    </w:p>
    <w:p w14:paraId="2EFC61C4">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经施工现场检查，在实际施工中有相应的监控措施，如在施工地周围加装围墙进行降音、使用喷雾系统和设备进行降尘、建渣运送到规定地点处理。未制定相关管理办法，扣2分，得3分。</w:t>
      </w:r>
    </w:p>
    <w:p w14:paraId="0C36E16E">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（2）生态效益（5分）</w:t>
      </w:r>
    </w:p>
    <w:p w14:paraId="16A3857D">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生态效益主要评价是否采取必要措施防止水土流失。</w:t>
      </w:r>
    </w:p>
    <w:p w14:paraId="2189A3DE">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经施工现场检查，已采取污水集中处理、土质削坡开级等必要工程措施防止水土流</w:t>
      </w:r>
      <w:r>
        <w:rPr>
          <w:rStyle w:val="10"/>
          <w:rFonts w:hint="eastAsia" w:ascii="Arial Narrow" w:hAnsi="Arial Narrow" w:eastAsia="仿宋_GB2312"/>
          <w:color w:val="auto"/>
          <w:sz w:val="24"/>
          <w:u w:val="none"/>
          <w:lang w:eastAsia="zh-CN"/>
        </w:rPr>
        <w:t>失</w:t>
      </w:r>
      <w:r>
        <w:rPr>
          <w:rStyle w:val="10"/>
          <w:rFonts w:hint="eastAsia" w:ascii="Arial Narrow" w:hAnsi="Arial Narrow" w:eastAsia="仿宋_GB2312"/>
          <w:color w:val="auto"/>
          <w:sz w:val="24"/>
          <w:u w:val="none"/>
        </w:rPr>
        <w:t>，得5分。</w:t>
      </w:r>
    </w:p>
    <w:p w14:paraId="6CDF4FF8">
      <w:pPr>
        <w:adjustRightInd w:val="0"/>
        <w:snapToGrid w:val="0"/>
        <w:spacing w:line="360" w:lineRule="auto"/>
        <w:ind w:firstLine="480" w:firstLineChars="200"/>
        <w:rPr>
          <w:rStyle w:val="10"/>
          <w:rFonts w:ascii="Arial Narrow" w:hAnsi="Arial Narrow" w:eastAsia="仿宋_GB2312"/>
          <w:color w:val="auto"/>
          <w:sz w:val="24"/>
          <w:highlight w:val="red"/>
          <w:u w:val="none"/>
        </w:rPr>
      </w:pPr>
      <w:r>
        <w:rPr>
          <w:rStyle w:val="10"/>
          <w:rFonts w:hint="eastAsia" w:ascii="Arial Narrow" w:hAnsi="Arial Narrow" w:eastAsia="仿宋_GB2312"/>
          <w:color w:val="auto"/>
          <w:sz w:val="24"/>
          <w:u w:val="none"/>
        </w:rPr>
        <w:t>（3）社会公众或服务对象满意度（5分）</w:t>
      </w:r>
    </w:p>
    <w:p w14:paraId="4BFD68D3">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社会公众或服务对象满意度主要评价项目实施过程中受影响公众群体满意度。</w:t>
      </w:r>
    </w:p>
    <w:p w14:paraId="7D5965F5">
      <w:pPr>
        <w:adjustRightInd w:val="0"/>
        <w:snapToGrid w:val="0"/>
        <w:spacing w:line="360" w:lineRule="auto"/>
        <w:ind w:firstLine="480" w:firstLineChars="200"/>
        <w:rPr>
          <w:rStyle w:val="10"/>
          <w:rFonts w:hint="eastAsia" w:ascii="Arial Narrow" w:hAnsi="Arial Narrow" w:eastAsia="仿宋_GB2312"/>
          <w:color w:val="auto"/>
          <w:sz w:val="24"/>
          <w:u w:val="none"/>
        </w:rPr>
      </w:pPr>
      <w:r>
        <w:rPr>
          <w:rStyle w:val="10"/>
          <w:rFonts w:hint="eastAsia" w:ascii="Arial Narrow" w:hAnsi="Arial Narrow" w:eastAsia="仿宋_GB2312"/>
          <w:color w:val="auto"/>
          <w:sz w:val="24"/>
          <w:u w:val="none"/>
        </w:rPr>
        <w:t>评价方式主要为问卷调查。实际抽取了64名受影响群众进行问卷调查，满意指数为93.23%，按比例得分5*0.9323=4.66分。</w:t>
      </w:r>
    </w:p>
    <w:p w14:paraId="53ACCCC6">
      <w:pPr>
        <w:adjustRightInd w:val="0"/>
        <w:snapToGrid w:val="0"/>
        <w:spacing w:line="360" w:lineRule="auto"/>
        <w:ind w:firstLine="480" w:firstLineChars="200"/>
        <w:rPr>
          <w:rStyle w:val="10"/>
          <w:rFonts w:hint="eastAsia" w:ascii="Arial Narrow" w:hAnsi="Arial Narrow" w:eastAsia="仿宋_GB2312"/>
          <w:color w:val="auto"/>
          <w:sz w:val="24"/>
          <w:u w:val="none"/>
        </w:rPr>
      </w:pPr>
      <w:r>
        <w:rPr>
          <w:rStyle w:val="10"/>
          <w:rFonts w:hint="eastAsia" w:ascii="Arial Narrow" w:hAnsi="Arial Narrow" w:eastAsia="仿宋_GB2312"/>
          <w:color w:val="auto"/>
          <w:sz w:val="24"/>
          <w:u w:val="none"/>
        </w:rPr>
        <w:t>项目</w:t>
      </w:r>
      <w:r>
        <w:rPr>
          <w:rStyle w:val="10"/>
          <w:rFonts w:hint="eastAsia" w:ascii="Arial Narrow" w:hAnsi="Arial Narrow" w:eastAsia="仿宋_GB2312"/>
          <w:color w:val="auto"/>
          <w:sz w:val="24"/>
          <w:u w:val="none"/>
          <w:lang w:val="en-US" w:eastAsia="zh-CN"/>
        </w:rPr>
        <w:t>效果</w:t>
      </w:r>
      <w:r>
        <w:rPr>
          <w:rStyle w:val="10"/>
          <w:rFonts w:hint="eastAsia" w:ascii="Arial Narrow" w:hAnsi="Arial Narrow" w:eastAsia="仿宋_GB2312"/>
          <w:color w:val="auto"/>
          <w:sz w:val="24"/>
          <w:u w:val="none"/>
        </w:rPr>
        <w:t>得分</w:t>
      </w:r>
      <w:r>
        <w:rPr>
          <w:rStyle w:val="10"/>
          <w:rFonts w:hint="eastAsia" w:ascii="Arial Narrow" w:hAnsi="Arial Narrow" w:eastAsia="仿宋_GB2312"/>
          <w:color w:val="auto"/>
          <w:sz w:val="24"/>
          <w:u w:val="none"/>
          <w:lang w:val="en-US" w:eastAsia="zh-CN"/>
        </w:rPr>
        <w:t>12.66</w:t>
      </w:r>
      <w:r>
        <w:rPr>
          <w:rStyle w:val="10"/>
          <w:rFonts w:hint="eastAsia" w:ascii="Arial Narrow" w:hAnsi="Arial Narrow" w:eastAsia="仿宋_GB2312"/>
          <w:color w:val="auto"/>
          <w:sz w:val="24"/>
          <w:u w:val="none"/>
        </w:rPr>
        <w:t>分，标准分值1</w:t>
      </w:r>
      <w:r>
        <w:rPr>
          <w:rStyle w:val="10"/>
          <w:rFonts w:hint="eastAsia" w:ascii="Arial Narrow" w:hAnsi="Arial Narrow" w:eastAsia="仿宋_GB2312"/>
          <w:color w:val="auto"/>
          <w:sz w:val="24"/>
          <w:u w:val="none"/>
          <w:lang w:val="en-US" w:eastAsia="zh-CN"/>
        </w:rPr>
        <w:t>5</w:t>
      </w:r>
      <w:r>
        <w:rPr>
          <w:rStyle w:val="10"/>
          <w:rFonts w:hint="eastAsia" w:ascii="Arial Narrow" w:hAnsi="Arial Narrow" w:eastAsia="仿宋_GB2312"/>
          <w:color w:val="auto"/>
          <w:sz w:val="24"/>
          <w:u w:val="none"/>
        </w:rPr>
        <w:t>分。</w:t>
      </w:r>
    </w:p>
    <w:p w14:paraId="7D5EF1DD">
      <w:pPr>
        <w:spacing w:before="240" w:beforeLines="100" w:line="360" w:lineRule="auto"/>
        <w:ind w:firstLine="482" w:firstLineChars="200"/>
        <w:jc w:val="left"/>
        <w:outlineLvl w:val="0"/>
        <w:rPr>
          <w:rFonts w:ascii="Arial Narrow" w:hAnsi="Arial Narrow" w:eastAsia="仿宋_GB2312"/>
          <w:b/>
          <w:sz w:val="24"/>
        </w:rPr>
      </w:pPr>
      <w:bookmarkStart w:id="35" w:name="_Toc16851"/>
      <w:r>
        <w:rPr>
          <w:rFonts w:hint="eastAsia" w:ascii="Arial Narrow" w:hAnsi="Arial Narrow" w:eastAsia="仿宋_GB2312"/>
          <w:b/>
          <w:sz w:val="24"/>
        </w:rPr>
        <w:t>五</w:t>
      </w:r>
      <w:r>
        <w:rPr>
          <w:rFonts w:ascii="Arial Narrow" w:hAnsi="Arial Narrow" w:eastAsia="仿宋_GB2312"/>
          <w:b/>
          <w:sz w:val="24"/>
        </w:rPr>
        <w:t>、存在的</w:t>
      </w:r>
      <w:r>
        <w:rPr>
          <w:rFonts w:hint="eastAsia" w:ascii="Arial Narrow" w:hAnsi="Arial Narrow" w:eastAsia="仿宋_GB2312"/>
          <w:b/>
          <w:sz w:val="24"/>
        </w:rPr>
        <w:t>主要</w:t>
      </w:r>
      <w:r>
        <w:rPr>
          <w:rFonts w:ascii="Arial Narrow" w:hAnsi="Arial Narrow" w:eastAsia="仿宋_GB2312"/>
          <w:b/>
          <w:sz w:val="24"/>
        </w:rPr>
        <w:t>问题和建议</w:t>
      </w:r>
      <w:bookmarkEnd w:id="35"/>
    </w:p>
    <w:p w14:paraId="7761DAA7">
      <w:pPr>
        <w:spacing w:before="120" w:beforeLines="50" w:line="360" w:lineRule="auto"/>
        <w:ind w:firstLine="482" w:firstLineChars="200"/>
        <w:jc w:val="left"/>
        <w:outlineLvl w:val="0"/>
        <w:rPr>
          <w:rFonts w:ascii="仿宋_GB2312" w:eastAsia="仿宋_GB2312"/>
          <w:b/>
          <w:sz w:val="24"/>
        </w:rPr>
      </w:pPr>
      <w:bookmarkStart w:id="36" w:name="_Toc24844"/>
      <w:r>
        <w:rPr>
          <w:rFonts w:hint="eastAsia" w:ascii="仿宋_GB2312" w:eastAsia="仿宋_GB2312"/>
          <w:b/>
          <w:sz w:val="24"/>
        </w:rPr>
        <w:t>（一）存在的主要问题</w:t>
      </w:r>
      <w:bookmarkEnd w:id="36"/>
    </w:p>
    <w:p w14:paraId="3D140B0F">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1.合同执行不到位</w:t>
      </w:r>
    </w:p>
    <w:p w14:paraId="2473324A">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铜梁区太平水厂（一期）厂区土建工程的合同约定书》“合同专用条款16.2.2（6）（7）因承包人的原因导致厂区清水池基础混凝土浇筑在开工后120日内尚未开始浇筑，每延误一天，承包人按10,000.00元/天计算违约金，累计违约上限，不超过签约合同价2%”。根据《监理【2023】通知单004号》内容，施工现场目前进度与合同进度比较，从开工（2022.10.28）到目前2023年5月19日，工期约达200天，已超过条款规定时间，尚未追究违约责任。</w:t>
      </w:r>
    </w:p>
    <w:p w14:paraId="1ABE3E08">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2.前期勘察设计深度不够</w:t>
      </w:r>
    </w:p>
    <w:p w14:paraId="221EEFAB">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ascii="Arial Narrow" w:hAnsi="Arial Narrow" w:eastAsia="仿宋_GB2312"/>
          <w:color w:val="auto"/>
          <w:sz w:val="24"/>
          <w:u w:val="none"/>
        </w:rPr>
        <w:t>根据开工令，开工时间为2022年10月，合同约定工期12个月，</w:t>
      </w:r>
      <w:r>
        <w:rPr>
          <w:rStyle w:val="10"/>
          <w:rFonts w:hint="eastAsia" w:ascii="Arial Narrow" w:hAnsi="Arial Narrow" w:eastAsia="仿宋_GB2312"/>
          <w:color w:val="auto"/>
          <w:sz w:val="24"/>
          <w:u w:val="none"/>
        </w:rPr>
        <w:t>因地基为坚硬岩层，不易挖掘，且靠近居民点，无法实施爆破，导致拖延工期，</w:t>
      </w:r>
      <w:r>
        <w:rPr>
          <w:rStyle w:val="10"/>
          <w:rFonts w:ascii="Arial Narrow" w:hAnsi="Arial Narrow" w:eastAsia="仿宋_GB2312"/>
          <w:color w:val="auto"/>
          <w:sz w:val="24"/>
          <w:u w:val="none"/>
        </w:rPr>
        <w:t>截</w:t>
      </w:r>
      <w:r>
        <w:rPr>
          <w:rStyle w:val="10"/>
          <w:rFonts w:hint="eastAsia" w:ascii="Arial Narrow" w:hAnsi="Arial Narrow" w:eastAsia="仿宋_GB2312"/>
          <w:color w:val="auto"/>
          <w:sz w:val="24"/>
          <w:u w:val="none"/>
        </w:rPr>
        <w:t>至</w:t>
      </w:r>
      <w:r>
        <w:rPr>
          <w:rStyle w:val="10"/>
          <w:rFonts w:ascii="Arial Narrow" w:hAnsi="Arial Narrow" w:eastAsia="仿宋_GB2312"/>
          <w:color w:val="auto"/>
          <w:sz w:val="24"/>
          <w:u w:val="none"/>
        </w:rPr>
        <w:t>2024年6月尚未完工</w:t>
      </w:r>
      <w:r>
        <w:rPr>
          <w:rStyle w:val="10"/>
          <w:rFonts w:hint="eastAsia" w:ascii="Arial Narrow" w:hAnsi="Arial Narrow" w:eastAsia="仿宋_GB2312"/>
          <w:color w:val="auto"/>
          <w:sz w:val="24"/>
          <w:u w:val="none"/>
        </w:rPr>
        <w:t>。</w:t>
      </w:r>
    </w:p>
    <w:p w14:paraId="439DFF36">
      <w:pPr>
        <w:spacing w:before="120" w:beforeLines="50" w:line="360" w:lineRule="auto"/>
        <w:ind w:firstLine="482" w:firstLineChars="200"/>
        <w:jc w:val="left"/>
        <w:outlineLvl w:val="0"/>
        <w:rPr>
          <w:rFonts w:ascii="仿宋_GB2312" w:eastAsia="仿宋_GB2312"/>
          <w:b/>
          <w:sz w:val="24"/>
        </w:rPr>
      </w:pPr>
      <w:bookmarkStart w:id="37" w:name="_Toc16195"/>
      <w:r>
        <w:rPr>
          <w:rFonts w:hint="eastAsia" w:ascii="仿宋_GB2312" w:eastAsia="仿宋_GB2312"/>
          <w:b/>
          <w:sz w:val="24"/>
        </w:rPr>
        <w:t>（二）建议</w:t>
      </w:r>
      <w:bookmarkEnd w:id="37"/>
    </w:p>
    <w:p w14:paraId="3076E7BD">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1.规范合同执行，严格按照合同约定执行。</w:t>
      </w:r>
    </w:p>
    <w:p w14:paraId="334BE13D">
      <w:pPr>
        <w:adjustRightInd w:val="0"/>
        <w:snapToGrid w:val="0"/>
        <w:spacing w:line="360" w:lineRule="auto"/>
        <w:ind w:firstLine="480" w:firstLineChars="2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2.项目前期勘察设计应达到足够深度，保证项目的有序推进。</w:t>
      </w:r>
    </w:p>
    <w:p w14:paraId="2D4F6476">
      <w:pPr>
        <w:adjustRightInd w:val="0"/>
        <w:snapToGrid w:val="0"/>
        <w:spacing w:line="360" w:lineRule="auto"/>
        <w:ind w:firstLine="480" w:firstLineChars="200"/>
        <w:rPr>
          <w:rStyle w:val="10"/>
          <w:rFonts w:ascii="Arial Narrow" w:hAnsi="Arial Narrow" w:eastAsia="仿宋_GB2312"/>
          <w:color w:val="auto"/>
          <w:sz w:val="24"/>
          <w:u w:val="none"/>
        </w:rPr>
      </w:pPr>
    </w:p>
    <w:p w14:paraId="24633321">
      <w:pPr>
        <w:adjustRightInd w:val="0"/>
        <w:snapToGrid w:val="0"/>
        <w:spacing w:line="360" w:lineRule="auto"/>
        <w:ind w:firstLine="480" w:firstLineChars="200"/>
        <w:rPr>
          <w:rStyle w:val="10"/>
          <w:rFonts w:ascii="Arial Narrow" w:hAnsi="Arial Narrow" w:eastAsia="仿宋_GB2312"/>
          <w:color w:val="auto"/>
          <w:sz w:val="24"/>
          <w:u w:val="none"/>
        </w:rPr>
      </w:pPr>
    </w:p>
    <w:p w14:paraId="04858768">
      <w:pPr>
        <w:adjustRightInd w:val="0"/>
        <w:snapToGrid w:val="0"/>
        <w:spacing w:line="360" w:lineRule="auto"/>
        <w:ind w:firstLine="480" w:firstLineChars="200"/>
        <w:rPr>
          <w:rStyle w:val="10"/>
          <w:rFonts w:ascii="Arial Narrow" w:hAnsi="Arial Narrow" w:eastAsia="仿宋_GB2312"/>
          <w:color w:val="auto"/>
          <w:sz w:val="24"/>
          <w:u w:val="none"/>
        </w:rPr>
      </w:pPr>
    </w:p>
    <w:p w14:paraId="0965CDC3">
      <w:pPr>
        <w:adjustRightInd w:val="0"/>
        <w:snapToGrid w:val="0"/>
        <w:spacing w:line="360" w:lineRule="auto"/>
        <w:rPr>
          <w:rStyle w:val="10"/>
          <w:rFonts w:ascii="Arial Narrow" w:hAnsi="Arial Narrow" w:eastAsia="仿宋_GB2312"/>
          <w:color w:val="auto"/>
          <w:sz w:val="24"/>
          <w:u w:val="none"/>
        </w:rPr>
      </w:pPr>
    </w:p>
    <w:p w14:paraId="1611EAB8">
      <w:pPr>
        <w:adjustRightInd w:val="0"/>
        <w:snapToGrid w:val="0"/>
        <w:spacing w:line="360" w:lineRule="auto"/>
        <w:ind w:firstLine="480" w:firstLineChars="200"/>
        <w:rPr>
          <w:rStyle w:val="10"/>
          <w:rFonts w:ascii="Arial Narrow" w:hAnsi="Arial Narrow" w:eastAsia="仿宋_GB2312"/>
          <w:color w:val="auto"/>
          <w:sz w:val="24"/>
          <w:u w:val="none"/>
        </w:rPr>
      </w:pPr>
    </w:p>
    <w:p w14:paraId="42D65F25">
      <w:pPr>
        <w:adjustRightInd w:val="0"/>
        <w:snapToGrid w:val="0"/>
        <w:spacing w:line="360" w:lineRule="auto"/>
        <w:rPr>
          <w:rStyle w:val="10"/>
          <w:rFonts w:ascii="Arial Narrow" w:hAnsi="Arial Narrow" w:eastAsia="仿宋_GB2312"/>
          <w:color w:val="auto"/>
          <w:sz w:val="24"/>
          <w:u w:val="none"/>
        </w:rPr>
      </w:pPr>
      <w:r>
        <w:rPr>
          <w:rStyle w:val="10"/>
          <w:rFonts w:ascii="Arial Narrow" w:hAnsi="Arial Narrow" w:eastAsia="仿宋_GB2312"/>
          <w:color w:val="auto"/>
          <w:sz w:val="24"/>
          <w:u w:val="none"/>
        </w:rPr>
        <w:t>附件：1、绩效评价指标体系及评分结果表；</w:t>
      </w:r>
    </w:p>
    <w:p w14:paraId="053D0D0D">
      <w:pPr>
        <w:adjustRightInd w:val="0"/>
        <w:snapToGrid w:val="0"/>
        <w:spacing w:line="360" w:lineRule="auto"/>
        <w:ind w:firstLine="720" w:firstLineChars="300"/>
        <w:rPr>
          <w:rStyle w:val="10"/>
          <w:rFonts w:ascii="Arial Narrow" w:hAnsi="Arial Narrow" w:eastAsia="仿宋_GB2312"/>
          <w:color w:val="auto"/>
          <w:sz w:val="24"/>
          <w:u w:val="none"/>
        </w:rPr>
      </w:pPr>
      <w:r>
        <w:rPr>
          <w:rStyle w:val="10"/>
          <w:rFonts w:ascii="Arial Narrow" w:hAnsi="Arial Narrow" w:eastAsia="仿宋_GB2312"/>
          <w:color w:val="auto"/>
          <w:sz w:val="24"/>
          <w:u w:val="none"/>
        </w:rPr>
        <w:t>2、会计师事务所营业执照和资质复印件。</w:t>
      </w:r>
    </w:p>
    <w:p w14:paraId="59044A92">
      <w:pPr>
        <w:adjustRightInd w:val="0"/>
        <w:snapToGrid w:val="0"/>
        <w:spacing w:line="360" w:lineRule="auto"/>
        <w:ind w:firstLine="720" w:firstLineChars="300"/>
        <w:rPr>
          <w:rStyle w:val="10"/>
          <w:rFonts w:ascii="Arial Narrow" w:hAnsi="Arial Narrow" w:eastAsia="仿宋_GB2312"/>
          <w:color w:val="auto"/>
          <w:sz w:val="24"/>
          <w:u w:val="none"/>
        </w:rPr>
      </w:pPr>
    </w:p>
    <w:p w14:paraId="0B0B1813">
      <w:pPr>
        <w:adjustRightInd w:val="0"/>
        <w:snapToGrid w:val="0"/>
        <w:spacing w:line="360" w:lineRule="auto"/>
        <w:ind w:firstLine="3840" w:firstLineChars="16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重庆铭鸿金全会计师事务所有限责任公司</w:t>
      </w:r>
    </w:p>
    <w:p w14:paraId="780ADD69">
      <w:pPr>
        <w:adjustRightInd w:val="0"/>
        <w:snapToGrid w:val="0"/>
        <w:spacing w:line="360" w:lineRule="auto"/>
        <w:ind w:firstLine="720" w:firstLineChars="300"/>
        <w:rPr>
          <w:rStyle w:val="10"/>
          <w:rFonts w:ascii="Arial Narrow" w:hAnsi="Arial Narrow" w:eastAsia="仿宋_GB2312"/>
          <w:color w:val="auto"/>
          <w:sz w:val="24"/>
          <w:u w:val="none"/>
        </w:rPr>
      </w:pPr>
    </w:p>
    <w:p w14:paraId="72BFB010">
      <w:pPr>
        <w:adjustRightInd w:val="0"/>
        <w:snapToGrid w:val="0"/>
        <w:spacing w:line="360" w:lineRule="auto"/>
        <w:ind w:firstLine="4800" w:firstLineChars="2000"/>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二零二四年六月二十日</w:t>
      </w:r>
    </w:p>
    <w:p w14:paraId="0E003B00">
      <w:pPr>
        <w:adjustRightInd w:val="0"/>
        <w:snapToGrid w:val="0"/>
        <w:spacing w:line="360" w:lineRule="auto"/>
        <w:rPr>
          <w:rStyle w:val="10"/>
          <w:rFonts w:ascii="Arial Narrow" w:hAnsi="Arial Narrow" w:eastAsia="仿宋_GB2312"/>
          <w:color w:val="auto"/>
          <w:sz w:val="24"/>
          <w:u w:val="none"/>
        </w:rPr>
        <w:sectPr>
          <w:headerReference r:id="rId6" w:type="first"/>
          <w:headerReference r:id="rId4" w:type="default"/>
          <w:footerReference r:id="rId7" w:type="default"/>
          <w:headerReference r:id="rId5" w:type="even"/>
          <w:pgSz w:w="11907" w:h="16840" w:orient="landscape"/>
          <w:pgMar w:top="1418" w:right="1418" w:bottom="1134" w:left="1701" w:header="851" w:footer="851" w:gutter="0"/>
          <w:pgNumType w:start="1"/>
          <w:cols w:space="425" w:num="1"/>
          <w:docGrid w:linePitch="312" w:charSpace="0"/>
        </w:sectPr>
      </w:pPr>
    </w:p>
    <w:p w14:paraId="25F710C6">
      <w:pPr>
        <w:adjustRightInd w:val="0"/>
        <w:snapToGrid w:val="0"/>
        <w:spacing w:line="360" w:lineRule="auto"/>
        <w:jc w:val="left"/>
        <w:rPr>
          <w:rStyle w:val="10"/>
          <w:rFonts w:ascii="Arial Narrow" w:hAnsi="Arial Narrow" w:eastAsia="仿宋_GB2312"/>
          <w:color w:val="auto"/>
          <w:sz w:val="24"/>
          <w:u w:val="none"/>
        </w:rPr>
      </w:pPr>
      <w:r>
        <w:rPr>
          <w:rStyle w:val="10"/>
          <w:rFonts w:hint="eastAsia" w:ascii="Arial Narrow" w:hAnsi="Arial Narrow" w:eastAsia="仿宋_GB2312"/>
          <w:color w:val="auto"/>
          <w:sz w:val="24"/>
          <w:u w:val="none"/>
        </w:rPr>
        <w:t>附件1：</w:t>
      </w:r>
    </w:p>
    <w:tbl>
      <w:tblPr>
        <w:tblStyle w:val="8"/>
        <w:tblW w:w="14980" w:type="dxa"/>
        <w:jc w:val="center"/>
        <w:tblLayout w:type="fixed"/>
        <w:tblCellMar>
          <w:top w:w="0" w:type="dxa"/>
          <w:left w:w="108" w:type="dxa"/>
          <w:bottom w:w="0" w:type="dxa"/>
          <w:right w:w="108" w:type="dxa"/>
        </w:tblCellMar>
      </w:tblPr>
      <w:tblGrid>
        <w:gridCol w:w="1041"/>
        <w:gridCol w:w="14"/>
        <w:gridCol w:w="1134"/>
        <w:gridCol w:w="1081"/>
        <w:gridCol w:w="620"/>
        <w:gridCol w:w="3030"/>
        <w:gridCol w:w="3921"/>
        <w:gridCol w:w="716"/>
        <w:gridCol w:w="3423"/>
      </w:tblGrid>
      <w:tr w14:paraId="3606DE05">
        <w:tblPrEx>
          <w:tblCellMar>
            <w:top w:w="0" w:type="dxa"/>
            <w:left w:w="108" w:type="dxa"/>
            <w:bottom w:w="0" w:type="dxa"/>
            <w:right w:w="108" w:type="dxa"/>
          </w:tblCellMar>
        </w:tblPrEx>
        <w:trPr>
          <w:trHeight w:val="397" w:hRule="atLeast"/>
          <w:jc w:val="center"/>
        </w:trPr>
        <w:tc>
          <w:tcPr>
            <w:tcW w:w="14980" w:type="dxa"/>
            <w:gridSpan w:val="9"/>
            <w:tcBorders>
              <w:top w:val="nil"/>
              <w:left w:val="nil"/>
              <w:bottom w:val="nil"/>
              <w:right w:val="nil"/>
            </w:tcBorders>
            <w:shd w:val="clear" w:color="auto" w:fill="auto"/>
            <w:noWrap/>
            <w:vAlign w:val="center"/>
          </w:tcPr>
          <w:p w14:paraId="5A426B69">
            <w:pPr>
              <w:widowControl/>
              <w:jc w:val="center"/>
              <w:textAlignment w:val="center"/>
              <w:rPr>
                <w:rStyle w:val="10"/>
                <w:rFonts w:ascii="Arial Narrow" w:hAnsi="Arial Narrow" w:eastAsia="仿宋_GB2312"/>
                <w:color w:val="auto"/>
                <w:sz w:val="24"/>
                <w:u w:val="none"/>
              </w:rPr>
            </w:pPr>
            <w:r>
              <w:rPr>
                <w:rFonts w:hint="eastAsia" w:ascii="宋体" w:hAnsi="宋体" w:cs="宋体"/>
                <w:b/>
                <w:bCs/>
                <w:color w:val="000000"/>
                <w:kern w:val="0"/>
                <w:sz w:val="24"/>
                <w:lang w:bidi="ar"/>
              </w:rPr>
              <w:t>铜梁区太平水厂工程（一期）项目绩效评价指标体系及评分结果表</w:t>
            </w:r>
          </w:p>
        </w:tc>
      </w:tr>
      <w:tr w14:paraId="2FF1DE61">
        <w:tblPrEx>
          <w:tblCellMar>
            <w:top w:w="0" w:type="dxa"/>
            <w:left w:w="108" w:type="dxa"/>
            <w:bottom w:w="0" w:type="dxa"/>
            <w:right w:w="108" w:type="dxa"/>
          </w:tblCellMar>
        </w:tblPrEx>
        <w:trPr>
          <w:trHeight w:val="397" w:hRule="atLeast"/>
          <w:jc w:val="center"/>
        </w:trPr>
        <w:tc>
          <w:tcPr>
            <w:tcW w:w="1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CF182">
            <w:pPr>
              <w:widowControl/>
              <w:jc w:val="center"/>
              <w:textAlignment w:val="center"/>
              <w:rPr>
                <w:rStyle w:val="10"/>
                <w:rFonts w:ascii="Arial Narrow" w:hAnsi="Arial Narrow" w:eastAsia="仿宋_GB2312"/>
                <w:color w:val="auto"/>
                <w:sz w:val="24"/>
                <w:u w:val="none"/>
              </w:rPr>
            </w:pPr>
            <w:r>
              <w:rPr>
                <w:rFonts w:hint="eastAsia" w:ascii="宋体" w:hAnsi="宋体" w:cs="宋体"/>
                <w:color w:val="000000"/>
                <w:kern w:val="0"/>
                <w:sz w:val="20"/>
                <w:szCs w:val="20"/>
                <w:lang w:bidi="ar"/>
              </w:rPr>
              <w:t>一级指标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0A86">
            <w:pPr>
              <w:widowControl/>
              <w:jc w:val="center"/>
              <w:textAlignment w:val="center"/>
              <w:rPr>
                <w:rStyle w:val="10"/>
                <w:rFonts w:ascii="Arial Narrow" w:hAnsi="Arial Narrow" w:eastAsia="仿宋_GB2312"/>
                <w:color w:val="auto"/>
                <w:sz w:val="24"/>
                <w:u w:val="none"/>
              </w:rPr>
            </w:pPr>
            <w:r>
              <w:rPr>
                <w:rFonts w:hint="eastAsia" w:ascii="宋体" w:hAnsi="宋体" w:cs="宋体"/>
                <w:color w:val="000000"/>
                <w:kern w:val="0"/>
                <w:sz w:val="20"/>
                <w:szCs w:val="20"/>
                <w:lang w:bidi="ar"/>
              </w:rPr>
              <w:t>二级指标</w:t>
            </w:r>
          </w:p>
        </w:tc>
        <w:tc>
          <w:tcPr>
            <w:tcW w:w="1081" w:type="dxa"/>
            <w:tcBorders>
              <w:top w:val="single" w:color="000000" w:sz="4" w:space="0"/>
              <w:left w:val="single" w:color="000000" w:sz="4" w:space="0"/>
              <w:right w:val="single" w:color="000000" w:sz="4" w:space="0"/>
            </w:tcBorders>
            <w:shd w:val="clear" w:color="auto" w:fill="auto"/>
            <w:vAlign w:val="center"/>
          </w:tcPr>
          <w:p w14:paraId="6E46D544">
            <w:pPr>
              <w:jc w:val="center"/>
              <w:textAlignment w:val="center"/>
              <w:rPr>
                <w:rStyle w:val="10"/>
                <w:rFonts w:ascii="Arial Narrow" w:hAnsi="Arial Narrow" w:eastAsia="仿宋_GB2312"/>
                <w:color w:val="auto"/>
                <w:sz w:val="24"/>
                <w:u w:val="none"/>
              </w:rPr>
            </w:pPr>
            <w:r>
              <w:rPr>
                <w:rFonts w:hint="eastAsia" w:ascii="宋体" w:hAnsi="宋体" w:cs="宋体"/>
                <w:color w:val="000000"/>
                <w:kern w:val="0"/>
                <w:sz w:val="20"/>
                <w:szCs w:val="20"/>
                <w:lang w:bidi="ar"/>
              </w:rPr>
              <w:t>三级指标</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7D0C">
            <w:pPr>
              <w:widowControl/>
              <w:jc w:val="center"/>
              <w:textAlignment w:val="center"/>
            </w:pPr>
            <w:r>
              <w:rPr>
                <w:rFonts w:hint="eastAsia" w:ascii="宋体" w:hAnsi="宋体" w:cs="宋体"/>
                <w:color w:val="000000"/>
                <w:kern w:val="0"/>
                <w:sz w:val="20"/>
                <w:szCs w:val="20"/>
                <w:lang w:bidi="ar"/>
              </w:rPr>
              <w:t>指标分值</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25C7">
            <w:pPr>
              <w:widowControl/>
              <w:jc w:val="center"/>
              <w:textAlignment w:val="center"/>
              <w:rPr>
                <w:rStyle w:val="10"/>
                <w:rFonts w:ascii="Arial Narrow" w:hAnsi="Arial Narrow" w:eastAsia="仿宋_GB2312"/>
                <w:color w:val="auto"/>
                <w:sz w:val="24"/>
                <w:u w:val="none"/>
              </w:rPr>
            </w:pPr>
            <w:r>
              <w:rPr>
                <w:rFonts w:hint="eastAsia" w:ascii="宋体" w:hAnsi="宋体" w:cs="宋体"/>
                <w:color w:val="000000"/>
                <w:kern w:val="0"/>
                <w:sz w:val="20"/>
                <w:szCs w:val="20"/>
                <w:lang w:bidi="ar"/>
              </w:rPr>
              <w:t>指标解释</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5E01">
            <w:pPr>
              <w:widowControl/>
              <w:jc w:val="center"/>
              <w:textAlignment w:val="center"/>
              <w:rPr>
                <w:rStyle w:val="10"/>
                <w:rFonts w:ascii="Arial Narrow" w:hAnsi="Arial Narrow" w:eastAsia="仿宋_GB2312"/>
                <w:color w:val="auto"/>
                <w:sz w:val="24"/>
                <w:u w:val="none"/>
              </w:rPr>
            </w:pPr>
            <w:r>
              <w:rPr>
                <w:rFonts w:hint="eastAsia" w:ascii="宋体" w:hAnsi="宋体" w:cs="宋体"/>
                <w:color w:val="000000"/>
                <w:kern w:val="0"/>
                <w:sz w:val="20"/>
                <w:szCs w:val="20"/>
                <w:lang w:bidi="ar"/>
              </w:rPr>
              <w:t>评价要点及说明</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AA25">
            <w:pPr>
              <w:widowControl/>
              <w:jc w:val="center"/>
              <w:textAlignment w:val="center"/>
              <w:rPr>
                <w:rStyle w:val="10"/>
                <w:rFonts w:ascii="Arial Narrow" w:hAnsi="Arial Narrow" w:eastAsia="仿宋_GB2312"/>
                <w:color w:val="auto"/>
                <w:sz w:val="24"/>
                <w:u w:val="none"/>
              </w:rPr>
            </w:pPr>
            <w:r>
              <w:rPr>
                <w:rFonts w:hint="eastAsia" w:ascii="宋体" w:hAnsi="宋体" w:cs="宋体"/>
                <w:color w:val="000000"/>
                <w:kern w:val="0"/>
                <w:sz w:val="20"/>
                <w:szCs w:val="20"/>
                <w:lang w:bidi="ar"/>
              </w:rPr>
              <w:t>得分</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B526">
            <w:pPr>
              <w:widowControl/>
              <w:jc w:val="center"/>
              <w:textAlignment w:val="center"/>
              <w:rPr>
                <w:rStyle w:val="10"/>
                <w:rFonts w:ascii="Arial Narrow" w:hAnsi="Arial Narrow" w:eastAsia="仿宋_GB2312"/>
                <w:color w:val="auto"/>
                <w:sz w:val="24"/>
                <w:u w:val="none"/>
              </w:rPr>
            </w:pPr>
            <w:r>
              <w:rPr>
                <w:rFonts w:hint="eastAsia" w:ascii="宋体" w:hAnsi="宋体" w:cs="宋体"/>
                <w:color w:val="000000"/>
                <w:kern w:val="0"/>
                <w:sz w:val="20"/>
                <w:szCs w:val="20"/>
                <w:lang w:bidi="ar"/>
              </w:rPr>
              <w:t>得分说明</w:t>
            </w:r>
          </w:p>
        </w:tc>
      </w:tr>
      <w:tr w14:paraId="1148CEEB">
        <w:tblPrEx>
          <w:tblCellMar>
            <w:top w:w="0" w:type="dxa"/>
            <w:left w:w="108" w:type="dxa"/>
            <w:bottom w:w="0" w:type="dxa"/>
            <w:right w:w="108" w:type="dxa"/>
          </w:tblCellMar>
        </w:tblPrEx>
        <w:trPr>
          <w:trHeight w:val="397" w:hRule="atLeast"/>
          <w:jc w:val="center"/>
        </w:trPr>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00154">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投入</w:t>
            </w:r>
          </w:p>
          <w:p w14:paraId="77E9C017">
            <w:pPr>
              <w:widowControl/>
              <w:jc w:val="center"/>
              <w:textAlignment w:val="center"/>
              <w:rPr>
                <w:rStyle w:val="10"/>
                <w:rFonts w:ascii="Arial Narrow" w:hAnsi="Arial Narrow" w:eastAsia="仿宋_GB2312"/>
                <w:color w:val="auto"/>
                <w:sz w:val="24"/>
                <w:u w:val="none"/>
              </w:rPr>
            </w:pPr>
            <w:r>
              <w:rPr>
                <w:rFonts w:hint="eastAsia" w:ascii="宋体" w:hAnsi="宋体" w:cs="宋体"/>
                <w:color w:val="000000"/>
                <w:kern w:val="0"/>
                <w:sz w:val="20"/>
                <w:szCs w:val="20"/>
                <w:lang w:bidi="ar"/>
              </w:rPr>
              <w:t>（20分）</w:t>
            </w:r>
          </w:p>
        </w:tc>
        <w:tc>
          <w:tcPr>
            <w:tcW w:w="1148" w:type="dxa"/>
            <w:gridSpan w:val="2"/>
            <w:tcBorders>
              <w:top w:val="single" w:color="000000" w:sz="4" w:space="0"/>
              <w:left w:val="single" w:color="000000" w:sz="4" w:space="0"/>
              <w:bottom w:val="nil"/>
              <w:right w:val="single" w:color="000000" w:sz="4" w:space="0"/>
            </w:tcBorders>
            <w:shd w:val="clear" w:color="auto" w:fill="auto"/>
            <w:vAlign w:val="center"/>
          </w:tcPr>
          <w:p w14:paraId="5DC3DA87">
            <w:pPr>
              <w:widowControl/>
              <w:jc w:val="center"/>
              <w:textAlignment w:val="center"/>
              <w:rPr>
                <w:rStyle w:val="10"/>
                <w:rFonts w:ascii="Arial Narrow" w:hAnsi="Arial Narrow" w:eastAsia="仿宋_GB2312"/>
                <w:color w:val="auto"/>
                <w:sz w:val="24"/>
                <w:u w:val="none"/>
              </w:rPr>
            </w:pPr>
            <w:r>
              <w:rPr>
                <w:rFonts w:hint="eastAsia" w:ascii="宋体" w:hAnsi="宋体" w:cs="宋体"/>
                <w:color w:val="000000"/>
                <w:kern w:val="0"/>
                <w:sz w:val="20"/>
                <w:szCs w:val="20"/>
                <w:lang w:bidi="ar"/>
              </w:rPr>
              <w:t>项目立项（2分）</w:t>
            </w:r>
          </w:p>
        </w:tc>
        <w:tc>
          <w:tcPr>
            <w:tcW w:w="1081" w:type="dxa"/>
            <w:tcBorders>
              <w:top w:val="single" w:color="000000" w:sz="4" w:space="0"/>
              <w:left w:val="single" w:color="000000" w:sz="4" w:space="0"/>
              <w:bottom w:val="nil"/>
              <w:right w:val="single" w:color="000000" w:sz="4" w:space="0"/>
            </w:tcBorders>
            <w:shd w:val="clear" w:color="auto" w:fill="auto"/>
            <w:vAlign w:val="center"/>
          </w:tcPr>
          <w:p w14:paraId="2AF03288">
            <w:pPr>
              <w:widowControl/>
              <w:jc w:val="center"/>
              <w:textAlignment w:val="center"/>
            </w:pPr>
            <w:r>
              <w:rPr>
                <w:rFonts w:hint="eastAsia" w:ascii="宋体" w:hAnsi="宋体" w:cs="宋体"/>
                <w:color w:val="000000"/>
                <w:kern w:val="0"/>
                <w:sz w:val="20"/>
                <w:szCs w:val="20"/>
                <w:lang w:bidi="ar"/>
              </w:rPr>
              <w:t>项目立项规范性</w:t>
            </w:r>
          </w:p>
        </w:tc>
        <w:tc>
          <w:tcPr>
            <w:tcW w:w="620" w:type="dxa"/>
            <w:tcBorders>
              <w:top w:val="single" w:color="000000" w:sz="4" w:space="0"/>
              <w:left w:val="single" w:color="000000" w:sz="4" w:space="0"/>
              <w:bottom w:val="nil"/>
              <w:right w:val="single" w:color="000000" w:sz="4" w:space="0"/>
            </w:tcBorders>
            <w:shd w:val="clear" w:color="auto" w:fill="auto"/>
            <w:vAlign w:val="center"/>
          </w:tcPr>
          <w:p w14:paraId="19B6C8BE">
            <w:pPr>
              <w:widowControl/>
              <w:jc w:val="center"/>
              <w:textAlignment w:val="center"/>
              <w:rPr>
                <w:rStyle w:val="10"/>
                <w:rFonts w:ascii="Arial Narrow" w:hAnsi="Arial Narrow" w:eastAsia="仿宋_GB2312"/>
                <w:color w:val="auto"/>
                <w:sz w:val="24"/>
                <w:u w:val="none"/>
              </w:rPr>
            </w:pPr>
            <w:r>
              <w:rPr>
                <w:rFonts w:hint="eastAsia" w:ascii="宋体" w:hAnsi="宋体" w:cs="宋体"/>
                <w:color w:val="000000"/>
                <w:kern w:val="0"/>
                <w:sz w:val="20"/>
                <w:szCs w:val="20"/>
                <w:lang w:bidi="ar"/>
              </w:rPr>
              <w:t>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89A3">
            <w:pPr>
              <w:widowControl/>
              <w:jc w:val="left"/>
              <w:textAlignment w:val="center"/>
              <w:rPr>
                <w:rStyle w:val="10"/>
                <w:rFonts w:ascii="Arial Narrow" w:hAnsi="Arial Narrow" w:eastAsia="仿宋_GB2312"/>
                <w:color w:val="auto"/>
                <w:sz w:val="24"/>
                <w:u w:val="none"/>
              </w:rPr>
            </w:pPr>
            <w:r>
              <w:rPr>
                <w:rFonts w:hint="eastAsia" w:ascii="宋体" w:hAnsi="宋体" w:cs="宋体"/>
                <w:color w:val="000000"/>
                <w:kern w:val="0"/>
                <w:sz w:val="20"/>
                <w:szCs w:val="20"/>
                <w:lang w:bidi="ar"/>
              </w:rPr>
              <w:t>项目是否按照规定的程序申请设立，所提交的文件、材料是否符合相关要求，事前是否已经过必要的可行性研究、专家论证、风险评估、集体决策等。</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C82C">
            <w:pPr>
              <w:widowControl/>
              <w:jc w:val="left"/>
              <w:textAlignment w:val="center"/>
              <w:rPr>
                <w:rStyle w:val="10"/>
                <w:rFonts w:ascii="Arial Narrow" w:hAnsi="Arial Narrow" w:eastAsia="仿宋_GB2312"/>
                <w:color w:val="auto"/>
                <w:sz w:val="24"/>
                <w:u w:val="none"/>
              </w:rPr>
            </w:pPr>
            <w:r>
              <w:rPr>
                <w:rFonts w:hint="eastAsia" w:ascii="宋体" w:hAnsi="宋体" w:cs="宋体"/>
                <w:color w:val="000000"/>
                <w:kern w:val="0"/>
                <w:sz w:val="20"/>
                <w:szCs w:val="20"/>
                <w:lang w:bidi="ar"/>
              </w:rPr>
              <w:t>立项完整，程序合规得2分，否则得0分。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BA17">
            <w:pPr>
              <w:widowControl/>
              <w:jc w:val="center"/>
              <w:textAlignment w:val="center"/>
              <w:rPr>
                <w:rStyle w:val="10"/>
                <w:rFonts w:ascii="Arial Narrow" w:hAnsi="Arial Narrow" w:eastAsia="仿宋_GB2312"/>
                <w:color w:val="auto"/>
                <w:sz w:val="24"/>
                <w:u w:val="none"/>
              </w:rPr>
            </w:pPr>
            <w:r>
              <w:rPr>
                <w:rFonts w:hint="eastAsia" w:ascii="宋体" w:hAnsi="宋体" w:cs="宋体"/>
                <w:color w:val="000000"/>
                <w:kern w:val="0"/>
                <w:sz w:val="20"/>
                <w:szCs w:val="20"/>
                <w:lang w:bidi="ar"/>
              </w:rPr>
              <w:t>2</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2017">
            <w:pPr>
              <w:widowControl/>
              <w:jc w:val="left"/>
              <w:textAlignment w:val="center"/>
              <w:rPr>
                <w:rStyle w:val="10"/>
                <w:rFonts w:ascii="Arial Narrow" w:hAnsi="Arial Narrow" w:eastAsia="仿宋_GB2312"/>
                <w:color w:val="auto"/>
                <w:sz w:val="24"/>
                <w:u w:val="none"/>
              </w:rPr>
            </w:pPr>
            <w:r>
              <w:rPr>
                <w:rFonts w:hint="eastAsia" w:ascii="宋体" w:hAnsi="宋体" w:cs="宋体"/>
                <w:color w:val="000000"/>
                <w:kern w:val="0"/>
                <w:sz w:val="20"/>
                <w:szCs w:val="20"/>
                <w:lang w:bidi="ar"/>
              </w:rPr>
              <w:t>立项程序完整合规，提交的文件材料符合要求，经过总经理办公会、支委会等集体决策，得2分。</w:t>
            </w:r>
          </w:p>
        </w:tc>
      </w:tr>
      <w:tr w14:paraId="43806EA7">
        <w:tblPrEx>
          <w:tblCellMar>
            <w:top w:w="0" w:type="dxa"/>
            <w:left w:w="108" w:type="dxa"/>
            <w:bottom w:w="0" w:type="dxa"/>
            <w:right w:w="108" w:type="dxa"/>
          </w:tblCellMar>
        </w:tblPrEx>
        <w:trPr>
          <w:trHeight w:val="397"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7CC64">
            <w:pPr>
              <w:jc w:val="center"/>
              <w:rPr>
                <w:rStyle w:val="10"/>
                <w:rFonts w:ascii="Arial Narrow" w:hAnsi="Arial Narrow" w:eastAsia="仿宋_GB2312"/>
                <w:color w:val="auto"/>
                <w:sz w:val="24"/>
              </w:rPr>
            </w:pPr>
          </w:p>
        </w:tc>
        <w:tc>
          <w:tcPr>
            <w:tcW w:w="11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F3472">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决策依据（6分）</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C17E">
            <w:pPr>
              <w:widowControl/>
              <w:jc w:val="center"/>
              <w:textAlignment w:val="center"/>
            </w:pPr>
            <w:r>
              <w:rPr>
                <w:rFonts w:hint="eastAsia" w:ascii="宋体" w:hAnsi="宋体" w:cs="宋体"/>
                <w:color w:val="000000"/>
                <w:kern w:val="0"/>
                <w:sz w:val="20"/>
                <w:szCs w:val="20"/>
                <w:lang w:bidi="ar"/>
              </w:rPr>
              <w:t>国家政策</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08C5">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CEE2">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是否符合国家政策。</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A485">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符合国家政策，非国家禁止项目得2分，否则得0分。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B4F6">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A51E">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该项目在《重庆市铜梁区城镇供水专业规划（2019-2030 年）》内，建设水厂属于国家支持项目，得2分。</w:t>
            </w:r>
          </w:p>
        </w:tc>
      </w:tr>
      <w:tr w14:paraId="1B6A2611">
        <w:tblPrEx>
          <w:tblCellMar>
            <w:top w:w="0" w:type="dxa"/>
            <w:left w:w="108" w:type="dxa"/>
            <w:bottom w:w="0" w:type="dxa"/>
            <w:right w:w="108" w:type="dxa"/>
          </w:tblCellMar>
        </w:tblPrEx>
        <w:trPr>
          <w:trHeight w:val="397"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CE152">
            <w:pPr>
              <w:jc w:val="center"/>
              <w:rPr>
                <w:rStyle w:val="10"/>
                <w:rFonts w:ascii="Arial Narrow" w:hAnsi="Arial Narrow" w:eastAsia="仿宋_GB2312"/>
                <w:color w:val="auto"/>
                <w:sz w:val="24"/>
              </w:rPr>
            </w:pPr>
          </w:p>
        </w:tc>
        <w:tc>
          <w:tcPr>
            <w:tcW w:w="11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65D0B">
            <w:pPr>
              <w:jc w:val="center"/>
              <w:rPr>
                <w:rStyle w:val="10"/>
                <w:rFonts w:ascii="Arial Narrow" w:hAnsi="Arial Narrow" w:eastAsia="仿宋_GB2312"/>
                <w:color w:val="auto"/>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380B">
            <w:pPr>
              <w:widowControl/>
              <w:jc w:val="center"/>
              <w:textAlignment w:val="center"/>
            </w:pPr>
            <w:r>
              <w:rPr>
                <w:rFonts w:hint="eastAsia" w:ascii="宋体" w:hAnsi="宋体" w:cs="宋体"/>
                <w:color w:val="000000"/>
                <w:kern w:val="0"/>
                <w:sz w:val="20"/>
                <w:szCs w:val="20"/>
                <w:lang w:bidi="ar"/>
              </w:rPr>
              <w:t>市场发展</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F42A">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31CE">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项目建议书、可行性研究报告等，是否对行业政策调查、资源状况调查、市场状况、经济效益、社会效益、环境效益等进行分析。</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9556">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编制项目建议书、可行性研究分析报告等，且其内容已对行业政策调查、资源状况调查、市场状况、经济效益、社会效益、环境效益进行分析，结论可行得2分，否则不得分。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5DAA">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33BF">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可行性研究报告和项目建议书已体现对行业政策调查、资源状况调查、市场状况、经济效益、社会效益、环境效益的分析，结论可行，得2分。</w:t>
            </w:r>
          </w:p>
        </w:tc>
      </w:tr>
      <w:tr w14:paraId="24CD1055">
        <w:tblPrEx>
          <w:tblCellMar>
            <w:top w:w="0" w:type="dxa"/>
            <w:left w:w="108" w:type="dxa"/>
            <w:bottom w:w="0" w:type="dxa"/>
            <w:right w:w="108" w:type="dxa"/>
          </w:tblCellMar>
        </w:tblPrEx>
        <w:trPr>
          <w:trHeight w:val="397"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30CDC">
            <w:pPr>
              <w:jc w:val="center"/>
              <w:rPr>
                <w:rStyle w:val="10"/>
                <w:rFonts w:ascii="Arial Narrow" w:hAnsi="Arial Narrow" w:eastAsia="仿宋_GB2312"/>
                <w:color w:val="auto"/>
                <w:sz w:val="24"/>
              </w:rPr>
            </w:pPr>
          </w:p>
        </w:tc>
        <w:tc>
          <w:tcPr>
            <w:tcW w:w="11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AA7FD">
            <w:pPr>
              <w:jc w:val="center"/>
              <w:rPr>
                <w:rStyle w:val="10"/>
                <w:rFonts w:ascii="Arial Narrow" w:hAnsi="Arial Narrow" w:eastAsia="仿宋_GB2312"/>
                <w:color w:val="auto"/>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0409">
            <w:pPr>
              <w:widowControl/>
              <w:jc w:val="center"/>
              <w:textAlignment w:val="center"/>
            </w:pPr>
            <w:r>
              <w:rPr>
                <w:rFonts w:hint="eastAsia" w:ascii="宋体" w:hAnsi="宋体" w:cs="宋体"/>
                <w:color w:val="000000"/>
                <w:kern w:val="0"/>
                <w:sz w:val="20"/>
                <w:szCs w:val="20"/>
                <w:lang w:bidi="ar"/>
              </w:rPr>
              <w:t>指标明确性</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3FB0">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76FD">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项目建议书、可行性研究报告、实施方案等内容目标设定的效益指标是否清晰、细化、可衡量。</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6A6D">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项目建议书、可行性研究报告、实施方案等已将效益目标通过清晰、可衡量的指标予以体现得2分，否则的0分。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C3E7">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90C9">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项目建议书、可行性研究报告、实施方案等已将效益目标通过清晰、可衡量的指标予以体现，得2分。</w:t>
            </w:r>
          </w:p>
        </w:tc>
      </w:tr>
      <w:tr w14:paraId="6B7D09D7">
        <w:tblPrEx>
          <w:tblCellMar>
            <w:top w:w="0" w:type="dxa"/>
            <w:left w:w="108" w:type="dxa"/>
            <w:bottom w:w="0" w:type="dxa"/>
            <w:right w:w="108" w:type="dxa"/>
          </w:tblCellMar>
        </w:tblPrEx>
        <w:trPr>
          <w:trHeight w:val="397"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58BA3">
            <w:pPr>
              <w:jc w:val="center"/>
              <w:rPr>
                <w:rStyle w:val="10"/>
                <w:rFonts w:ascii="Arial Narrow" w:hAnsi="Arial Narrow" w:eastAsia="仿宋_GB2312"/>
                <w:color w:val="auto"/>
                <w:sz w:val="24"/>
              </w:rPr>
            </w:pPr>
          </w:p>
        </w:tc>
        <w:tc>
          <w:tcPr>
            <w:tcW w:w="1148" w:type="dxa"/>
            <w:gridSpan w:val="2"/>
            <w:tcBorders>
              <w:top w:val="single" w:color="000000" w:sz="4" w:space="0"/>
              <w:left w:val="single" w:color="000000" w:sz="4" w:space="0"/>
              <w:bottom w:val="nil"/>
              <w:right w:val="single" w:color="000000" w:sz="4" w:space="0"/>
            </w:tcBorders>
            <w:shd w:val="clear" w:color="auto" w:fill="auto"/>
            <w:vAlign w:val="center"/>
          </w:tcPr>
          <w:p w14:paraId="196ACD68">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决策程序（6分）</w:t>
            </w:r>
          </w:p>
        </w:tc>
        <w:tc>
          <w:tcPr>
            <w:tcW w:w="1081" w:type="dxa"/>
            <w:tcBorders>
              <w:top w:val="single" w:color="000000" w:sz="4" w:space="0"/>
              <w:left w:val="single" w:color="000000" w:sz="4" w:space="0"/>
              <w:bottom w:val="nil"/>
              <w:right w:val="single" w:color="000000" w:sz="4" w:space="0"/>
            </w:tcBorders>
            <w:shd w:val="clear" w:color="auto" w:fill="auto"/>
            <w:vAlign w:val="center"/>
          </w:tcPr>
          <w:p w14:paraId="332A6ACD">
            <w:pPr>
              <w:widowControl/>
              <w:jc w:val="center"/>
              <w:textAlignment w:val="center"/>
            </w:pPr>
            <w:r>
              <w:rPr>
                <w:rFonts w:hint="eastAsia" w:ascii="宋体" w:hAnsi="宋体" w:cs="宋体"/>
                <w:color w:val="000000"/>
                <w:kern w:val="0"/>
                <w:sz w:val="20"/>
                <w:szCs w:val="20"/>
                <w:lang w:bidi="ar"/>
              </w:rPr>
              <w:t>决策程序合规性</w:t>
            </w:r>
          </w:p>
        </w:tc>
        <w:tc>
          <w:tcPr>
            <w:tcW w:w="620" w:type="dxa"/>
            <w:tcBorders>
              <w:top w:val="single" w:color="000000" w:sz="4" w:space="0"/>
              <w:left w:val="single" w:color="000000" w:sz="4" w:space="0"/>
              <w:bottom w:val="nil"/>
              <w:right w:val="single" w:color="000000" w:sz="4" w:space="0"/>
            </w:tcBorders>
            <w:shd w:val="clear" w:color="auto" w:fill="FFFFFF"/>
            <w:vAlign w:val="center"/>
          </w:tcPr>
          <w:p w14:paraId="46D560CD">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6</w:t>
            </w:r>
          </w:p>
        </w:tc>
        <w:tc>
          <w:tcPr>
            <w:tcW w:w="3030" w:type="dxa"/>
            <w:tcBorders>
              <w:top w:val="single" w:color="000000" w:sz="4" w:space="0"/>
              <w:left w:val="single" w:color="000000" w:sz="4" w:space="0"/>
              <w:bottom w:val="nil"/>
              <w:right w:val="single" w:color="000000" w:sz="4" w:space="0"/>
            </w:tcBorders>
            <w:shd w:val="clear" w:color="auto" w:fill="FFFFFF"/>
            <w:vAlign w:val="center"/>
          </w:tcPr>
          <w:p w14:paraId="3DBF760C">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是否按单位内部决策流程进行决策；项目立项、可研、实施方案等是否得到有关单位批复。</w:t>
            </w:r>
          </w:p>
        </w:tc>
        <w:tc>
          <w:tcPr>
            <w:tcW w:w="3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AAD5D">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已获得单位项目投资决策程序批准得3分；已取得立项和可研实施方案批复得3分否则得0分。</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5AC2A">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6</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27EB7">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经过总经理办公会、支委会等内部决策批准，取得发改委得立项和可研批复，得6分。</w:t>
            </w:r>
          </w:p>
        </w:tc>
      </w:tr>
      <w:tr w14:paraId="22FFB1AE">
        <w:tblPrEx>
          <w:tblCellMar>
            <w:top w:w="0" w:type="dxa"/>
            <w:left w:w="108" w:type="dxa"/>
            <w:bottom w:w="0" w:type="dxa"/>
            <w:right w:w="108" w:type="dxa"/>
          </w:tblCellMar>
        </w:tblPrEx>
        <w:trPr>
          <w:trHeight w:val="397"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6D799">
            <w:pPr>
              <w:jc w:val="center"/>
              <w:rPr>
                <w:rStyle w:val="10"/>
                <w:rFonts w:ascii="Arial Narrow" w:hAnsi="Arial Narrow" w:eastAsia="仿宋_GB2312"/>
                <w:color w:val="auto"/>
                <w:sz w:val="24"/>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18899">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决策内容（2分）</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D7DE">
            <w:pPr>
              <w:widowControl/>
              <w:jc w:val="center"/>
              <w:textAlignment w:val="center"/>
            </w:pPr>
            <w:r>
              <w:rPr>
                <w:rFonts w:hint="eastAsia" w:ascii="宋体" w:hAnsi="宋体" w:cs="宋体"/>
                <w:color w:val="000000"/>
                <w:kern w:val="0"/>
                <w:sz w:val="20"/>
                <w:szCs w:val="20"/>
                <w:lang w:bidi="ar"/>
              </w:rPr>
              <w:t>建设范围、地点、规模、总体投资</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F27E">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F241">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决策批复已对项目申请实施方案内容进行全部决策并不存在重大偏差。</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1D22">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批复决策内容与申请方案一致得2分，否则得0分。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3AA2">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EA86">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批复内容与申请实施内容一致，得2分。</w:t>
            </w:r>
          </w:p>
        </w:tc>
      </w:tr>
      <w:tr w14:paraId="4E63756D">
        <w:tblPrEx>
          <w:tblCellMar>
            <w:top w:w="0" w:type="dxa"/>
            <w:left w:w="108" w:type="dxa"/>
            <w:bottom w:w="0" w:type="dxa"/>
            <w:right w:w="108" w:type="dxa"/>
          </w:tblCellMar>
        </w:tblPrEx>
        <w:trPr>
          <w:trHeight w:val="397"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3EE0B">
            <w:pPr>
              <w:jc w:val="center"/>
              <w:rPr>
                <w:rStyle w:val="10"/>
                <w:rFonts w:ascii="Arial Narrow" w:hAnsi="Arial Narrow" w:eastAsia="仿宋_GB2312"/>
                <w:color w:val="auto"/>
                <w:sz w:val="24"/>
              </w:rPr>
            </w:pPr>
          </w:p>
        </w:tc>
        <w:tc>
          <w:tcPr>
            <w:tcW w:w="1148"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14:paraId="3B79D78A">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资金保障（4分）</w:t>
            </w:r>
          </w:p>
        </w:tc>
        <w:tc>
          <w:tcPr>
            <w:tcW w:w="1081" w:type="dxa"/>
            <w:tcBorders>
              <w:top w:val="nil"/>
              <w:left w:val="single" w:color="000000" w:sz="4" w:space="0"/>
              <w:bottom w:val="single" w:color="000000" w:sz="4" w:space="0"/>
              <w:right w:val="single" w:color="000000" w:sz="4" w:space="0"/>
            </w:tcBorders>
            <w:shd w:val="clear" w:color="auto" w:fill="FFFFFF"/>
            <w:vAlign w:val="center"/>
          </w:tcPr>
          <w:p w14:paraId="676DF078">
            <w:pPr>
              <w:widowControl/>
              <w:jc w:val="center"/>
              <w:textAlignment w:val="center"/>
            </w:pPr>
            <w:r>
              <w:rPr>
                <w:rFonts w:hint="eastAsia" w:ascii="宋体" w:hAnsi="宋体" w:cs="宋体"/>
                <w:color w:val="000000"/>
                <w:kern w:val="0"/>
                <w:sz w:val="20"/>
                <w:szCs w:val="20"/>
                <w:lang w:bidi="ar"/>
              </w:rPr>
              <w:t>资金到位率</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1D6B">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ADAF">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实际到位资金与计划投入资金的比率，用以反映和考核资金落实情况对项目实施的总体保障程度。</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9A0E">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到位率达到100%，得满分，未完成按完成比例得分。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0E7B">
            <w:pPr>
              <w:widowControl/>
              <w:jc w:val="center"/>
              <w:textAlignment w:val="center"/>
              <w:rPr>
                <w:rStyle w:val="10"/>
                <w:rFonts w:ascii="Arial Narrow" w:hAnsi="Arial Narrow" w:eastAsia="仿宋_GB2312"/>
                <w:color w:val="auto"/>
                <w:sz w:val="24"/>
              </w:rPr>
            </w:pPr>
            <w:r>
              <w:rPr>
                <w:rFonts w:hint="eastAsia" w:ascii="宋体" w:hAnsi="宋体" w:eastAsia="仿宋_GB2312" w:cs="宋体"/>
                <w:color w:val="000000"/>
                <w:kern w:val="0"/>
                <w:sz w:val="20"/>
                <w:szCs w:val="20"/>
                <w:lang w:bidi="ar"/>
              </w:rPr>
              <w:t>2</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03E8">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实际到位资金总额19,383.99万元，应到位19,383.99万元，到位率100%，得2分。</w:t>
            </w:r>
          </w:p>
        </w:tc>
      </w:tr>
      <w:tr w14:paraId="1DA18F74">
        <w:tblPrEx>
          <w:tblCellMar>
            <w:top w:w="0" w:type="dxa"/>
            <w:left w:w="108" w:type="dxa"/>
            <w:bottom w:w="0" w:type="dxa"/>
            <w:right w:w="108" w:type="dxa"/>
          </w:tblCellMar>
        </w:tblPrEx>
        <w:trPr>
          <w:trHeight w:val="397"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CB8B0">
            <w:pPr>
              <w:jc w:val="center"/>
              <w:rPr>
                <w:rStyle w:val="10"/>
                <w:rFonts w:ascii="Arial Narrow" w:hAnsi="Arial Narrow" w:eastAsia="仿宋_GB2312"/>
                <w:color w:val="auto"/>
                <w:sz w:val="24"/>
              </w:rPr>
            </w:pPr>
          </w:p>
        </w:tc>
        <w:tc>
          <w:tcPr>
            <w:tcW w:w="1148"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0E0E0D9D">
            <w:pPr>
              <w:jc w:val="center"/>
              <w:rPr>
                <w:rStyle w:val="10"/>
                <w:rFonts w:ascii="Arial Narrow" w:hAnsi="Arial Narrow" w:eastAsia="仿宋_GB2312"/>
                <w:color w:val="auto"/>
                <w:sz w:val="24"/>
              </w:rPr>
            </w:pPr>
          </w:p>
        </w:tc>
        <w:tc>
          <w:tcPr>
            <w:tcW w:w="1081" w:type="dxa"/>
            <w:tcBorders>
              <w:top w:val="nil"/>
              <w:left w:val="single" w:color="000000" w:sz="4" w:space="0"/>
              <w:bottom w:val="single" w:color="000000" w:sz="4" w:space="0"/>
              <w:right w:val="single" w:color="000000" w:sz="4" w:space="0"/>
            </w:tcBorders>
            <w:shd w:val="clear" w:color="auto" w:fill="FFFFFF"/>
            <w:vAlign w:val="center"/>
          </w:tcPr>
          <w:p w14:paraId="0690B16A">
            <w:pPr>
              <w:widowControl/>
              <w:jc w:val="center"/>
              <w:textAlignment w:val="center"/>
            </w:pPr>
            <w:r>
              <w:rPr>
                <w:rFonts w:hint="eastAsia" w:ascii="宋体" w:hAnsi="宋体" w:cs="宋体"/>
                <w:color w:val="000000"/>
                <w:kern w:val="0"/>
                <w:sz w:val="20"/>
                <w:szCs w:val="20"/>
                <w:lang w:bidi="ar"/>
              </w:rPr>
              <w:t>到位及时率</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FBEA">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A135">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及时到位资金与应到位资金的比率，用以反映和考核项目资金落实的及时性程度。</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43B0">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及时率达到100%，得满分，未完成按完成比例得分。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D563">
            <w:pPr>
              <w:widowControl/>
              <w:jc w:val="center"/>
              <w:textAlignment w:val="center"/>
              <w:rPr>
                <w:rStyle w:val="10"/>
                <w:rFonts w:ascii="Arial Narrow" w:hAnsi="Arial Narrow" w:eastAsia="仿宋_GB2312"/>
                <w:color w:val="auto"/>
                <w:sz w:val="24"/>
              </w:rPr>
            </w:pPr>
            <w:r>
              <w:rPr>
                <w:rFonts w:hint="eastAsia" w:ascii="宋体" w:hAnsi="宋体" w:eastAsia="仿宋_GB2312" w:cs="宋体"/>
                <w:color w:val="000000"/>
                <w:kern w:val="0"/>
                <w:sz w:val="20"/>
                <w:szCs w:val="20"/>
                <w:lang w:bidi="ar"/>
              </w:rPr>
              <w:t>2</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F61C">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截至2022年10月开工时点，应到位19,383.99万元，实际到位19,383.99万元，到位及时率100%，得2分。</w:t>
            </w:r>
          </w:p>
        </w:tc>
      </w:tr>
      <w:tr w14:paraId="318B1772">
        <w:tblPrEx>
          <w:tblCellMar>
            <w:top w:w="0" w:type="dxa"/>
            <w:left w:w="108" w:type="dxa"/>
            <w:bottom w:w="0" w:type="dxa"/>
            <w:right w:w="108" w:type="dxa"/>
          </w:tblCellMar>
        </w:tblPrEx>
        <w:trPr>
          <w:trHeight w:val="397" w:hRule="atLeast"/>
          <w:jc w:val="center"/>
        </w:trPr>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2E8BA">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管理（55分）</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2D4B7">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项目管理（5分）</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A688">
            <w:pPr>
              <w:widowControl/>
              <w:jc w:val="center"/>
              <w:textAlignment w:val="center"/>
            </w:pPr>
            <w:r>
              <w:rPr>
                <w:rFonts w:hint="eastAsia" w:ascii="宋体" w:hAnsi="宋体" w:cs="宋体"/>
                <w:color w:val="000000"/>
                <w:kern w:val="0"/>
                <w:sz w:val="20"/>
                <w:szCs w:val="20"/>
                <w:lang w:bidi="ar"/>
              </w:rPr>
              <w:t>项目管理制度健全性</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946D">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773B">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项目实施单位管理制度是否健全。</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584C">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项目管理单位已制定相应的管理制度，业务管理制度合规、合法、完整等得5分，否则酌情扣分。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F288">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5</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898C">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项目实施单位属于三级单位，实际中参照上级单位的各项管理制度执行，管理制度健全，内容完整合规，得5分。</w:t>
            </w:r>
          </w:p>
        </w:tc>
      </w:tr>
      <w:tr w14:paraId="1740C255">
        <w:tblPrEx>
          <w:tblCellMar>
            <w:top w:w="0" w:type="dxa"/>
            <w:left w:w="108" w:type="dxa"/>
            <w:bottom w:w="0" w:type="dxa"/>
            <w:right w:w="108" w:type="dxa"/>
          </w:tblCellMar>
        </w:tblPrEx>
        <w:trPr>
          <w:trHeight w:val="397"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2BB5F">
            <w:pPr>
              <w:jc w:val="center"/>
              <w:rPr>
                <w:rStyle w:val="10"/>
                <w:rFonts w:ascii="Arial Narrow" w:hAnsi="Arial Narrow" w:eastAsia="仿宋_GB2312"/>
                <w:color w:val="auto"/>
                <w:sz w:val="24"/>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52A7D">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项目方案（3分）</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26D2">
            <w:pPr>
              <w:widowControl/>
              <w:jc w:val="center"/>
              <w:textAlignment w:val="center"/>
            </w:pPr>
            <w:r>
              <w:rPr>
                <w:rFonts w:hint="eastAsia" w:ascii="宋体" w:hAnsi="宋体" w:cs="宋体"/>
                <w:color w:val="000000"/>
                <w:kern w:val="0"/>
                <w:sz w:val="20"/>
                <w:szCs w:val="20"/>
                <w:lang w:bidi="ar"/>
              </w:rPr>
              <w:t>初设方案</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AA25">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AC3F">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是否编制初设方案。</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6996">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初设方案已编制并取得批复得3分，未编制扣3分，未取得批复扣3分。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2104">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3</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D886">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已编制初设方案并取得批复，得3分。</w:t>
            </w:r>
          </w:p>
        </w:tc>
      </w:tr>
      <w:tr w14:paraId="2569CE01">
        <w:tblPrEx>
          <w:tblCellMar>
            <w:top w:w="0" w:type="dxa"/>
            <w:left w:w="108" w:type="dxa"/>
            <w:bottom w:w="0" w:type="dxa"/>
            <w:right w:w="108" w:type="dxa"/>
          </w:tblCellMar>
        </w:tblPrEx>
        <w:trPr>
          <w:trHeight w:val="397"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AC5D1">
            <w:pPr>
              <w:jc w:val="center"/>
              <w:rPr>
                <w:rStyle w:val="10"/>
                <w:rFonts w:ascii="Arial Narrow" w:hAnsi="Arial Narrow" w:eastAsia="仿宋_GB2312"/>
                <w:color w:val="auto"/>
                <w:sz w:val="24"/>
              </w:rPr>
            </w:pPr>
          </w:p>
        </w:tc>
        <w:tc>
          <w:tcPr>
            <w:tcW w:w="11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82AE8">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项目招投标（12）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6309">
            <w:pPr>
              <w:widowControl/>
              <w:jc w:val="center"/>
              <w:textAlignment w:val="center"/>
            </w:pPr>
            <w:r>
              <w:rPr>
                <w:rFonts w:hint="eastAsia" w:ascii="宋体" w:hAnsi="宋体" w:cs="宋体"/>
                <w:color w:val="000000"/>
                <w:kern w:val="0"/>
                <w:sz w:val="20"/>
                <w:szCs w:val="20"/>
                <w:lang w:bidi="ar"/>
              </w:rPr>
              <w:t>建筑工程</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1E49">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1FE4">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是否按规定程序进行项目招标、招投标程序是否合规。</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7BC3">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已按规定程序进行了招投标得1分，招投标程序合规得1分，否则得0分。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B788">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3C8E">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按规定程序进行了招投标，招投标程序合规，得2分。</w:t>
            </w:r>
          </w:p>
        </w:tc>
      </w:tr>
      <w:tr w14:paraId="54C6FC9E">
        <w:tblPrEx>
          <w:tblCellMar>
            <w:top w:w="0" w:type="dxa"/>
            <w:left w:w="108" w:type="dxa"/>
            <w:bottom w:w="0" w:type="dxa"/>
            <w:right w:w="108" w:type="dxa"/>
          </w:tblCellMar>
        </w:tblPrEx>
        <w:trPr>
          <w:trHeight w:val="397"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5BAE8">
            <w:pPr>
              <w:jc w:val="center"/>
              <w:rPr>
                <w:rStyle w:val="10"/>
                <w:rFonts w:ascii="Arial Narrow" w:hAnsi="Arial Narrow" w:eastAsia="仿宋_GB2312"/>
                <w:color w:val="auto"/>
                <w:sz w:val="24"/>
              </w:rPr>
            </w:pPr>
          </w:p>
        </w:tc>
        <w:tc>
          <w:tcPr>
            <w:tcW w:w="11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FC29B">
            <w:pPr>
              <w:jc w:val="center"/>
              <w:rPr>
                <w:rStyle w:val="10"/>
                <w:rFonts w:ascii="Arial Narrow" w:hAnsi="Arial Narrow" w:eastAsia="仿宋_GB2312"/>
                <w:color w:val="auto"/>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5A17">
            <w:pPr>
              <w:widowControl/>
              <w:jc w:val="center"/>
              <w:textAlignment w:val="center"/>
            </w:pPr>
            <w:r>
              <w:rPr>
                <w:rFonts w:hint="eastAsia" w:ascii="宋体" w:hAnsi="宋体" w:cs="宋体"/>
                <w:color w:val="000000"/>
                <w:kern w:val="0"/>
                <w:sz w:val="20"/>
                <w:szCs w:val="20"/>
                <w:lang w:bidi="ar"/>
              </w:rPr>
              <w:t>设备采购安装</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E175">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4A2C">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是否按规定程序进行项目招标、招投标程序是否合规。</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25CA">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已按规定程序进行了招投标得1分，招投标程序合规得1分，否则得0分。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397C">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EA16">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按规定程序进行了招投标，招投标程序合规，得2分。</w:t>
            </w:r>
          </w:p>
        </w:tc>
      </w:tr>
      <w:tr w14:paraId="0219BE1C">
        <w:tblPrEx>
          <w:tblCellMar>
            <w:top w:w="0" w:type="dxa"/>
            <w:left w:w="108" w:type="dxa"/>
            <w:bottom w:w="0" w:type="dxa"/>
            <w:right w:w="108" w:type="dxa"/>
          </w:tblCellMar>
        </w:tblPrEx>
        <w:trPr>
          <w:trHeight w:val="397"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D7D9E">
            <w:pPr>
              <w:jc w:val="center"/>
              <w:rPr>
                <w:rStyle w:val="10"/>
                <w:rFonts w:ascii="Arial Narrow" w:hAnsi="Arial Narrow" w:eastAsia="仿宋_GB2312"/>
                <w:color w:val="auto"/>
                <w:sz w:val="24"/>
              </w:rPr>
            </w:pPr>
          </w:p>
        </w:tc>
        <w:tc>
          <w:tcPr>
            <w:tcW w:w="11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3F224">
            <w:pPr>
              <w:jc w:val="center"/>
              <w:rPr>
                <w:rStyle w:val="10"/>
                <w:rFonts w:ascii="Arial Narrow" w:hAnsi="Arial Narrow" w:eastAsia="仿宋_GB2312"/>
                <w:color w:val="auto"/>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C692">
            <w:pPr>
              <w:widowControl/>
              <w:jc w:val="center"/>
              <w:textAlignment w:val="center"/>
            </w:pPr>
            <w:r>
              <w:rPr>
                <w:rFonts w:hint="eastAsia" w:ascii="宋体" w:hAnsi="宋体" w:cs="宋体"/>
                <w:color w:val="000000"/>
                <w:kern w:val="0"/>
                <w:sz w:val="20"/>
                <w:szCs w:val="20"/>
                <w:lang w:bidi="ar"/>
              </w:rPr>
              <w:t>勘察</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0A58">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04E3">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是否按规定程序进行项目招标、招投标程序是否合规。</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45D8">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已按规定程序进行了招投标得1分，招投标程序合规得1分，否则得0分。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22BC">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7CA2">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按规定程序进行了招投标，招投标程序合规，得2分。</w:t>
            </w:r>
          </w:p>
        </w:tc>
      </w:tr>
      <w:tr w14:paraId="0C02803F">
        <w:tblPrEx>
          <w:tblCellMar>
            <w:top w:w="0" w:type="dxa"/>
            <w:left w:w="108" w:type="dxa"/>
            <w:bottom w:w="0" w:type="dxa"/>
            <w:right w:w="108" w:type="dxa"/>
          </w:tblCellMar>
        </w:tblPrEx>
        <w:trPr>
          <w:trHeight w:val="397"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0B963">
            <w:pPr>
              <w:jc w:val="center"/>
              <w:rPr>
                <w:rStyle w:val="10"/>
                <w:rFonts w:ascii="Arial Narrow" w:hAnsi="Arial Narrow" w:eastAsia="仿宋_GB2312"/>
                <w:color w:val="auto"/>
                <w:sz w:val="24"/>
              </w:rPr>
            </w:pPr>
          </w:p>
        </w:tc>
        <w:tc>
          <w:tcPr>
            <w:tcW w:w="11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98CAB">
            <w:pPr>
              <w:jc w:val="center"/>
              <w:rPr>
                <w:rStyle w:val="10"/>
                <w:rFonts w:ascii="Arial Narrow" w:hAnsi="Arial Narrow" w:eastAsia="仿宋_GB2312"/>
                <w:color w:val="auto"/>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8918">
            <w:pPr>
              <w:widowControl/>
              <w:jc w:val="center"/>
              <w:textAlignment w:val="center"/>
            </w:pPr>
            <w:r>
              <w:rPr>
                <w:rFonts w:hint="eastAsia" w:ascii="宋体" w:hAnsi="宋体" w:cs="宋体"/>
                <w:color w:val="000000"/>
                <w:kern w:val="0"/>
                <w:sz w:val="20"/>
                <w:szCs w:val="20"/>
                <w:lang w:bidi="ar"/>
              </w:rPr>
              <w:t>输水管网</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35ED">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6775">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是否按规定程序进行项目招标、招投标程序是否合规。</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4C2B">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已按规定程序进行了招投标得1分，招投标程序合规得1分，否则得0分。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7BF1">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302B">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按规定程序进行了招投标，招投标程序合规，得2分。</w:t>
            </w:r>
          </w:p>
        </w:tc>
      </w:tr>
      <w:tr w14:paraId="66C07968">
        <w:tblPrEx>
          <w:tblCellMar>
            <w:top w:w="0" w:type="dxa"/>
            <w:left w:w="108" w:type="dxa"/>
            <w:bottom w:w="0" w:type="dxa"/>
            <w:right w:w="108" w:type="dxa"/>
          </w:tblCellMar>
        </w:tblPrEx>
        <w:trPr>
          <w:trHeight w:val="397"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C2D60">
            <w:pPr>
              <w:jc w:val="center"/>
              <w:rPr>
                <w:rStyle w:val="10"/>
                <w:rFonts w:ascii="Arial Narrow" w:hAnsi="Arial Narrow" w:eastAsia="仿宋_GB2312"/>
                <w:color w:val="auto"/>
                <w:sz w:val="24"/>
              </w:rPr>
            </w:pPr>
          </w:p>
        </w:tc>
        <w:tc>
          <w:tcPr>
            <w:tcW w:w="11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02B79">
            <w:pPr>
              <w:jc w:val="center"/>
              <w:rPr>
                <w:rStyle w:val="10"/>
                <w:rFonts w:ascii="Arial Narrow" w:hAnsi="Arial Narrow" w:eastAsia="仿宋_GB2312"/>
                <w:color w:val="auto"/>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4436">
            <w:pPr>
              <w:widowControl/>
              <w:jc w:val="center"/>
              <w:textAlignment w:val="center"/>
            </w:pPr>
            <w:r>
              <w:rPr>
                <w:rFonts w:hint="eastAsia" w:ascii="宋体" w:hAnsi="宋体" w:cs="宋体"/>
                <w:color w:val="000000"/>
                <w:kern w:val="0"/>
                <w:sz w:val="20"/>
                <w:szCs w:val="20"/>
                <w:lang w:bidi="ar"/>
              </w:rPr>
              <w:t>设计</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B65C">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7308">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是否按规定程序进行项目招标、招投标程序是否合规。</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CB09">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已按规定程序进行了招投标得1分，招投标程序合规得1分，否则得0分。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C2D6">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F342">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按规定程序进行了招投标，招投标程序合规，得2分。</w:t>
            </w:r>
          </w:p>
        </w:tc>
      </w:tr>
      <w:tr w14:paraId="34EF6738">
        <w:tblPrEx>
          <w:tblCellMar>
            <w:top w:w="0" w:type="dxa"/>
            <w:left w:w="108" w:type="dxa"/>
            <w:bottom w:w="0" w:type="dxa"/>
            <w:right w:w="108" w:type="dxa"/>
          </w:tblCellMar>
        </w:tblPrEx>
        <w:trPr>
          <w:trHeight w:val="397"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6EF4E">
            <w:pPr>
              <w:jc w:val="center"/>
              <w:rPr>
                <w:rStyle w:val="10"/>
                <w:rFonts w:ascii="Arial Narrow" w:hAnsi="Arial Narrow" w:eastAsia="仿宋_GB2312"/>
                <w:color w:val="auto"/>
                <w:sz w:val="24"/>
              </w:rPr>
            </w:pPr>
          </w:p>
        </w:tc>
        <w:tc>
          <w:tcPr>
            <w:tcW w:w="11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FCA9C">
            <w:pPr>
              <w:jc w:val="center"/>
              <w:rPr>
                <w:rStyle w:val="10"/>
                <w:rFonts w:ascii="Arial Narrow" w:hAnsi="Arial Narrow" w:eastAsia="仿宋_GB2312"/>
                <w:color w:val="auto"/>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78D8">
            <w:pPr>
              <w:widowControl/>
              <w:jc w:val="center"/>
              <w:textAlignment w:val="center"/>
            </w:pPr>
            <w:r>
              <w:rPr>
                <w:rFonts w:hint="eastAsia" w:ascii="宋体" w:hAnsi="宋体" w:cs="宋体"/>
                <w:color w:val="000000"/>
                <w:kern w:val="0"/>
                <w:sz w:val="20"/>
                <w:szCs w:val="20"/>
                <w:lang w:bidi="ar"/>
              </w:rPr>
              <w:t>监理</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DF50">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8679">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是否按规定程序进行项目招标、招投标程序是否合规。</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6D89">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已按规定程序进行了招投标得1分，招投标程序合规得1分，否则得0分。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CF9C">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9B6C">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按规定程序进行了招投标，招投标程序合规，得2分。</w:t>
            </w:r>
          </w:p>
        </w:tc>
      </w:tr>
      <w:tr w14:paraId="0472DE05">
        <w:tblPrEx>
          <w:tblCellMar>
            <w:top w:w="0" w:type="dxa"/>
            <w:left w:w="108" w:type="dxa"/>
            <w:bottom w:w="0" w:type="dxa"/>
            <w:right w:w="108" w:type="dxa"/>
          </w:tblCellMar>
        </w:tblPrEx>
        <w:trPr>
          <w:trHeight w:val="397"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64387">
            <w:pPr>
              <w:jc w:val="center"/>
              <w:rPr>
                <w:rStyle w:val="10"/>
                <w:rFonts w:ascii="Arial Narrow" w:hAnsi="Arial Narrow" w:eastAsia="仿宋_GB2312"/>
                <w:color w:val="auto"/>
                <w:sz w:val="24"/>
              </w:rPr>
            </w:pPr>
          </w:p>
        </w:tc>
        <w:tc>
          <w:tcPr>
            <w:tcW w:w="11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D2629">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合同签订及执行（6分）</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A3BA">
            <w:pPr>
              <w:widowControl/>
              <w:jc w:val="center"/>
              <w:textAlignment w:val="center"/>
            </w:pPr>
            <w:r>
              <w:rPr>
                <w:rFonts w:hint="eastAsia" w:ascii="宋体" w:hAnsi="宋体" w:cs="宋体"/>
                <w:color w:val="000000"/>
                <w:kern w:val="0"/>
                <w:sz w:val="20"/>
                <w:szCs w:val="20"/>
                <w:lang w:bidi="ar"/>
              </w:rPr>
              <w:t>合同签订</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71D1">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9234">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合同内容是否与招标文件或者会议纪要一致。</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C5CF">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与招标文件一致或者相关会议纪要一致得3分，存在一个不一致扣一分。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FCD6">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4636">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合同内容与招标文件基本一致。《铜梁区太平水厂工程（一期）电力线路迁改》项目合同未按专题会议纪要[2022]第41期讨论内容规定履约保证金扣1分，得2分。</w:t>
            </w:r>
          </w:p>
        </w:tc>
      </w:tr>
      <w:tr w14:paraId="75C577F4">
        <w:tblPrEx>
          <w:tblCellMar>
            <w:top w:w="0" w:type="dxa"/>
            <w:left w:w="108" w:type="dxa"/>
            <w:bottom w:w="0" w:type="dxa"/>
            <w:right w:w="108" w:type="dxa"/>
          </w:tblCellMar>
        </w:tblPrEx>
        <w:trPr>
          <w:trHeight w:val="397"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9669B">
            <w:pPr>
              <w:jc w:val="center"/>
              <w:rPr>
                <w:rStyle w:val="10"/>
                <w:rFonts w:ascii="Arial Narrow" w:hAnsi="Arial Narrow" w:eastAsia="仿宋_GB2312"/>
                <w:color w:val="auto"/>
                <w:sz w:val="24"/>
              </w:rPr>
            </w:pPr>
          </w:p>
        </w:tc>
        <w:tc>
          <w:tcPr>
            <w:tcW w:w="11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1E56E">
            <w:pPr>
              <w:jc w:val="center"/>
              <w:rPr>
                <w:rStyle w:val="10"/>
                <w:rFonts w:ascii="Arial Narrow" w:hAnsi="Arial Narrow" w:eastAsia="仿宋_GB2312"/>
                <w:color w:val="auto"/>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F84F">
            <w:pPr>
              <w:widowControl/>
              <w:jc w:val="center"/>
              <w:textAlignment w:val="center"/>
            </w:pPr>
            <w:r>
              <w:rPr>
                <w:rFonts w:hint="eastAsia" w:ascii="宋体" w:hAnsi="宋体" w:cs="宋体"/>
                <w:color w:val="000000"/>
                <w:kern w:val="0"/>
                <w:sz w:val="20"/>
                <w:szCs w:val="20"/>
                <w:lang w:bidi="ar"/>
              </w:rPr>
              <w:t>合同执行</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AC6D">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8251">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是否按照合同条款进行项目进度款支付、追究违约责任等。</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B6BB">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存在一个合同未约定重要的条款（如付款方式、违约责任等）扣1分，存在一次未按合同约定（或者未经审批）付款扣1分，扣完为止。</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520C">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D6E0">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铜梁区太平水厂（一期）厂区土建工程的合同约定书》“合同专用条款16.2.2（6）（7）因承包人的原因导致厂区清水池基础混凝土浇筑在开工后120日内尚未开始浇筑，每延误一天，承包人按10,000.00元/天计算违约金，累计违约上限，不超过签约合同价2%”。根据《监理【2023】通知单004号》内容，施工现场目前进度与合同进度比较，从开工（2022.10.28）到目前2023年5月19日，工期约达200天，已超过条款规定时间，尚未追究违约责任,扣1分，得2分。</w:t>
            </w:r>
          </w:p>
        </w:tc>
      </w:tr>
      <w:tr w14:paraId="3C5C4939">
        <w:tblPrEx>
          <w:tblCellMar>
            <w:top w:w="0" w:type="dxa"/>
            <w:left w:w="108" w:type="dxa"/>
            <w:bottom w:w="0" w:type="dxa"/>
            <w:right w:w="108" w:type="dxa"/>
          </w:tblCellMar>
        </w:tblPrEx>
        <w:trPr>
          <w:trHeight w:val="397"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4B0E3">
            <w:pPr>
              <w:jc w:val="center"/>
              <w:rPr>
                <w:rStyle w:val="10"/>
                <w:rFonts w:ascii="Arial Narrow" w:hAnsi="Arial Narrow" w:eastAsia="仿宋_GB2312"/>
                <w:color w:val="auto"/>
                <w:sz w:val="24"/>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7CB19">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项目工期（3分）</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1821">
            <w:pPr>
              <w:widowControl/>
              <w:jc w:val="center"/>
              <w:textAlignment w:val="center"/>
            </w:pPr>
            <w:r>
              <w:rPr>
                <w:rFonts w:hint="eastAsia" w:ascii="宋体" w:hAnsi="宋体" w:cs="宋体"/>
                <w:color w:val="000000"/>
                <w:kern w:val="0"/>
                <w:sz w:val="20"/>
                <w:szCs w:val="20"/>
                <w:lang w:bidi="ar"/>
              </w:rPr>
              <w:t>开工</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F625">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ED03">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是否在批复时间内开工。</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7C0B">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按时开工得3分，每延期</w:t>
            </w:r>
            <w:bookmarkStart w:id="38" w:name="_GoBack"/>
            <w:bookmarkEnd w:id="38"/>
            <w:r>
              <w:rPr>
                <w:rFonts w:hint="eastAsia" w:ascii="宋体" w:hAnsi="宋体" w:cs="宋体"/>
                <w:color w:val="000000"/>
                <w:kern w:val="0"/>
                <w:sz w:val="20"/>
                <w:szCs w:val="20"/>
                <w:lang w:bidi="ar"/>
              </w:rPr>
              <w:t>2个月扣1分。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A258">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0</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4A57">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初设批复、立项批复为2021年10月，实际开工为2022年10月，延期11个月，扣3分，得0分。</w:t>
            </w:r>
          </w:p>
        </w:tc>
      </w:tr>
      <w:tr w14:paraId="4FA2DAB2">
        <w:tblPrEx>
          <w:tblCellMar>
            <w:top w:w="0" w:type="dxa"/>
            <w:left w:w="108" w:type="dxa"/>
            <w:bottom w:w="0" w:type="dxa"/>
            <w:right w:w="108" w:type="dxa"/>
          </w:tblCellMar>
        </w:tblPrEx>
        <w:trPr>
          <w:trHeight w:val="397"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4658D">
            <w:pPr>
              <w:jc w:val="center"/>
              <w:rPr>
                <w:rStyle w:val="10"/>
                <w:rFonts w:ascii="Arial Narrow" w:hAnsi="Arial Narrow" w:eastAsia="仿宋_GB2312"/>
                <w:color w:val="auto"/>
                <w:sz w:val="24"/>
              </w:rPr>
            </w:pPr>
          </w:p>
        </w:tc>
        <w:tc>
          <w:tcPr>
            <w:tcW w:w="11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79303">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项目质量可控性（10分）</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C746">
            <w:pPr>
              <w:widowControl/>
              <w:jc w:val="center"/>
              <w:textAlignment w:val="center"/>
            </w:pPr>
            <w:r>
              <w:rPr>
                <w:rFonts w:hint="eastAsia" w:ascii="宋体" w:hAnsi="宋体" w:cs="宋体"/>
                <w:color w:val="000000"/>
                <w:kern w:val="0"/>
                <w:sz w:val="20"/>
                <w:szCs w:val="20"/>
                <w:lang w:bidi="ar"/>
              </w:rPr>
              <w:t>监督管理</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D1C4">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AF27">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是否存在监理日志及监理报告，监理日志是否齐全，是否出具监理报告；工程的其他管控措施落实情况。</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1BD7">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已聘请监理单位且按规定提交监理</w:t>
            </w:r>
            <w:r>
              <w:rPr>
                <w:rFonts w:hint="eastAsia" w:ascii="宋体" w:hAnsi="宋体" w:cs="宋体"/>
                <w:color w:val="000000"/>
                <w:kern w:val="0"/>
                <w:sz w:val="20"/>
                <w:szCs w:val="20"/>
                <w:lang w:eastAsia="zh-CN" w:bidi="ar"/>
              </w:rPr>
              <w:t>日</w:t>
            </w:r>
            <w:r>
              <w:rPr>
                <w:rFonts w:hint="eastAsia" w:ascii="宋体" w:hAnsi="宋体" w:cs="宋体"/>
                <w:color w:val="000000"/>
                <w:kern w:val="0"/>
                <w:sz w:val="20"/>
                <w:szCs w:val="20"/>
                <w:lang w:bidi="ar"/>
              </w:rPr>
              <w:t>志、监理报告得5分，监理日志或监理报告缺失一次扣1分；监理日志、监理报告审签缺失一次扣1分，扣完为止。</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55C4">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4</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39C0">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已按规定程序聘请监理单位，监理日志、监理报告完整。监理日志中存在巡视记录未签字的情况，扣1分，得4分。</w:t>
            </w:r>
          </w:p>
        </w:tc>
      </w:tr>
      <w:tr w14:paraId="0E576C81">
        <w:tblPrEx>
          <w:tblCellMar>
            <w:top w:w="0" w:type="dxa"/>
            <w:left w:w="108" w:type="dxa"/>
            <w:bottom w:w="0" w:type="dxa"/>
            <w:right w:w="108" w:type="dxa"/>
          </w:tblCellMar>
        </w:tblPrEx>
        <w:trPr>
          <w:trHeight w:val="397"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32B89">
            <w:pPr>
              <w:jc w:val="center"/>
              <w:rPr>
                <w:rStyle w:val="10"/>
                <w:rFonts w:ascii="Arial Narrow" w:hAnsi="Arial Narrow" w:eastAsia="仿宋_GB2312"/>
                <w:color w:val="auto"/>
                <w:sz w:val="24"/>
              </w:rPr>
            </w:pPr>
          </w:p>
        </w:tc>
        <w:tc>
          <w:tcPr>
            <w:tcW w:w="11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7958C">
            <w:pPr>
              <w:jc w:val="center"/>
              <w:rPr>
                <w:rStyle w:val="10"/>
                <w:rFonts w:ascii="Arial Narrow" w:hAnsi="Arial Narrow" w:eastAsia="仿宋_GB2312"/>
                <w:color w:val="auto"/>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7240">
            <w:pPr>
              <w:widowControl/>
              <w:jc w:val="center"/>
              <w:textAlignment w:val="center"/>
            </w:pPr>
            <w:r>
              <w:rPr>
                <w:rFonts w:hint="eastAsia" w:ascii="宋体" w:hAnsi="宋体" w:cs="宋体"/>
                <w:color w:val="000000"/>
                <w:kern w:val="0"/>
                <w:sz w:val="20"/>
                <w:szCs w:val="20"/>
                <w:lang w:bidi="ar"/>
              </w:rPr>
              <w:t>项目质量要求或标准</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79619">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5</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8BBEF">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是否已制定或具有相应的项目质量要求或标准，是否采取了相应的项目质量检查、验收等必需的控制措施或手段。</w:t>
            </w:r>
          </w:p>
        </w:tc>
        <w:tc>
          <w:tcPr>
            <w:tcW w:w="3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4D671">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已制定或具有相应的项目质量要求或标准，采取了相应的项目质量检查、验收等必需的控制措施或手段得5分，未制定相关要求或标准得0分，实施不到位酌情扣分。</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4AF80">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5</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22EBE">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已制定或具有相应的项目质量要求或标准，采取了相应的项目质量检查、验收等必需的控制措施和手段，得5分。</w:t>
            </w:r>
          </w:p>
        </w:tc>
      </w:tr>
      <w:tr w14:paraId="3F3AEF9C">
        <w:tblPrEx>
          <w:tblCellMar>
            <w:top w:w="0" w:type="dxa"/>
            <w:left w:w="108" w:type="dxa"/>
            <w:bottom w:w="0" w:type="dxa"/>
            <w:right w:w="108" w:type="dxa"/>
          </w:tblCellMar>
        </w:tblPrEx>
        <w:trPr>
          <w:trHeight w:val="397"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1FA6A">
            <w:pPr>
              <w:jc w:val="center"/>
              <w:rPr>
                <w:rStyle w:val="10"/>
                <w:rFonts w:ascii="Arial Narrow" w:hAnsi="Arial Narrow" w:eastAsia="仿宋_GB2312"/>
                <w:color w:val="auto"/>
                <w:sz w:val="24"/>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465A6">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项目调整（2分）</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D29A">
            <w:pPr>
              <w:widowControl/>
              <w:jc w:val="center"/>
              <w:textAlignment w:val="center"/>
            </w:pPr>
            <w:r>
              <w:rPr>
                <w:rFonts w:hint="eastAsia" w:ascii="宋体" w:hAnsi="宋体" w:cs="宋体"/>
                <w:color w:val="000000"/>
                <w:kern w:val="0"/>
                <w:sz w:val="20"/>
                <w:szCs w:val="20"/>
                <w:lang w:bidi="ar"/>
              </w:rPr>
              <w:t>预算调整</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2B34">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C6C9C">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申请项目预算调整是否程序规范，依据充分。</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002A">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未按照规定程序申请项目预算调整的，不得分；申请预算调整依据不充分的，酌情扣分，扣完为止。</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3027">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18E4">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该项目无预算调整，得2分。</w:t>
            </w:r>
          </w:p>
        </w:tc>
      </w:tr>
      <w:tr w14:paraId="78C66525">
        <w:tblPrEx>
          <w:tblCellMar>
            <w:top w:w="0" w:type="dxa"/>
            <w:left w:w="108" w:type="dxa"/>
            <w:bottom w:w="0" w:type="dxa"/>
            <w:right w:w="108" w:type="dxa"/>
          </w:tblCellMar>
        </w:tblPrEx>
        <w:trPr>
          <w:trHeight w:val="397"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5DD5A">
            <w:pPr>
              <w:jc w:val="center"/>
              <w:rPr>
                <w:rStyle w:val="10"/>
                <w:rFonts w:ascii="Arial Narrow" w:hAnsi="Arial Narrow" w:eastAsia="仿宋_GB2312"/>
                <w:color w:val="auto"/>
                <w:sz w:val="24"/>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22F5B">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预算执行（2分）</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6D0F">
            <w:pPr>
              <w:widowControl/>
              <w:jc w:val="center"/>
              <w:textAlignment w:val="center"/>
            </w:pPr>
            <w:r>
              <w:rPr>
                <w:rFonts w:hint="eastAsia" w:ascii="宋体" w:hAnsi="宋体" w:cs="宋体"/>
                <w:color w:val="000000"/>
                <w:kern w:val="0"/>
                <w:sz w:val="20"/>
                <w:szCs w:val="20"/>
                <w:lang w:bidi="ar"/>
              </w:rPr>
              <w:t>预算偏离度</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CF5D">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1CD15">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与项目预算偏离程度。</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7EAB">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按偏离比例酌情扣分，超预算得0分。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313F">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13D1">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无预算偏离，得2分。</w:t>
            </w:r>
          </w:p>
        </w:tc>
      </w:tr>
      <w:tr w14:paraId="0CE52BEE">
        <w:tblPrEx>
          <w:tblCellMar>
            <w:top w:w="0" w:type="dxa"/>
            <w:left w:w="108" w:type="dxa"/>
            <w:bottom w:w="0" w:type="dxa"/>
            <w:right w:w="108" w:type="dxa"/>
          </w:tblCellMar>
        </w:tblPrEx>
        <w:trPr>
          <w:trHeight w:val="397"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B0050">
            <w:pPr>
              <w:jc w:val="center"/>
              <w:rPr>
                <w:rStyle w:val="10"/>
                <w:rFonts w:ascii="Arial Narrow" w:hAnsi="Arial Narrow" w:eastAsia="仿宋_GB2312"/>
                <w:color w:val="auto"/>
                <w:sz w:val="24"/>
              </w:rPr>
            </w:pPr>
          </w:p>
        </w:tc>
        <w:tc>
          <w:tcPr>
            <w:tcW w:w="11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93106">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财务管理（12分）</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D626">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管理制度</w:t>
            </w:r>
          </w:p>
          <w:p w14:paraId="79B1F852">
            <w:pPr>
              <w:widowControl/>
              <w:jc w:val="center"/>
              <w:textAlignment w:val="center"/>
            </w:pPr>
            <w:r>
              <w:rPr>
                <w:rFonts w:hint="eastAsia" w:ascii="宋体" w:hAnsi="宋体" w:cs="宋体"/>
                <w:color w:val="000000"/>
                <w:kern w:val="0"/>
                <w:sz w:val="20"/>
                <w:szCs w:val="20"/>
                <w:lang w:bidi="ar"/>
              </w:rPr>
              <w:t>健全性</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C2D1">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27F0">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项目实施单位的财务和业务管理制度是否健全。</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9398">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项目单位财务管理制度健全得2分，否则酌情扣分。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0044">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9912">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所参照的财务管理制度健全，得2分。</w:t>
            </w:r>
          </w:p>
        </w:tc>
      </w:tr>
      <w:tr w14:paraId="565825E0">
        <w:tblPrEx>
          <w:tblCellMar>
            <w:top w:w="0" w:type="dxa"/>
            <w:left w:w="108" w:type="dxa"/>
            <w:bottom w:w="0" w:type="dxa"/>
            <w:right w:w="108" w:type="dxa"/>
          </w:tblCellMar>
        </w:tblPrEx>
        <w:trPr>
          <w:trHeight w:val="397"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0E738">
            <w:pPr>
              <w:jc w:val="center"/>
              <w:rPr>
                <w:rStyle w:val="10"/>
                <w:rFonts w:ascii="Arial Narrow" w:hAnsi="Arial Narrow" w:eastAsia="仿宋_GB2312"/>
                <w:color w:val="auto"/>
                <w:sz w:val="24"/>
              </w:rPr>
            </w:pPr>
          </w:p>
        </w:tc>
        <w:tc>
          <w:tcPr>
            <w:tcW w:w="11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6C296">
            <w:pPr>
              <w:jc w:val="center"/>
              <w:rPr>
                <w:rStyle w:val="10"/>
                <w:rFonts w:ascii="Arial Narrow" w:hAnsi="Arial Narrow" w:eastAsia="仿宋_GB2312"/>
                <w:color w:val="auto"/>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DA5E">
            <w:pPr>
              <w:widowControl/>
              <w:jc w:val="center"/>
              <w:textAlignment w:val="center"/>
            </w:pPr>
            <w:r>
              <w:rPr>
                <w:rFonts w:hint="eastAsia" w:ascii="宋体" w:hAnsi="宋体" w:cs="宋体"/>
                <w:color w:val="000000"/>
                <w:kern w:val="0"/>
                <w:sz w:val="20"/>
                <w:szCs w:val="20"/>
                <w:lang w:bidi="ar"/>
              </w:rPr>
              <w:t>资金使用合规性</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9491">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424E">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是否符合项目预算批复或合同规定的用途。</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7B71">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项目资金专款专用，不存在截留、挤占、挪用、虚列支出等情况得5分，否则得0分。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86C2">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5</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D85E">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项目资金专款专用，拨付程序合规，未发现违规使用</w:t>
            </w:r>
            <w:r>
              <w:rPr>
                <w:rFonts w:hint="eastAsia" w:ascii="宋体" w:hAnsi="宋体" w:cs="宋体"/>
                <w:color w:val="000000"/>
                <w:kern w:val="0"/>
                <w:sz w:val="20"/>
                <w:szCs w:val="20"/>
                <w:lang w:eastAsia="zh-CN" w:bidi="ar"/>
              </w:rPr>
              <w:t>的情况</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eastAsia="zh-CN" w:bidi="ar"/>
              </w:rPr>
              <w:t>得</w:t>
            </w:r>
            <w:r>
              <w:rPr>
                <w:rFonts w:hint="eastAsia" w:ascii="宋体" w:hAnsi="宋体" w:cs="宋体"/>
                <w:color w:val="000000"/>
                <w:kern w:val="0"/>
                <w:sz w:val="20"/>
                <w:szCs w:val="20"/>
                <w:lang w:bidi="ar"/>
              </w:rPr>
              <w:t>5分。</w:t>
            </w:r>
          </w:p>
        </w:tc>
      </w:tr>
      <w:tr w14:paraId="64966B12">
        <w:tblPrEx>
          <w:tblCellMar>
            <w:top w:w="0" w:type="dxa"/>
            <w:left w:w="108" w:type="dxa"/>
            <w:bottom w:w="0" w:type="dxa"/>
            <w:right w:w="108" w:type="dxa"/>
          </w:tblCellMar>
        </w:tblPrEx>
        <w:trPr>
          <w:trHeight w:val="397"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81B56">
            <w:pPr>
              <w:jc w:val="center"/>
              <w:rPr>
                <w:rStyle w:val="10"/>
                <w:rFonts w:ascii="Arial Narrow" w:hAnsi="Arial Narrow" w:eastAsia="仿宋_GB2312"/>
                <w:color w:val="auto"/>
                <w:sz w:val="24"/>
              </w:rPr>
            </w:pPr>
          </w:p>
        </w:tc>
        <w:tc>
          <w:tcPr>
            <w:tcW w:w="11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3BD44">
            <w:pPr>
              <w:jc w:val="center"/>
              <w:rPr>
                <w:rStyle w:val="10"/>
                <w:rFonts w:ascii="Arial Narrow" w:hAnsi="Arial Narrow" w:eastAsia="仿宋_GB2312"/>
                <w:color w:val="auto"/>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11FF">
            <w:pPr>
              <w:widowControl/>
              <w:jc w:val="center"/>
              <w:textAlignment w:val="center"/>
            </w:pPr>
            <w:r>
              <w:rPr>
                <w:rFonts w:hint="eastAsia" w:ascii="宋体" w:hAnsi="宋体" w:cs="宋体"/>
                <w:color w:val="000000"/>
                <w:kern w:val="0"/>
                <w:sz w:val="20"/>
                <w:szCs w:val="20"/>
                <w:lang w:bidi="ar"/>
              </w:rPr>
              <w:t>财务核算规范性</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1A04">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81F3">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项目实施单位严格按照《中华人民共和国会计法》、《企业会计准则》等有关规定进行财务核算。</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146E">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按照有关规定进行会计核算得3分，否则酌情扣分。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5EB3">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3</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FE1A">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按照《中华人民共和国会计法》、《企业会计准则》等有关规定进行财务核算，得3分。</w:t>
            </w:r>
          </w:p>
        </w:tc>
      </w:tr>
      <w:tr w14:paraId="48E516E4">
        <w:tblPrEx>
          <w:tblCellMar>
            <w:top w:w="0" w:type="dxa"/>
            <w:left w:w="108" w:type="dxa"/>
            <w:bottom w:w="0" w:type="dxa"/>
            <w:right w:w="108" w:type="dxa"/>
          </w:tblCellMar>
        </w:tblPrEx>
        <w:trPr>
          <w:trHeight w:val="397"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02B0B">
            <w:pPr>
              <w:jc w:val="center"/>
              <w:rPr>
                <w:rStyle w:val="10"/>
                <w:rFonts w:ascii="Arial Narrow" w:hAnsi="Arial Narrow" w:eastAsia="仿宋_GB2312"/>
                <w:color w:val="auto"/>
                <w:sz w:val="24"/>
              </w:rPr>
            </w:pPr>
          </w:p>
        </w:tc>
        <w:tc>
          <w:tcPr>
            <w:tcW w:w="11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5E285">
            <w:pPr>
              <w:jc w:val="center"/>
              <w:rPr>
                <w:rStyle w:val="10"/>
                <w:rFonts w:ascii="Arial Narrow" w:hAnsi="Arial Narrow" w:eastAsia="仿宋_GB2312"/>
                <w:color w:val="auto"/>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486C">
            <w:pPr>
              <w:widowControl/>
              <w:jc w:val="center"/>
              <w:textAlignment w:val="center"/>
            </w:pPr>
            <w:r>
              <w:rPr>
                <w:rFonts w:hint="eastAsia" w:ascii="宋体" w:hAnsi="宋体" w:cs="宋体"/>
                <w:color w:val="000000"/>
                <w:kern w:val="0"/>
                <w:sz w:val="20"/>
                <w:szCs w:val="20"/>
                <w:lang w:bidi="ar"/>
              </w:rPr>
              <w:t>财务监控有效性</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8872">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4C67">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是否为保障资金的安全、规范运行而采取了必要的监控措施。</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7310">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已建立财务监控机制，制定相应监控管理制度，开展了财务监控检查等必要的监控措施得2分，否则酌情扣分。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09F6">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1</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FB77">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《铜梁区太平水厂工程（一期）电力线路迁改竞争性比选专题会议纪要》同意该项目履约担保金为20,000.00元，而实际未收取,扣1分，得1分。</w:t>
            </w:r>
          </w:p>
        </w:tc>
      </w:tr>
      <w:tr w14:paraId="1755943B">
        <w:tblPrEx>
          <w:tblCellMar>
            <w:top w:w="0" w:type="dxa"/>
            <w:left w:w="108" w:type="dxa"/>
            <w:bottom w:w="0" w:type="dxa"/>
            <w:right w:w="108" w:type="dxa"/>
          </w:tblCellMar>
        </w:tblPrEx>
        <w:trPr>
          <w:trHeight w:val="397" w:hRule="atLeast"/>
          <w:jc w:val="center"/>
        </w:trPr>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8B84">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产出（10分）</w:t>
            </w:r>
          </w:p>
        </w:tc>
        <w:tc>
          <w:tcPr>
            <w:tcW w:w="11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5384">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项目产出（10分）</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2E8E">
            <w:pPr>
              <w:widowControl/>
              <w:jc w:val="center"/>
              <w:textAlignment w:val="center"/>
            </w:pPr>
            <w:r>
              <w:rPr>
                <w:rFonts w:hint="eastAsia" w:ascii="宋体" w:hAnsi="宋体" w:cs="宋体"/>
                <w:color w:val="000000"/>
                <w:kern w:val="0"/>
                <w:sz w:val="20"/>
                <w:szCs w:val="20"/>
                <w:lang w:bidi="ar"/>
              </w:rPr>
              <w:t>完成及时率</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3A42">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6692">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项目是否按期完工。</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BF68">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按期完工得5分，项目超期酌情扣分。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C170">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3</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C73F">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根据开工令，开工时间为2022年10月，合同约定工期12个月，截至2024年6月尚未完工，扣2分，得3分。</w:t>
            </w:r>
          </w:p>
        </w:tc>
      </w:tr>
      <w:tr w14:paraId="21DF18E3">
        <w:tblPrEx>
          <w:tblCellMar>
            <w:top w:w="0" w:type="dxa"/>
            <w:left w:w="108" w:type="dxa"/>
            <w:bottom w:w="0" w:type="dxa"/>
            <w:right w:w="108" w:type="dxa"/>
          </w:tblCellMar>
        </w:tblPrEx>
        <w:trPr>
          <w:trHeight w:val="397"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7368">
            <w:pPr>
              <w:jc w:val="center"/>
              <w:rPr>
                <w:rStyle w:val="10"/>
                <w:rFonts w:ascii="Arial Narrow" w:hAnsi="Arial Narrow" w:eastAsia="仿宋_GB2312"/>
                <w:color w:val="auto"/>
                <w:sz w:val="24"/>
              </w:rPr>
            </w:pPr>
          </w:p>
        </w:tc>
        <w:tc>
          <w:tcPr>
            <w:tcW w:w="11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0E2E">
            <w:pPr>
              <w:jc w:val="center"/>
              <w:rPr>
                <w:rStyle w:val="10"/>
                <w:rFonts w:ascii="Arial Narrow" w:hAnsi="Arial Narrow" w:eastAsia="仿宋_GB2312"/>
                <w:color w:val="auto"/>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47EA">
            <w:pPr>
              <w:widowControl/>
              <w:jc w:val="center"/>
              <w:textAlignment w:val="center"/>
            </w:pPr>
            <w:r>
              <w:rPr>
                <w:rFonts w:hint="eastAsia" w:ascii="宋体" w:hAnsi="宋体" w:cs="宋体"/>
                <w:color w:val="000000"/>
                <w:kern w:val="0"/>
                <w:sz w:val="20"/>
                <w:szCs w:val="20"/>
                <w:lang w:bidi="ar"/>
              </w:rPr>
              <w:t>质量达标率</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0C6D">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9BC8">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已完工部分是否符合项目设计时依据的相关标准</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9418">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已完工部分全部符合设计标准得5分，有一项未符合设计标准扣1分，扣完为止。</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EC48">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5</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7B22">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经检查，已完工部分均符合设计标准，得5分。</w:t>
            </w:r>
          </w:p>
        </w:tc>
      </w:tr>
      <w:tr w14:paraId="5F16956C">
        <w:tblPrEx>
          <w:tblCellMar>
            <w:top w:w="0" w:type="dxa"/>
            <w:left w:w="108" w:type="dxa"/>
            <w:bottom w:w="0" w:type="dxa"/>
            <w:right w:w="108" w:type="dxa"/>
          </w:tblCellMar>
        </w:tblPrEx>
        <w:trPr>
          <w:trHeight w:val="397" w:hRule="atLeast"/>
          <w:jc w:val="center"/>
        </w:trPr>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6836">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效果（15分）</w:t>
            </w:r>
          </w:p>
        </w:tc>
        <w:tc>
          <w:tcPr>
            <w:tcW w:w="11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E5741">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项目效益（15分）</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C289">
            <w:pPr>
              <w:widowControl/>
              <w:jc w:val="center"/>
              <w:textAlignment w:val="center"/>
            </w:pPr>
            <w:r>
              <w:rPr>
                <w:rFonts w:hint="eastAsia" w:ascii="宋体" w:hAnsi="宋体" w:cs="宋体"/>
                <w:color w:val="000000"/>
                <w:kern w:val="0"/>
                <w:sz w:val="20"/>
                <w:szCs w:val="20"/>
                <w:lang w:bidi="ar"/>
              </w:rPr>
              <w:t>社会效益</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EE35">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063A">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是否制定相关制度或办法对施工噪音、扬尘、建渣等进行管理。</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467A">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已建立相关环境保护制度并有效实施得5分，否则酌情扣分。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A17E">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3</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1A53">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经施工现场检查，在实际施工中有相应的监控措施，如在施工地周围加装围墙进行降音、使用喷雾系统和设备进行降尘、建渣运送到规定地点处理。未制定相关管理办法，扣2分，得3分。</w:t>
            </w:r>
          </w:p>
        </w:tc>
      </w:tr>
      <w:tr w14:paraId="0A9A347E">
        <w:tblPrEx>
          <w:tblCellMar>
            <w:top w:w="0" w:type="dxa"/>
            <w:left w:w="108" w:type="dxa"/>
            <w:bottom w:w="0" w:type="dxa"/>
            <w:right w:w="108" w:type="dxa"/>
          </w:tblCellMar>
        </w:tblPrEx>
        <w:trPr>
          <w:trHeight w:val="397"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9629">
            <w:pPr>
              <w:jc w:val="center"/>
              <w:rPr>
                <w:rStyle w:val="10"/>
                <w:rFonts w:ascii="Arial Narrow" w:hAnsi="Arial Narrow" w:eastAsia="仿宋_GB2312"/>
                <w:color w:val="auto"/>
                <w:sz w:val="24"/>
              </w:rPr>
            </w:pPr>
          </w:p>
        </w:tc>
        <w:tc>
          <w:tcPr>
            <w:tcW w:w="11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C813E">
            <w:pPr>
              <w:jc w:val="center"/>
              <w:rPr>
                <w:rStyle w:val="10"/>
                <w:rFonts w:ascii="Arial Narrow" w:hAnsi="Arial Narrow" w:eastAsia="仿宋_GB2312"/>
                <w:color w:val="auto"/>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7C2C">
            <w:pPr>
              <w:widowControl/>
              <w:jc w:val="center"/>
              <w:textAlignment w:val="center"/>
            </w:pPr>
            <w:r>
              <w:rPr>
                <w:rFonts w:hint="eastAsia" w:ascii="宋体" w:hAnsi="宋体" w:cs="宋体"/>
                <w:color w:val="000000"/>
                <w:kern w:val="0"/>
                <w:sz w:val="20"/>
                <w:szCs w:val="20"/>
                <w:lang w:bidi="ar"/>
              </w:rPr>
              <w:t>生态效益</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3157">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8A69">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是否采取必要措施防止水土流失。</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AB8D">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已采取工程措施等防止保水保土得5分，否则得0分。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328B">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5</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E114">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经施工现场检查，已采取污水集中处理、土质削坡开级等必要工程措施防止水土流</w:t>
            </w:r>
            <w:r>
              <w:rPr>
                <w:rFonts w:hint="eastAsia" w:ascii="宋体" w:hAnsi="宋体" w:cs="宋体"/>
                <w:color w:val="000000"/>
                <w:kern w:val="0"/>
                <w:sz w:val="20"/>
                <w:szCs w:val="20"/>
                <w:lang w:eastAsia="zh-CN" w:bidi="ar"/>
              </w:rPr>
              <w:t>失</w:t>
            </w:r>
            <w:r>
              <w:rPr>
                <w:rFonts w:hint="eastAsia" w:ascii="宋体" w:hAnsi="宋体" w:cs="宋体"/>
                <w:color w:val="000000"/>
                <w:kern w:val="0"/>
                <w:sz w:val="20"/>
                <w:szCs w:val="20"/>
                <w:lang w:bidi="ar"/>
              </w:rPr>
              <w:t>，得5分。</w:t>
            </w:r>
          </w:p>
        </w:tc>
      </w:tr>
      <w:tr w14:paraId="3D39083C">
        <w:tblPrEx>
          <w:tblCellMar>
            <w:top w:w="0" w:type="dxa"/>
            <w:left w:w="108" w:type="dxa"/>
            <w:bottom w:w="0" w:type="dxa"/>
            <w:right w:w="108" w:type="dxa"/>
          </w:tblCellMar>
        </w:tblPrEx>
        <w:trPr>
          <w:trHeight w:val="397"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8394">
            <w:pPr>
              <w:jc w:val="center"/>
              <w:rPr>
                <w:rStyle w:val="10"/>
                <w:rFonts w:ascii="Arial Narrow" w:hAnsi="Arial Narrow" w:eastAsia="仿宋_GB2312"/>
                <w:color w:val="auto"/>
                <w:sz w:val="24"/>
              </w:rPr>
            </w:pPr>
          </w:p>
        </w:tc>
        <w:tc>
          <w:tcPr>
            <w:tcW w:w="11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19002">
            <w:pPr>
              <w:jc w:val="center"/>
              <w:rPr>
                <w:rStyle w:val="10"/>
                <w:rFonts w:ascii="Arial Narrow" w:hAnsi="Arial Narrow" w:eastAsia="仿宋_GB2312"/>
                <w:color w:val="auto"/>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B0BC">
            <w:pPr>
              <w:widowControl/>
              <w:jc w:val="center"/>
              <w:textAlignment w:val="center"/>
            </w:pPr>
            <w:r>
              <w:rPr>
                <w:rFonts w:hint="eastAsia" w:ascii="宋体" w:hAnsi="宋体" w:cs="宋体"/>
                <w:color w:val="000000"/>
                <w:kern w:val="0"/>
                <w:sz w:val="20"/>
                <w:szCs w:val="20"/>
                <w:lang w:bidi="ar"/>
              </w:rPr>
              <w:t>社会公众或服务对象满意度</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4964">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77E6">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项目实施过程中受影响公众群体满意度。</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8146">
            <w:pPr>
              <w:widowControl/>
              <w:jc w:val="left"/>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随机抽取50名受影响群众调查文明施工满意度，按反馈比例得分。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3E40">
            <w:pPr>
              <w:widowControl/>
              <w:jc w:val="center"/>
              <w:textAlignment w:val="center"/>
              <w:rPr>
                <w:rStyle w:val="10"/>
                <w:rFonts w:ascii="Arial Narrow" w:hAnsi="Arial Narrow"/>
                <w:color w:val="auto"/>
                <w:sz w:val="24"/>
              </w:rPr>
            </w:pPr>
            <w:r>
              <w:rPr>
                <w:rFonts w:hint="eastAsia" w:ascii="宋体" w:hAnsi="宋体" w:cs="宋体"/>
                <w:kern w:val="0"/>
                <w:sz w:val="20"/>
                <w:szCs w:val="20"/>
                <w:lang w:bidi="ar"/>
              </w:rPr>
              <w:t>4.66</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E270">
            <w:pPr>
              <w:widowControl/>
              <w:jc w:val="left"/>
              <w:textAlignment w:val="center"/>
              <w:rPr>
                <w:rStyle w:val="10"/>
                <w:rFonts w:ascii="Arial Narrow" w:hAnsi="Arial Narrow" w:eastAsia="仿宋_GB2312"/>
                <w:color w:val="auto"/>
                <w:sz w:val="24"/>
              </w:rPr>
            </w:pPr>
            <w:r>
              <w:rPr>
                <w:rFonts w:hint="eastAsia" w:ascii="宋体" w:hAnsi="宋体" w:cs="宋体"/>
                <w:kern w:val="0"/>
                <w:sz w:val="20"/>
                <w:szCs w:val="20"/>
                <w:lang w:bidi="ar"/>
              </w:rPr>
              <w:t>实际抽取了64名受影响群众进行问卷调查，满意指数为93.23%，按比例得分5*0.9323=4.66分。</w:t>
            </w:r>
          </w:p>
        </w:tc>
      </w:tr>
      <w:tr w14:paraId="62D27E9A">
        <w:tblPrEx>
          <w:tblCellMar>
            <w:top w:w="0" w:type="dxa"/>
            <w:left w:w="108" w:type="dxa"/>
            <w:bottom w:w="0" w:type="dxa"/>
            <w:right w:w="108" w:type="dxa"/>
          </w:tblCellMar>
        </w:tblPrEx>
        <w:trPr>
          <w:trHeight w:val="397" w:hRule="atLeast"/>
          <w:jc w:val="center"/>
        </w:trPr>
        <w:tc>
          <w:tcPr>
            <w:tcW w:w="32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2C12">
            <w:pPr>
              <w:jc w:val="center"/>
            </w:pPr>
            <w:r>
              <w:rPr>
                <w:rStyle w:val="10"/>
                <w:rFonts w:hint="eastAsia" w:ascii="Arial Narrow" w:hAnsi="Arial Narrow" w:eastAsia="仿宋_GB2312"/>
                <w:color w:val="auto"/>
                <w:sz w:val="24"/>
                <w:u w:val="none"/>
              </w:rPr>
              <w:t>合计</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448F">
            <w:pPr>
              <w:widowControl/>
              <w:jc w:val="center"/>
              <w:textAlignment w:val="center"/>
              <w:rPr>
                <w:rStyle w:val="10"/>
                <w:rFonts w:ascii="Arial Narrow" w:hAnsi="Arial Narrow" w:eastAsia="仿宋_GB2312"/>
                <w:color w:val="auto"/>
                <w:sz w:val="24"/>
              </w:rPr>
            </w:pPr>
            <w:r>
              <w:rPr>
                <w:rFonts w:hint="eastAsia" w:ascii="宋体" w:hAnsi="宋体" w:cs="宋体"/>
                <w:color w:val="000000"/>
                <w:kern w:val="0"/>
                <w:sz w:val="20"/>
                <w:szCs w:val="20"/>
                <w:lang w:bidi="ar"/>
              </w:rPr>
              <w:t>100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4307">
            <w:pPr>
              <w:rPr>
                <w:rStyle w:val="10"/>
                <w:rFonts w:ascii="Arial Narrow" w:hAnsi="Arial Narrow" w:eastAsia="仿宋_GB2312"/>
                <w:color w:val="auto"/>
                <w:sz w:val="24"/>
              </w:rPr>
            </w:pPr>
          </w:p>
        </w:tc>
        <w:tc>
          <w:tcPr>
            <w:tcW w:w="3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E94F">
            <w:pPr>
              <w:rPr>
                <w:rStyle w:val="10"/>
                <w:rFonts w:ascii="Arial Narrow" w:hAnsi="Arial Narrow" w:eastAsia="仿宋_GB2312"/>
                <w:color w:val="auto"/>
                <w:sz w:val="24"/>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F30D">
            <w:pPr>
              <w:widowControl/>
              <w:jc w:val="center"/>
              <w:textAlignment w:val="center"/>
              <w:rPr>
                <w:rStyle w:val="10"/>
                <w:rFonts w:ascii="Arial Narrow" w:hAnsi="Arial Narrow"/>
                <w:color w:val="auto"/>
                <w:sz w:val="24"/>
              </w:rPr>
            </w:pPr>
            <w:r>
              <w:rPr>
                <w:rFonts w:hint="eastAsia" w:ascii="宋体" w:hAnsi="宋体" w:cs="宋体"/>
                <w:kern w:val="0"/>
                <w:sz w:val="20"/>
                <w:szCs w:val="20"/>
                <w:lang w:bidi="ar"/>
              </w:rPr>
              <w:t>88.66</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B37E">
            <w:pPr>
              <w:jc w:val="left"/>
              <w:rPr>
                <w:rStyle w:val="10"/>
                <w:rFonts w:ascii="Arial Narrow" w:hAnsi="Arial Narrow" w:eastAsia="仿宋_GB2312"/>
                <w:color w:val="auto"/>
                <w:sz w:val="24"/>
              </w:rPr>
            </w:pPr>
          </w:p>
        </w:tc>
      </w:tr>
    </w:tbl>
    <w:p w14:paraId="524534F2"/>
    <w:sectPr>
      <w:headerReference r:id="rId8" w:type="default"/>
      <w:footerReference r:id="rId9" w:type="default"/>
      <w:pgSz w:w="16840" w:h="11907"/>
      <w:pgMar w:top="1418" w:right="1134" w:bottom="1134"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E3A51">
    <w:pPr>
      <w:pStyle w:val="4"/>
      <w:jc w:val="center"/>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F6AA">
    <w:pPr>
      <w:pStyle w:val="4"/>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22</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E2176">
    <w:pPr>
      <w:pStyle w:val="4"/>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22</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A7ED">
    <w:pPr>
      <w:pStyle w:val="5"/>
      <w:jc w:val="right"/>
      <w:rPr>
        <w:rFonts w:ascii="仿宋" w:hAnsi="仿宋" w:eastAsia="仿宋"/>
        <w:sz w:val="21"/>
        <w:szCs w:val="21"/>
      </w:rPr>
    </w:pPr>
    <w:r>
      <w:rPr>
        <w:rFonts w:hint="eastAsia" w:ascii="仿宋" w:hAnsi="仿宋" w:eastAsia="仿宋"/>
        <w:sz w:val="21"/>
        <w:szCs w:val="21"/>
      </w:rPr>
      <w:t>铜梁区“太平水厂工程（一期）项目”绩效评价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F3A32">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D90DA">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1DC72">
    <w:pPr>
      <w:pStyle w:val="5"/>
      <w:jc w:val="right"/>
      <w:rPr>
        <w:rFonts w:ascii="仿宋" w:hAnsi="仿宋" w:eastAsia="仿宋"/>
        <w:sz w:val="21"/>
        <w:szCs w:val="21"/>
      </w:rPr>
    </w:pPr>
    <w:r>
      <w:rPr>
        <w:rFonts w:hint="eastAsia" w:ascii="仿宋" w:hAnsi="仿宋" w:eastAsia="仿宋"/>
        <w:sz w:val="21"/>
        <w:szCs w:val="21"/>
      </w:rPr>
      <w:t>铜梁区太平水厂工程（一期）项目绩效评价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D4F69"/>
    <w:multiLevelType w:val="singleLevel"/>
    <w:tmpl w:val="9D6D4F69"/>
    <w:lvl w:ilvl="0" w:tentative="0">
      <w:start w:val="1"/>
      <w:numFmt w:val="upperLetter"/>
      <w:lvlText w:val="%1."/>
      <w:lvlJc w:val="left"/>
      <w:pPr>
        <w:tabs>
          <w:tab w:val="left" w:pos="312"/>
        </w:tabs>
      </w:pPr>
    </w:lvl>
  </w:abstractNum>
  <w:abstractNum w:abstractNumId="1">
    <w:nsid w:val="CF30B357"/>
    <w:multiLevelType w:val="singleLevel"/>
    <w:tmpl w:val="CF30B357"/>
    <w:lvl w:ilvl="0" w:tentative="0">
      <w:start w:val="1"/>
      <w:numFmt w:val="decimal"/>
      <w:lvlText w:val="%1."/>
      <w:lvlJc w:val="left"/>
      <w:pPr>
        <w:tabs>
          <w:tab w:val="left" w:pos="312"/>
        </w:tabs>
      </w:pPr>
    </w:lvl>
  </w:abstractNum>
  <w:abstractNum w:abstractNumId="2">
    <w:nsid w:val="F337B3C9"/>
    <w:multiLevelType w:val="singleLevel"/>
    <w:tmpl w:val="F337B3C9"/>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kMWJkNzdkODFiMjE3ZDcyMTYzYTBjYzkxNGY2MTkifQ=="/>
  </w:docVars>
  <w:rsids>
    <w:rsidRoot w:val="008952B1"/>
    <w:rsid w:val="001B132A"/>
    <w:rsid w:val="00226E7E"/>
    <w:rsid w:val="003D233F"/>
    <w:rsid w:val="004200C2"/>
    <w:rsid w:val="005A56D8"/>
    <w:rsid w:val="00635841"/>
    <w:rsid w:val="00666B0A"/>
    <w:rsid w:val="008074FC"/>
    <w:rsid w:val="008952B1"/>
    <w:rsid w:val="008E609D"/>
    <w:rsid w:val="009E0B5C"/>
    <w:rsid w:val="00E27A95"/>
    <w:rsid w:val="00F83C77"/>
    <w:rsid w:val="013A7CFC"/>
    <w:rsid w:val="02717C9D"/>
    <w:rsid w:val="092B04E7"/>
    <w:rsid w:val="0C955D75"/>
    <w:rsid w:val="0E6D45AA"/>
    <w:rsid w:val="10763040"/>
    <w:rsid w:val="10FD0312"/>
    <w:rsid w:val="115F0AB9"/>
    <w:rsid w:val="120E6874"/>
    <w:rsid w:val="12B040EE"/>
    <w:rsid w:val="14F569E4"/>
    <w:rsid w:val="16A079AC"/>
    <w:rsid w:val="20100F10"/>
    <w:rsid w:val="21850EE4"/>
    <w:rsid w:val="22E02E93"/>
    <w:rsid w:val="26173244"/>
    <w:rsid w:val="26827FC2"/>
    <w:rsid w:val="270731DD"/>
    <w:rsid w:val="285D73AD"/>
    <w:rsid w:val="2AA32DF0"/>
    <w:rsid w:val="32966E8F"/>
    <w:rsid w:val="33270DD9"/>
    <w:rsid w:val="357129F4"/>
    <w:rsid w:val="371050B8"/>
    <w:rsid w:val="39673604"/>
    <w:rsid w:val="3BA47D82"/>
    <w:rsid w:val="3FF5610C"/>
    <w:rsid w:val="4059391C"/>
    <w:rsid w:val="406E0ED1"/>
    <w:rsid w:val="41512102"/>
    <w:rsid w:val="4297196D"/>
    <w:rsid w:val="45947F31"/>
    <w:rsid w:val="4BD237F6"/>
    <w:rsid w:val="4DF1278B"/>
    <w:rsid w:val="54CE38C5"/>
    <w:rsid w:val="55D21F87"/>
    <w:rsid w:val="56B73074"/>
    <w:rsid w:val="58642F14"/>
    <w:rsid w:val="5AB168EE"/>
    <w:rsid w:val="5AB4581A"/>
    <w:rsid w:val="60087B46"/>
    <w:rsid w:val="629B4EDD"/>
    <w:rsid w:val="676D1C1C"/>
    <w:rsid w:val="6B204804"/>
    <w:rsid w:val="6BBB00E8"/>
    <w:rsid w:val="6C0B491D"/>
    <w:rsid w:val="6EC16B46"/>
    <w:rsid w:val="733F522D"/>
    <w:rsid w:val="73A57377"/>
    <w:rsid w:val="74430858"/>
    <w:rsid w:val="790D02DC"/>
    <w:rsid w:val="7A620CAC"/>
    <w:rsid w:val="7AEA7832"/>
    <w:rsid w:val="7F3C4E7C"/>
    <w:rsid w:val="7FBD4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480" w:lineRule="auto"/>
      <w:jc w:val="center"/>
      <w:outlineLvl w:val="0"/>
    </w:pPr>
    <w:rPr>
      <w:b/>
      <w:bCs/>
      <w:kern w:val="44"/>
      <w:sz w:val="32"/>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lang w:val="zh-CN"/>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lang w:val="zh-CN"/>
    </w:rPr>
  </w:style>
  <w:style w:type="paragraph" w:styleId="6">
    <w:name w:val="toc 1"/>
    <w:basedOn w:val="1"/>
    <w:next w:val="1"/>
    <w:qFormat/>
    <w:uiPriority w:val="39"/>
    <w:pPr>
      <w:tabs>
        <w:tab w:val="right" w:leader="dot" w:pos="8778"/>
      </w:tabs>
      <w:spacing w:line="360" w:lineRule="auto"/>
    </w:pPr>
    <w:rPr>
      <w:rFonts w:ascii="Arial Narrow" w:hAnsi="Arial Narrow" w:eastAsia="仿宋_GB2312"/>
      <w:b/>
      <w:bCs/>
    </w:rPr>
  </w:style>
  <w:style w:type="paragraph" w:styleId="7">
    <w:name w:val="annotation subject"/>
    <w:basedOn w:val="3"/>
    <w:next w:val="3"/>
    <w:link w:val="15"/>
    <w:qFormat/>
    <w:uiPriority w:val="0"/>
    <w:rPr>
      <w:b/>
      <w:bCs/>
    </w:rPr>
  </w:style>
  <w:style w:type="character" w:styleId="10">
    <w:name w:val="Hyperlink"/>
    <w:qFormat/>
    <w:uiPriority w:val="99"/>
    <w:rPr>
      <w:color w:val="0000FF"/>
      <w:u w:val="single"/>
    </w:rPr>
  </w:style>
  <w:style w:type="character" w:styleId="11">
    <w:name w:val="annotation reference"/>
    <w:basedOn w:val="9"/>
    <w:qFormat/>
    <w:uiPriority w:val="0"/>
    <w:rPr>
      <w:sz w:val="21"/>
      <w:szCs w:val="21"/>
    </w:rPr>
  </w:style>
  <w:style w:type="paragraph" w:customStyle="1" w:styleId="12">
    <w:name w:val="目录 11"/>
    <w:basedOn w:val="1"/>
    <w:next w:val="1"/>
    <w:qFormat/>
    <w:uiPriority w:val="39"/>
    <w:pPr>
      <w:tabs>
        <w:tab w:val="right" w:leader="dot" w:pos="8280"/>
      </w:tabs>
      <w:spacing w:line="440" w:lineRule="exact"/>
      <w:jc w:val="distribute"/>
    </w:pPr>
    <w:rPr>
      <w:rFonts w:ascii="仿宋" w:hAnsi="仿宋" w:eastAsia="仿宋"/>
      <w:sz w:val="24"/>
    </w:r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4">
    <w:name w:val="批注文字 字符"/>
    <w:basedOn w:val="9"/>
    <w:link w:val="3"/>
    <w:qFormat/>
    <w:uiPriority w:val="0"/>
    <w:rPr>
      <w:kern w:val="2"/>
      <w:sz w:val="21"/>
      <w:szCs w:val="24"/>
    </w:rPr>
  </w:style>
  <w:style w:type="character" w:customStyle="1" w:styleId="15">
    <w:name w:val="批注主题 字符"/>
    <w:basedOn w:val="14"/>
    <w:link w:val="7"/>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12270</Words>
  <Characters>13259</Characters>
  <Lines>129</Lines>
  <Paragraphs>36</Paragraphs>
  <TotalTime>17</TotalTime>
  <ScaleCrop>false</ScaleCrop>
  <LinksUpToDate>false</LinksUpToDate>
  <CharactersWithSpaces>13302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2024-06-24T06:43:00Z</dcterms:created>
  <dc:creator>Administrator</dc:creator>
  <cp:lastModifiedBy>四十四</cp:lastModifiedBy>
  <cp:lastPrinted>2024-06-24T06:03:00Z</cp:lastPrinted>
  <dcterms:modified xsi:type="dcterms:W3CDTF">2024-11-19T09:29:13Z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0DEEC9CE015C4E0B9A5BDD2CC641473F_12</vt:lpwstr>
  </property>
</Properties>
</file>