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880" w:firstLineChars="200"/>
        <w:jc w:val="center"/>
        <w:textAlignment w:val="auto"/>
        <w:rPr>
          <w:rFonts w:hint="eastAsia" w:ascii="方正小标宋_GBK" w:hAnsi="方正小标宋_GBK" w:eastAsia="方正小标宋_GBK" w:cs="方正小标宋_GBK"/>
          <w:b w:val="0"/>
          <w:bCs/>
          <w:color w:val="auto"/>
          <w:sz w:val="44"/>
          <w:szCs w:val="44"/>
        </w:rPr>
      </w:pPr>
      <w:r>
        <w:rPr>
          <w:rStyle w:val="5"/>
          <w:rFonts w:hint="eastAsia" w:ascii="方正小标宋_GBK" w:hAnsi="方正小标宋_GBK" w:eastAsia="方正小标宋_GBK" w:cs="方正小标宋_GBK"/>
          <w:b w:val="0"/>
          <w:bCs/>
          <w:color w:val="auto"/>
          <w:sz w:val="44"/>
          <w:szCs w:val="44"/>
        </w:rPr>
        <w:t>重庆市铜梁区学生资助管理中心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880" w:firstLineChars="200"/>
        <w:jc w:val="center"/>
        <w:textAlignment w:val="auto"/>
        <w:rPr>
          <w:rStyle w:val="5"/>
          <w:rFonts w:hint="eastAsia" w:ascii="方正小标宋_GBK" w:hAnsi="方正小标宋_GBK" w:eastAsia="方正小标宋_GBK" w:cs="方正小标宋_GBK"/>
          <w:b w:val="0"/>
          <w:bCs/>
          <w:color w:val="auto"/>
          <w:sz w:val="44"/>
          <w:szCs w:val="44"/>
        </w:rPr>
      </w:pPr>
      <w:r>
        <w:rPr>
          <w:rStyle w:val="5"/>
          <w:rFonts w:hint="eastAsia" w:ascii="方正小标宋_GBK" w:hAnsi="方正小标宋_GBK" w:eastAsia="方正小标宋_GBK" w:cs="方正小标宋_GBK"/>
          <w:b w:val="0"/>
          <w:bCs/>
          <w:color w:val="auto"/>
          <w:sz w:val="44"/>
          <w:szCs w:val="44"/>
        </w:rPr>
        <w:t>2022年度部门决算情况说明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74" w:firstLine="1320" w:firstLineChars="300"/>
        <w:jc w:val="both"/>
        <w:textAlignment w:val="auto"/>
        <w:rPr>
          <w:rStyle w:val="5"/>
          <w:rFonts w:hint="eastAsia" w:ascii="方正小标宋_GBK" w:hAnsi="方正小标宋_GBK" w:eastAsia="方正小标宋_GBK" w:cs="方正小标宋_GBK"/>
          <w:b w:val="0"/>
          <w:bCs/>
          <w:color w:val="auto"/>
          <w:sz w:val="44"/>
          <w:szCs w:val="44"/>
        </w:rPr>
      </w:pP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94" w:lineRule="exact"/>
        <w:ind w:right="0" w:firstLine="640" w:firstLineChars="200"/>
        <w:jc w:val="left"/>
        <w:textAlignment w:val="auto"/>
        <w:rPr>
          <w:rStyle w:val="5"/>
          <w:rFonts w:hint="eastAsia" w:ascii="方正黑体_GBK" w:hAnsi="方正黑体_GBK" w:eastAsia="方正黑体_GBK" w:cs="方正黑体_GBK"/>
          <w:b w:val="0"/>
          <w:bCs/>
          <w:color w:val="auto"/>
          <w:sz w:val="32"/>
          <w:szCs w:val="32"/>
        </w:rPr>
      </w:pPr>
      <w:r>
        <w:rPr>
          <w:rStyle w:val="5"/>
          <w:rFonts w:hint="eastAsia" w:ascii="方正黑体_GBK" w:hAnsi="方正黑体_GBK" w:eastAsia="方正黑体_GBK" w:cs="方正黑体_GBK"/>
          <w:b w:val="0"/>
          <w:bCs/>
          <w:color w:val="auto"/>
          <w:sz w:val="32"/>
          <w:szCs w:val="32"/>
        </w:rPr>
        <w:t>一、部门基本情况</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94" w:lineRule="exact"/>
        <w:ind w:right="0" w:firstLine="640" w:firstLineChars="200"/>
        <w:jc w:val="left"/>
        <w:textAlignment w:val="auto"/>
        <w:rPr>
          <w:rFonts w:hint="eastAsia" w:ascii="方正楷体_GBK" w:hAnsi="方正楷体_GBK" w:eastAsia="方正楷体_GBK" w:cs="方正楷体_GBK"/>
          <w:b w:val="0"/>
          <w:bCs/>
          <w:color w:val="auto"/>
          <w:sz w:val="32"/>
          <w:szCs w:val="32"/>
        </w:rPr>
      </w:pPr>
      <w:r>
        <w:rPr>
          <w:rStyle w:val="5"/>
          <w:rFonts w:hint="eastAsia" w:ascii="方正楷体_GBK" w:hAnsi="方正楷体_GBK" w:eastAsia="方正楷体_GBK" w:cs="方正楷体_GBK"/>
          <w:b w:val="0"/>
          <w:bCs/>
          <w:color w:val="auto"/>
          <w:sz w:val="32"/>
          <w:szCs w:val="32"/>
        </w:rPr>
        <w:t>（一）职能职责</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94" w:lineRule="exact"/>
        <w:ind w:right="75" w:firstLine="640" w:firstLineChars="200"/>
        <w:jc w:val="left"/>
        <w:textAlignment w:val="auto"/>
        <w:rPr>
          <w:rFonts w:hint="default" w:eastAsiaTheme="minorEastAsia"/>
          <w:color w:val="auto"/>
          <w:lang w:val="en-US" w:eastAsia="zh-CN"/>
        </w:rPr>
      </w:pPr>
      <w:r>
        <w:rPr>
          <w:rFonts w:hint="eastAsia" w:ascii="方正仿宋_GBK" w:hAnsi="方正仿宋_GBK" w:eastAsia="方正仿宋_GBK" w:cs="方正仿宋_GBK"/>
          <w:color w:val="auto"/>
          <w:sz w:val="32"/>
          <w:szCs w:val="32"/>
          <w:lang w:val="en-US" w:eastAsia="zh-CN"/>
        </w:rPr>
        <w:t>负责全区生源地信用助学贷款管理工作；负责全区学前教育、义务教育、普通高中教育、中等职业教育学生资助管理工作。</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94" w:lineRule="exact"/>
        <w:ind w:right="0" w:firstLine="640" w:firstLineChars="200"/>
        <w:jc w:val="left"/>
        <w:textAlignment w:val="auto"/>
        <w:rPr>
          <w:rStyle w:val="5"/>
          <w:rFonts w:hint="eastAsia" w:ascii="方正楷体_GBK" w:hAnsi="方正楷体_GBK" w:eastAsia="方正楷体_GBK" w:cs="方正楷体_GBK"/>
          <w:b w:val="0"/>
          <w:bCs/>
          <w:color w:val="auto"/>
          <w:sz w:val="32"/>
          <w:szCs w:val="32"/>
        </w:rPr>
      </w:pPr>
      <w:r>
        <w:rPr>
          <w:rStyle w:val="5"/>
          <w:rFonts w:hint="eastAsia" w:ascii="方正楷体_GBK" w:hAnsi="方正楷体_GBK" w:eastAsia="方正楷体_GBK" w:cs="方正楷体_GBK"/>
          <w:b w:val="0"/>
          <w:bCs/>
          <w:color w:val="auto"/>
          <w:sz w:val="32"/>
          <w:szCs w:val="32"/>
        </w:rPr>
        <w:t>（二）机构设置</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94" w:lineRule="exact"/>
        <w:ind w:right="75"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本单位未进行内部机构设置。</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94" w:lineRule="exact"/>
        <w:ind w:right="0" w:firstLine="640" w:firstLineChars="200"/>
        <w:textAlignment w:val="auto"/>
        <w:rPr>
          <w:rStyle w:val="5"/>
          <w:rFonts w:hint="eastAsia" w:ascii="方正黑体_GBK" w:hAnsi="方正黑体_GBK" w:eastAsia="方正黑体_GBK" w:cs="方正黑体_GBK"/>
          <w:b w:val="0"/>
          <w:bCs/>
          <w:color w:val="auto"/>
          <w:sz w:val="32"/>
          <w:szCs w:val="32"/>
        </w:rPr>
      </w:pPr>
      <w:r>
        <w:rPr>
          <w:rStyle w:val="5"/>
          <w:rFonts w:hint="eastAsia" w:ascii="方正黑体_GBK" w:hAnsi="方正黑体_GBK" w:eastAsia="方正黑体_GBK" w:cs="方正黑体_GBK"/>
          <w:b w:val="0"/>
          <w:bCs/>
          <w:color w:val="auto"/>
          <w:sz w:val="32"/>
          <w:szCs w:val="32"/>
        </w:rPr>
        <w:t>二、部门决算情况说明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Style w:val="5"/>
          <w:rFonts w:hint="eastAsia" w:ascii="方正楷体_GBK" w:hAnsi="方正楷体_GBK" w:eastAsia="方正楷体_GBK" w:cs="方正楷体_GBK"/>
          <w:b w:val="0"/>
          <w:bCs/>
          <w:color w:val="auto"/>
          <w:sz w:val="32"/>
          <w:szCs w:val="32"/>
        </w:rPr>
      </w:pPr>
      <w:r>
        <w:rPr>
          <w:rStyle w:val="5"/>
          <w:rFonts w:hint="eastAsia" w:ascii="方正楷体_GBK" w:hAnsi="方正楷体_GBK" w:eastAsia="方正楷体_GBK" w:cs="方正楷体_GBK"/>
          <w:b w:val="0"/>
          <w:bCs/>
          <w:color w:val="auto"/>
          <w:sz w:val="32"/>
          <w:szCs w:val="32"/>
        </w:rPr>
        <w:t>（一）收入支出决算总体情况说明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Fonts w:hint="eastAsia" w:ascii="方正仿宋_GBK" w:hAnsi="方正仿宋_GBK" w:eastAsia="方正仿宋_GBK" w:cs="方正仿宋_GBK"/>
          <w:b w:val="0"/>
          <w:bCs/>
          <w:color w:val="auto"/>
          <w:sz w:val="32"/>
          <w:szCs w:val="32"/>
        </w:rPr>
      </w:pPr>
      <w:r>
        <w:rPr>
          <w:rStyle w:val="5"/>
          <w:rFonts w:hint="eastAsia" w:ascii="方正仿宋_GBK" w:hAnsi="方正仿宋_GBK" w:eastAsia="方正仿宋_GBK" w:cs="方正仿宋_GBK"/>
          <w:b w:val="0"/>
          <w:bCs/>
          <w:color w:val="auto"/>
          <w:sz w:val="32"/>
          <w:szCs w:val="32"/>
        </w:rPr>
        <w:t>1.总体情况。</w:t>
      </w:r>
      <w:r>
        <w:rPr>
          <w:rFonts w:hint="eastAsia" w:ascii="方正仿宋_GBK" w:hAnsi="方正仿宋_GBK" w:eastAsia="方正仿宋_GBK" w:cs="方正仿宋_GBK"/>
          <w:b w:val="0"/>
          <w:bCs/>
          <w:color w:val="auto"/>
          <w:sz w:val="32"/>
          <w:szCs w:val="32"/>
        </w:rPr>
        <w:t>2022年度收入总计170.93万元，支出总计170.93万元。收支较上年决算数增加170.93万元,增长</w:t>
      </w:r>
      <w:r>
        <w:rPr>
          <w:rFonts w:hint="eastAsia" w:ascii="方正仿宋_GBK" w:hAnsi="方正仿宋_GBK" w:eastAsia="方正仿宋_GBK" w:cs="方正仿宋_GBK"/>
          <w:b w:val="0"/>
          <w:bCs/>
          <w:color w:val="auto"/>
          <w:sz w:val="32"/>
          <w:szCs w:val="32"/>
          <w:lang w:val="en-US" w:eastAsia="zh-CN"/>
        </w:rPr>
        <w:t>100</w:t>
      </w:r>
      <w:r>
        <w:rPr>
          <w:rFonts w:hint="eastAsia" w:ascii="方正仿宋_GBK" w:hAnsi="方正仿宋_GBK" w:eastAsia="方正仿宋_GBK" w:cs="方正仿宋_GBK"/>
          <w:b w:val="0"/>
          <w:bCs/>
          <w:color w:val="auto"/>
          <w:sz w:val="32"/>
          <w:szCs w:val="32"/>
        </w:rPr>
        <w:t>%，主要原因是</w:t>
      </w:r>
      <w:r>
        <w:rPr>
          <w:rFonts w:hint="eastAsia" w:ascii="方正仿宋_GBK" w:hAnsi="方正仿宋_GBK" w:eastAsia="方正仿宋_GBK" w:cs="方正仿宋_GBK"/>
          <w:b w:val="0"/>
          <w:bCs/>
          <w:color w:val="auto"/>
          <w:sz w:val="32"/>
          <w:szCs w:val="32"/>
          <w:lang w:val="en-US" w:eastAsia="zh-CN"/>
        </w:rPr>
        <w:t>本单位2021年收入支出纳入区教委统一核算，2021年决算数据统一通过教委进行填报，2022年单独进行会计核算。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Fonts w:hint="eastAsia" w:ascii="方正仿宋_GBK" w:hAnsi="方正仿宋_GBK" w:eastAsia="方正仿宋_GBK" w:cs="方正仿宋_GBK"/>
          <w:b w:val="0"/>
          <w:bCs/>
          <w:color w:val="auto"/>
          <w:sz w:val="32"/>
          <w:szCs w:val="32"/>
        </w:rPr>
      </w:pPr>
      <w:r>
        <w:rPr>
          <w:rStyle w:val="5"/>
          <w:rFonts w:hint="eastAsia" w:ascii="方正仿宋_GBK" w:hAnsi="方正仿宋_GBK" w:eastAsia="方正仿宋_GBK" w:cs="方正仿宋_GBK"/>
          <w:b w:val="0"/>
          <w:bCs/>
          <w:color w:val="auto"/>
          <w:sz w:val="32"/>
          <w:szCs w:val="32"/>
        </w:rPr>
        <w:t>2.收入情况。</w:t>
      </w:r>
      <w:r>
        <w:rPr>
          <w:rFonts w:hint="eastAsia" w:ascii="方正仿宋_GBK" w:hAnsi="方正仿宋_GBK" w:eastAsia="方正仿宋_GBK" w:cs="方正仿宋_GBK"/>
          <w:b w:val="0"/>
          <w:bCs/>
          <w:color w:val="auto"/>
          <w:sz w:val="32"/>
          <w:szCs w:val="32"/>
        </w:rPr>
        <w:t>2022年度收入合计170.93万元，较上年决算数增加170.93万元，增长</w:t>
      </w:r>
      <w:r>
        <w:rPr>
          <w:rFonts w:hint="eastAsia" w:ascii="方正仿宋_GBK" w:hAnsi="方正仿宋_GBK" w:eastAsia="方正仿宋_GBK" w:cs="方正仿宋_GBK"/>
          <w:b w:val="0"/>
          <w:bCs/>
          <w:color w:val="auto"/>
          <w:sz w:val="32"/>
          <w:szCs w:val="32"/>
          <w:lang w:val="en-US" w:eastAsia="zh-CN"/>
        </w:rPr>
        <w:t>100</w:t>
      </w:r>
      <w:r>
        <w:rPr>
          <w:rFonts w:hint="eastAsia" w:ascii="方正仿宋_GBK" w:hAnsi="方正仿宋_GBK" w:eastAsia="方正仿宋_GBK" w:cs="方正仿宋_GBK"/>
          <w:b w:val="0"/>
          <w:bCs/>
          <w:color w:val="auto"/>
          <w:sz w:val="32"/>
          <w:szCs w:val="32"/>
        </w:rPr>
        <w:t>%，主要原因是</w:t>
      </w:r>
      <w:r>
        <w:rPr>
          <w:rFonts w:hint="eastAsia" w:ascii="方正仿宋_GBK" w:hAnsi="方正仿宋_GBK" w:eastAsia="方正仿宋_GBK" w:cs="方正仿宋_GBK"/>
          <w:b w:val="0"/>
          <w:bCs/>
          <w:color w:val="auto"/>
          <w:sz w:val="32"/>
          <w:szCs w:val="32"/>
          <w:lang w:val="en-US" w:eastAsia="zh-CN"/>
        </w:rPr>
        <w:t>本单位2021年收入支出纳入区教委统一核算，2021年决算数据统一通过教委进行填报，2022年单独进行会计核算。</w:t>
      </w:r>
      <w:r>
        <w:rPr>
          <w:rFonts w:hint="eastAsia" w:ascii="方正仿宋_GBK" w:hAnsi="方正仿宋_GBK" w:eastAsia="方正仿宋_GBK" w:cs="方正仿宋_GBK"/>
          <w:b w:val="0"/>
          <w:bCs/>
          <w:color w:val="auto"/>
          <w:sz w:val="32"/>
          <w:szCs w:val="32"/>
        </w:rPr>
        <w:t>其中：财政拨款收入170.93万元，占100%。</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Fonts w:hint="eastAsia" w:ascii="方正仿宋_GBK" w:hAnsi="方正仿宋_GBK" w:eastAsia="方正仿宋_GBK" w:cs="方正仿宋_GBK"/>
          <w:b w:val="0"/>
          <w:bCs/>
          <w:color w:val="auto"/>
          <w:sz w:val="32"/>
          <w:szCs w:val="32"/>
          <w:lang w:eastAsia="zh-CN"/>
        </w:rPr>
      </w:pPr>
      <w:r>
        <w:rPr>
          <w:rStyle w:val="5"/>
          <w:rFonts w:hint="eastAsia" w:ascii="方正仿宋_GBK" w:hAnsi="方正仿宋_GBK" w:eastAsia="方正仿宋_GBK" w:cs="方正仿宋_GBK"/>
          <w:b w:val="0"/>
          <w:bCs/>
          <w:color w:val="auto"/>
          <w:sz w:val="32"/>
          <w:szCs w:val="32"/>
        </w:rPr>
        <w:t>3.支出情况。</w:t>
      </w:r>
      <w:r>
        <w:rPr>
          <w:rFonts w:hint="eastAsia" w:ascii="方正仿宋_GBK" w:hAnsi="方正仿宋_GBK" w:eastAsia="方正仿宋_GBK" w:cs="方正仿宋_GBK"/>
          <w:b w:val="0"/>
          <w:bCs/>
          <w:color w:val="auto"/>
          <w:sz w:val="32"/>
          <w:szCs w:val="32"/>
        </w:rPr>
        <w:t>2022年度支出合计170.93万元，较上年决算增加170.93万元，增长</w:t>
      </w:r>
      <w:r>
        <w:rPr>
          <w:rFonts w:hint="eastAsia" w:ascii="方正仿宋_GBK" w:hAnsi="方正仿宋_GBK" w:eastAsia="方正仿宋_GBK" w:cs="方正仿宋_GBK"/>
          <w:b w:val="0"/>
          <w:bCs/>
          <w:color w:val="auto"/>
          <w:sz w:val="32"/>
          <w:szCs w:val="32"/>
          <w:lang w:val="en-US" w:eastAsia="zh-CN"/>
        </w:rPr>
        <w:t>100</w:t>
      </w:r>
      <w:r>
        <w:rPr>
          <w:rFonts w:hint="eastAsia" w:ascii="方正仿宋_GBK" w:hAnsi="方正仿宋_GBK" w:eastAsia="方正仿宋_GBK" w:cs="方正仿宋_GBK"/>
          <w:b w:val="0"/>
          <w:bCs/>
          <w:color w:val="auto"/>
          <w:sz w:val="32"/>
          <w:szCs w:val="32"/>
        </w:rPr>
        <w:t>%，主要原因是</w:t>
      </w:r>
      <w:r>
        <w:rPr>
          <w:rFonts w:hint="eastAsia" w:ascii="方正仿宋_GBK" w:hAnsi="方正仿宋_GBK" w:eastAsia="方正仿宋_GBK" w:cs="方正仿宋_GBK"/>
          <w:b w:val="0"/>
          <w:bCs/>
          <w:color w:val="auto"/>
          <w:sz w:val="32"/>
          <w:szCs w:val="32"/>
          <w:lang w:val="en-US" w:eastAsia="zh-CN"/>
        </w:rPr>
        <w:t>本单位2021年收入支出纳入区教委统一核算，2021年决算数据统一通过教委进行填报，2022年单独进行会计核算。</w:t>
      </w:r>
      <w:r>
        <w:rPr>
          <w:rFonts w:hint="eastAsia" w:ascii="方正仿宋_GBK" w:hAnsi="方正仿宋_GBK" w:eastAsia="方正仿宋_GBK" w:cs="方正仿宋_GBK"/>
          <w:b w:val="0"/>
          <w:bCs/>
          <w:color w:val="auto"/>
          <w:sz w:val="32"/>
          <w:szCs w:val="32"/>
        </w:rPr>
        <w:t>其中：基本支出170.93万元，占100%</w:t>
      </w:r>
      <w:r>
        <w:rPr>
          <w:rFonts w:hint="eastAsia" w:ascii="方正仿宋_GBK" w:hAnsi="方正仿宋_GBK" w:eastAsia="方正仿宋_GBK" w:cs="方正仿宋_GBK"/>
          <w:b w:val="0"/>
          <w:bCs/>
          <w:color w:val="auto"/>
          <w:sz w:val="32"/>
          <w:szCs w:val="32"/>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Fonts w:hint="eastAsia" w:ascii="方正仿宋_GBK" w:hAnsi="方正仿宋_GBK" w:eastAsia="方正仿宋_GBK" w:cs="方正仿宋_GBK"/>
          <w:color w:val="auto"/>
          <w:sz w:val="32"/>
          <w:szCs w:val="32"/>
          <w:lang w:val="en-US" w:eastAsia="zh-CN"/>
        </w:rPr>
      </w:pPr>
      <w:r>
        <w:rPr>
          <w:rStyle w:val="5"/>
          <w:rFonts w:hint="eastAsia" w:ascii="方正仿宋_GBK" w:hAnsi="方正仿宋_GBK" w:eastAsia="方正仿宋_GBK" w:cs="方正仿宋_GBK"/>
          <w:b w:val="0"/>
          <w:bCs/>
          <w:color w:val="auto"/>
          <w:sz w:val="32"/>
          <w:szCs w:val="32"/>
        </w:rPr>
        <w:t>4.结转结余情况。</w:t>
      </w:r>
      <w:r>
        <w:rPr>
          <w:rFonts w:hint="eastAsia" w:ascii="方正仿宋_GBK" w:hAnsi="方正仿宋_GBK" w:eastAsia="方正仿宋_GBK" w:cs="方正仿宋_GBK"/>
          <w:color w:val="auto"/>
          <w:sz w:val="32"/>
          <w:szCs w:val="32"/>
        </w:rPr>
        <w:t>2022年度年末结转和结余0.00万元，较上年决算数增加0.00万元，</w:t>
      </w:r>
      <w:r>
        <w:rPr>
          <w:rFonts w:hint="eastAsia" w:ascii="方正仿宋_GBK" w:hAnsi="方正仿宋_GBK" w:eastAsia="方正仿宋_GBK" w:cs="方正仿宋_GBK"/>
          <w:color w:val="auto"/>
          <w:sz w:val="32"/>
          <w:szCs w:val="32"/>
          <w:lang w:val="en-US" w:eastAsia="zh-CN"/>
        </w:rPr>
        <w:t>本单位2021年收入支出纳入区教委统一核算，2021年决算数据统一通过教委进行填报，2022年单独进行会计核算。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Fonts w:hint="eastAsia" w:ascii="方正楷体_GBK" w:hAnsi="方正楷体_GBK" w:eastAsia="方正楷体_GBK" w:cs="方正楷体_GBK"/>
          <w:b w:val="0"/>
          <w:bCs/>
          <w:color w:val="auto"/>
          <w:sz w:val="32"/>
          <w:szCs w:val="32"/>
        </w:rPr>
      </w:pPr>
      <w:r>
        <w:rPr>
          <w:rStyle w:val="5"/>
          <w:rFonts w:hint="eastAsia" w:ascii="方正楷体_GBK" w:hAnsi="方正楷体_GBK" w:eastAsia="方正楷体_GBK" w:cs="方正楷体_GBK"/>
          <w:b w:val="0"/>
          <w:bCs/>
          <w:color w:val="auto"/>
          <w:sz w:val="32"/>
          <w:szCs w:val="32"/>
        </w:rPr>
        <w:t>（二）财政拨款收入支出决算总体情况说明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2022年度财政拨款收、支总计170.93万元。与2021年相比，财政拨款收、支总计各增加170.93万元，增长</w:t>
      </w:r>
      <w:r>
        <w:rPr>
          <w:rFonts w:hint="eastAsia" w:ascii="方正仿宋_GBK" w:hAnsi="方正仿宋_GBK" w:eastAsia="方正仿宋_GBK" w:cs="方正仿宋_GBK"/>
          <w:color w:val="auto"/>
          <w:sz w:val="32"/>
          <w:szCs w:val="32"/>
          <w:lang w:val="en-US" w:eastAsia="zh-CN"/>
        </w:rPr>
        <w:t>100</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val="en-US" w:eastAsia="zh-CN"/>
        </w:rPr>
        <w:t>本单位2021年收入支出纳入区教委统一核算，2021年决算数据统一通过教委进行填报，2022年单独进行会计核算。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Style w:val="5"/>
          <w:rFonts w:hint="eastAsia" w:ascii="方正楷体_GBK" w:hAnsi="方正楷体_GBK" w:eastAsia="方正楷体_GBK" w:cs="方正楷体_GBK"/>
          <w:b w:val="0"/>
          <w:bCs/>
          <w:color w:val="auto"/>
          <w:sz w:val="32"/>
          <w:szCs w:val="32"/>
        </w:rPr>
      </w:pPr>
      <w:r>
        <w:rPr>
          <w:rStyle w:val="5"/>
          <w:rFonts w:hint="eastAsia" w:ascii="方正楷体_GBK" w:hAnsi="方正楷体_GBK" w:eastAsia="方正楷体_GBK" w:cs="方正楷体_GBK"/>
          <w:b w:val="0"/>
          <w:bCs/>
          <w:color w:val="auto"/>
          <w:sz w:val="32"/>
          <w:szCs w:val="32"/>
        </w:rPr>
        <w:t>（三）一般公共预算财政拨款收入支出决算情况说明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Fonts w:hint="eastAsia" w:ascii="方正仿宋_GBK" w:hAnsi="方正仿宋_GBK" w:eastAsia="方正仿宋_GBK" w:cs="方正仿宋_GBK"/>
          <w:b w:val="0"/>
          <w:bCs/>
          <w:color w:val="auto"/>
          <w:sz w:val="32"/>
          <w:szCs w:val="32"/>
        </w:rPr>
      </w:pPr>
      <w:r>
        <w:rPr>
          <w:rStyle w:val="5"/>
          <w:rFonts w:hint="eastAsia" w:ascii="方正仿宋_GBK" w:hAnsi="方正仿宋_GBK" w:eastAsia="方正仿宋_GBK" w:cs="方正仿宋_GBK"/>
          <w:b w:val="0"/>
          <w:bCs/>
          <w:color w:val="auto"/>
          <w:sz w:val="32"/>
          <w:szCs w:val="32"/>
        </w:rPr>
        <w:t>1.收入情况。</w:t>
      </w:r>
      <w:r>
        <w:rPr>
          <w:rFonts w:hint="eastAsia" w:ascii="方正仿宋_GBK" w:hAnsi="方正仿宋_GBK" w:eastAsia="方正仿宋_GBK" w:cs="方正仿宋_GBK"/>
          <w:b w:val="0"/>
          <w:bCs/>
          <w:color w:val="auto"/>
          <w:sz w:val="32"/>
          <w:szCs w:val="32"/>
        </w:rPr>
        <w:t>2022年度一般公共预算财政拨款收入170.93万元，较上年决算数增加170.93万元，增长</w:t>
      </w:r>
      <w:r>
        <w:rPr>
          <w:rFonts w:hint="eastAsia" w:ascii="方正仿宋_GBK" w:hAnsi="方正仿宋_GBK" w:eastAsia="方正仿宋_GBK" w:cs="方正仿宋_GBK"/>
          <w:b w:val="0"/>
          <w:bCs/>
          <w:color w:val="auto"/>
          <w:sz w:val="32"/>
          <w:szCs w:val="32"/>
          <w:lang w:val="en-US" w:eastAsia="zh-CN"/>
        </w:rPr>
        <w:t>100</w:t>
      </w:r>
      <w:r>
        <w:rPr>
          <w:rFonts w:hint="eastAsia" w:ascii="方正仿宋_GBK" w:hAnsi="方正仿宋_GBK" w:eastAsia="方正仿宋_GBK" w:cs="方正仿宋_GBK"/>
          <w:b w:val="0"/>
          <w:bCs/>
          <w:color w:val="auto"/>
          <w:sz w:val="32"/>
          <w:szCs w:val="32"/>
        </w:rPr>
        <w:t>%。主要原因是</w:t>
      </w:r>
      <w:r>
        <w:rPr>
          <w:rFonts w:hint="eastAsia" w:ascii="方正仿宋_GBK" w:hAnsi="方正仿宋_GBK" w:eastAsia="方正仿宋_GBK" w:cs="方正仿宋_GBK"/>
          <w:b w:val="0"/>
          <w:bCs/>
          <w:color w:val="auto"/>
          <w:sz w:val="32"/>
          <w:szCs w:val="32"/>
          <w:lang w:val="en-US" w:eastAsia="zh-CN"/>
        </w:rPr>
        <w:t>本单位2021年收入支出纳入区教委统一核算，2021年决算数据统一通过教委进行填报，2022年单独进行会计核算。</w:t>
      </w:r>
      <w:r>
        <w:rPr>
          <w:rFonts w:hint="eastAsia" w:ascii="方正仿宋_GBK" w:hAnsi="方正仿宋_GBK" w:eastAsia="方正仿宋_GBK" w:cs="方正仿宋_GBK"/>
          <w:b w:val="0"/>
          <w:bCs/>
          <w:color w:val="auto"/>
          <w:sz w:val="32"/>
          <w:szCs w:val="32"/>
        </w:rPr>
        <w:t>较年初预算数减少55.00万元，下降24.3%。主要原因是</w:t>
      </w:r>
      <w:r>
        <w:rPr>
          <w:rFonts w:hint="eastAsia" w:ascii="方正仿宋_GBK" w:hAnsi="方正仿宋_GBK" w:eastAsia="方正仿宋_GBK" w:cs="方正仿宋_GBK"/>
          <w:b w:val="0"/>
          <w:bCs/>
          <w:color w:val="auto"/>
          <w:sz w:val="32"/>
          <w:szCs w:val="32"/>
          <w:lang w:val="en-US" w:eastAsia="zh-CN"/>
        </w:rPr>
        <w:t>疫情影响，项目支出减少。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Fonts w:hint="eastAsia" w:ascii="方正仿宋_GBK" w:hAnsi="方正仿宋_GBK" w:eastAsia="方正仿宋_GBK" w:cs="方正仿宋_GBK"/>
          <w:b w:val="0"/>
          <w:bCs/>
          <w:color w:val="auto"/>
          <w:sz w:val="32"/>
          <w:szCs w:val="32"/>
          <w:lang w:val="en-US" w:eastAsia="zh-CN"/>
        </w:rPr>
      </w:pPr>
      <w:r>
        <w:rPr>
          <w:rStyle w:val="5"/>
          <w:rFonts w:hint="eastAsia" w:ascii="方正仿宋_GBK" w:hAnsi="方正仿宋_GBK" w:eastAsia="方正仿宋_GBK" w:cs="方正仿宋_GBK"/>
          <w:b w:val="0"/>
          <w:bCs/>
          <w:color w:val="auto"/>
          <w:sz w:val="32"/>
          <w:szCs w:val="32"/>
        </w:rPr>
        <w:t>2.支出情况。</w:t>
      </w:r>
      <w:r>
        <w:rPr>
          <w:rFonts w:hint="eastAsia" w:ascii="方正仿宋_GBK" w:hAnsi="方正仿宋_GBK" w:eastAsia="方正仿宋_GBK" w:cs="方正仿宋_GBK"/>
          <w:b w:val="0"/>
          <w:bCs/>
          <w:color w:val="auto"/>
          <w:sz w:val="32"/>
          <w:szCs w:val="32"/>
        </w:rPr>
        <w:t>2022年度一般公共预算财政拨款支出170.93万元，较上年决算数增加170.93万元，增长</w:t>
      </w:r>
      <w:r>
        <w:rPr>
          <w:rFonts w:hint="eastAsia" w:ascii="方正仿宋_GBK" w:hAnsi="方正仿宋_GBK" w:eastAsia="方正仿宋_GBK" w:cs="方正仿宋_GBK"/>
          <w:b w:val="0"/>
          <w:bCs/>
          <w:color w:val="auto"/>
          <w:sz w:val="32"/>
          <w:szCs w:val="32"/>
          <w:lang w:val="en-US" w:eastAsia="zh-CN"/>
        </w:rPr>
        <w:t>100</w:t>
      </w:r>
      <w:r>
        <w:rPr>
          <w:rFonts w:hint="eastAsia" w:ascii="方正仿宋_GBK" w:hAnsi="方正仿宋_GBK" w:eastAsia="方正仿宋_GBK" w:cs="方正仿宋_GBK"/>
          <w:b w:val="0"/>
          <w:bCs/>
          <w:color w:val="auto"/>
          <w:sz w:val="32"/>
          <w:szCs w:val="32"/>
        </w:rPr>
        <w:t>%。主要原因是</w:t>
      </w:r>
      <w:r>
        <w:rPr>
          <w:rFonts w:hint="eastAsia" w:ascii="方正仿宋_GBK" w:hAnsi="方正仿宋_GBK" w:eastAsia="方正仿宋_GBK" w:cs="方正仿宋_GBK"/>
          <w:b w:val="0"/>
          <w:bCs/>
          <w:color w:val="auto"/>
          <w:sz w:val="32"/>
          <w:szCs w:val="32"/>
          <w:lang w:val="en-US" w:eastAsia="zh-CN"/>
        </w:rPr>
        <w:t>本单位2021年收入支出纳入区教委统一核算，2021年决算数据统一通过教委进行填报，2022年单独进行会计核算。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Fonts w:hint="eastAsia"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color w:val="auto"/>
          <w:sz w:val="32"/>
          <w:szCs w:val="32"/>
        </w:rPr>
        <w:t>较年初预算数减少55.00万元，下降24.3%。主要原因是</w:t>
      </w:r>
      <w:r>
        <w:rPr>
          <w:rFonts w:hint="eastAsia" w:ascii="方正仿宋_GBK" w:hAnsi="方正仿宋_GBK" w:eastAsia="方正仿宋_GBK" w:cs="方正仿宋_GBK"/>
          <w:b w:val="0"/>
          <w:bCs/>
          <w:color w:val="auto"/>
          <w:sz w:val="32"/>
          <w:szCs w:val="32"/>
          <w:lang w:val="en-US" w:eastAsia="zh-CN"/>
        </w:rPr>
        <w:t>疫情影响，项目支出减少。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Fonts w:hint="eastAsia" w:ascii="方正仿宋_GBK" w:hAnsi="方正仿宋_GBK" w:eastAsia="方正仿宋_GBK" w:cs="方正仿宋_GBK"/>
          <w:b w:val="0"/>
          <w:bCs/>
          <w:color w:val="auto"/>
          <w:sz w:val="32"/>
          <w:szCs w:val="32"/>
          <w:lang w:val="en-US" w:eastAsia="zh-CN"/>
        </w:rPr>
      </w:pPr>
      <w:r>
        <w:rPr>
          <w:rStyle w:val="5"/>
          <w:rFonts w:hint="eastAsia" w:ascii="方正仿宋_GBK" w:hAnsi="方正仿宋_GBK" w:eastAsia="方正仿宋_GBK" w:cs="方正仿宋_GBK"/>
          <w:b w:val="0"/>
          <w:bCs/>
          <w:color w:val="auto"/>
          <w:sz w:val="32"/>
          <w:szCs w:val="32"/>
        </w:rPr>
        <w:t>3.结转结余情况。</w:t>
      </w:r>
      <w:r>
        <w:rPr>
          <w:rFonts w:hint="eastAsia" w:ascii="方正仿宋_GBK" w:hAnsi="方正仿宋_GBK" w:eastAsia="方正仿宋_GBK" w:cs="方正仿宋_GBK"/>
          <w:b w:val="0"/>
          <w:bCs/>
          <w:color w:val="auto"/>
          <w:sz w:val="32"/>
          <w:szCs w:val="32"/>
        </w:rPr>
        <w:t>2022年度年末一般公共预算财政拨款结转和结余0.00万元，较上年决算数增加0.00万元，</w:t>
      </w:r>
      <w:r>
        <w:rPr>
          <w:rFonts w:hint="eastAsia" w:ascii="方正仿宋_GBK" w:hAnsi="方正仿宋_GBK" w:eastAsia="方正仿宋_GBK" w:cs="方正仿宋_GBK"/>
          <w:b w:val="0"/>
          <w:bCs/>
          <w:color w:val="auto"/>
          <w:sz w:val="32"/>
          <w:szCs w:val="32"/>
          <w:lang w:val="en-US" w:eastAsia="zh-CN"/>
        </w:rPr>
        <w:t>本单位2021年收入支出纳入区教委统一核算，2021年决算数据统一通过教委进行填报，2022年单独进行会计核算。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Fonts w:hint="eastAsia" w:ascii="方正仿宋_GBK" w:hAnsi="方正仿宋_GBK" w:eastAsia="方正仿宋_GBK" w:cs="方正仿宋_GBK"/>
          <w:color w:val="auto"/>
          <w:sz w:val="32"/>
          <w:szCs w:val="32"/>
        </w:rPr>
      </w:pPr>
      <w:r>
        <w:rPr>
          <w:rStyle w:val="5"/>
          <w:rFonts w:hint="eastAsia" w:ascii="方正仿宋_GBK" w:hAnsi="方正仿宋_GBK" w:eastAsia="方正仿宋_GBK" w:cs="方正仿宋_GBK"/>
          <w:b w:val="0"/>
          <w:bCs/>
          <w:color w:val="auto"/>
          <w:sz w:val="32"/>
          <w:szCs w:val="32"/>
        </w:rPr>
        <w:t>4.比较情况。</w:t>
      </w:r>
      <w:r>
        <w:rPr>
          <w:rFonts w:hint="eastAsia" w:ascii="方正仿宋_GBK" w:hAnsi="方正仿宋_GBK" w:eastAsia="方正仿宋_GBK" w:cs="方正仿宋_GBK"/>
          <w:color w:val="auto"/>
          <w:sz w:val="32"/>
          <w:szCs w:val="32"/>
        </w:rPr>
        <w:t>本部门2022年度一般公共预算财政拨款支出主要用于以下几个方面：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）教育支出127.55万元，占74.6%，较年初预算数减少55.00，下降30.1%，主要原因是</w:t>
      </w:r>
      <w:r>
        <w:rPr>
          <w:rFonts w:hint="eastAsia" w:ascii="方正仿宋_GBK" w:hAnsi="方正仿宋_GBK" w:eastAsia="方正仿宋_GBK" w:cs="方正仿宋_GBK"/>
          <w:color w:val="auto"/>
          <w:sz w:val="32"/>
          <w:szCs w:val="32"/>
          <w:lang w:val="en-US" w:eastAsia="zh-CN"/>
        </w:rPr>
        <w:t>疫情影响，项目支出减少。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）社会保障与就业支出29.71万元，占17.4%，较年初预算数增加0.00万元，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）卫生健康支出5.80万元，占3.4%，较年初预算数增加0.00万元</w:t>
      </w:r>
      <w:r>
        <w:rPr>
          <w:rFonts w:hint="eastAsia" w:ascii="方正仿宋_GBK" w:hAnsi="方正仿宋_GBK" w:eastAsia="方正仿宋_GBK" w:cs="方正仿宋_GBK"/>
          <w:color w:val="auto"/>
          <w:sz w:val="32"/>
          <w:szCs w:val="32"/>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）住房保障支出7.86万元，占4.6%，较年初预算数增加0.00万元</w:t>
      </w:r>
      <w:r>
        <w:rPr>
          <w:rFonts w:hint="eastAsia" w:ascii="方正仿宋_GBK" w:hAnsi="方正仿宋_GBK" w:eastAsia="方正仿宋_GBK" w:cs="方正仿宋_GBK"/>
          <w:color w:val="auto"/>
          <w:sz w:val="32"/>
          <w:szCs w:val="32"/>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Fonts w:hint="eastAsia" w:ascii="方正楷体_GBK" w:hAnsi="方正楷体_GBK" w:eastAsia="方正楷体_GBK" w:cs="方正楷体_GBK"/>
          <w:b w:val="0"/>
          <w:bCs/>
          <w:color w:val="auto"/>
          <w:sz w:val="32"/>
          <w:szCs w:val="32"/>
        </w:rPr>
      </w:pPr>
      <w:r>
        <w:rPr>
          <w:rStyle w:val="5"/>
          <w:rFonts w:hint="eastAsia" w:ascii="方正楷体_GBK" w:hAnsi="方正楷体_GBK" w:eastAsia="方正楷体_GBK" w:cs="方正楷体_GBK"/>
          <w:b w:val="0"/>
          <w:bCs/>
          <w:color w:val="auto"/>
          <w:sz w:val="32"/>
          <w:szCs w:val="32"/>
        </w:rPr>
        <w:t>（四）一般公共预算财政拨款基本支出决算情况说明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2022年度一般公共预算财政拨款基本支出170.93万元。其中：人员经费160.95万元，较上年决算数增加160.95万元，增长</w:t>
      </w:r>
      <w:r>
        <w:rPr>
          <w:rFonts w:hint="eastAsia" w:ascii="方正仿宋_GBK" w:hAnsi="方正仿宋_GBK" w:eastAsia="方正仿宋_GBK" w:cs="方正仿宋_GBK"/>
          <w:color w:val="auto"/>
          <w:sz w:val="32"/>
          <w:szCs w:val="32"/>
          <w:lang w:val="en-US" w:eastAsia="zh-CN"/>
        </w:rPr>
        <w:t>100</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本单位2021年收入支出纳入区教委统一核算，2021年决算数据统一通过教委进行填报，2022年单独进行会计核算。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Fonts w:hint="eastAsia" w:ascii="方正仿宋_GBK" w:hAnsi="方正仿宋_GBK" w:eastAsia="方正仿宋_GBK" w:cs="方正仿宋_GBK"/>
          <w:color w:val="auto"/>
          <w:kern w:val="0"/>
          <w:sz w:val="32"/>
          <w:szCs w:val="32"/>
          <w:shd w:val="clear" w:fill="FFFFFF"/>
        </w:rPr>
      </w:pPr>
      <w:r>
        <w:rPr>
          <w:rFonts w:hint="eastAsia" w:ascii="方正仿宋_GBK" w:hAnsi="方正仿宋_GBK" w:eastAsia="方正仿宋_GBK" w:cs="方正仿宋_GBK"/>
          <w:color w:val="auto"/>
          <w:kern w:val="0"/>
          <w:sz w:val="32"/>
          <w:szCs w:val="32"/>
          <w:shd w:val="clear" w:fill="FFFFFF"/>
        </w:rPr>
        <w:t>人员经费用途主要包括基本工资、津贴补贴、社会保障缴费、绩效工资、住房公积金缴费。</w:t>
      </w:r>
      <w:r>
        <w:rPr>
          <w:rFonts w:hint="eastAsia" w:ascii="方正仿宋_GBK" w:hAnsi="方正仿宋_GBK" w:eastAsia="方正仿宋_GBK" w:cs="方正仿宋_GBK"/>
          <w:color w:val="auto"/>
          <w:sz w:val="32"/>
          <w:szCs w:val="32"/>
        </w:rPr>
        <w:t>公用经费9.99万元，较上年决算数增加9.99万元，增长</w:t>
      </w:r>
      <w:r>
        <w:rPr>
          <w:rFonts w:hint="eastAsia" w:ascii="方正仿宋_GBK" w:hAnsi="方正仿宋_GBK" w:eastAsia="方正仿宋_GBK" w:cs="方正仿宋_GBK"/>
          <w:color w:val="auto"/>
          <w:sz w:val="32"/>
          <w:szCs w:val="32"/>
          <w:lang w:val="en-US" w:eastAsia="zh-CN"/>
        </w:rPr>
        <w:t>100</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val="en-US" w:eastAsia="zh-CN"/>
        </w:rPr>
        <w:t>本单位2021年收入支出纳入区教委统一核算，2021年决算数据统一通过教委进行填报，2022年单独进行会计核算。</w:t>
      </w:r>
      <w:r>
        <w:rPr>
          <w:rFonts w:hint="eastAsia" w:ascii="方正仿宋_GBK" w:hAnsi="方正仿宋_GBK" w:eastAsia="方正仿宋_GBK" w:cs="方正仿宋_GBK"/>
          <w:color w:val="auto"/>
          <w:kern w:val="0"/>
          <w:sz w:val="32"/>
          <w:szCs w:val="32"/>
          <w:shd w:val="clear" w:fill="FFFFFF"/>
        </w:rPr>
        <w:t>公用经费用途主要包括办公费、印刷费、咨询费、手续费、差旅费、邮电费。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Fonts w:hint="eastAsia" w:ascii="方正楷体_GBK" w:hAnsi="方正楷体_GBK" w:eastAsia="方正楷体_GBK" w:cs="方正楷体_GBK"/>
          <w:b w:val="0"/>
          <w:bCs/>
          <w:color w:val="auto"/>
          <w:sz w:val="32"/>
          <w:szCs w:val="32"/>
        </w:rPr>
      </w:pPr>
      <w:r>
        <w:rPr>
          <w:rStyle w:val="5"/>
          <w:rFonts w:hint="eastAsia" w:ascii="方正楷体_GBK" w:hAnsi="方正楷体_GBK" w:eastAsia="方正楷体_GBK" w:cs="方正楷体_GBK"/>
          <w:b w:val="0"/>
          <w:bCs/>
          <w:color w:val="auto"/>
          <w:sz w:val="32"/>
          <w:szCs w:val="32"/>
        </w:rPr>
        <w:t>（五）政府性基金预算收支决算情况说明。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本部门2022年度无政府性基金预算财政拨款收支。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Fonts w:hint="eastAsia" w:ascii="方正楷体_GBK" w:hAnsi="方正楷体_GBK" w:eastAsia="方正楷体_GBK" w:cs="方正楷体_GBK"/>
          <w:b w:val="0"/>
          <w:bCs/>
          <w:color w:val="auto"/>
          <w:sz w:val="32"/>
          <w:szCs w:val="32"/>
        </w:rPr>
      </w:pPr>
      <w:r>
        <w:rPr>
          <w:rStyle w:val="5"/>
          <w:rFonts w:hint="eastAsia" w:ascii="方正楷体_GBK" w:hAnsi="方正楷体_GBK" w:eastAsia="方正楷体_GBK" w:cs="方正楷体_GBK"/>
          <w:b w:val="0"/>
          <w:bCs/>
          <w:color w:val="auto"/>
          <w:sz w:val="32"/>
          <w:szCs w:val="32"/>
        </w:rPr>
        <w:t>（六）国有资本经营预算财政拨款支出决算情况说明。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本部门2022年度无国有资本经营预算财政拨款支出。</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94" w:lineRule="exact"/>
        <w:ind w:right="0" w:firstLine="640" w:firstLineChars="200"/>
        <w:jc w:val="left"/>
        <w:textAlignment w:val="auto"/>
        <w:rPr>
          <w:rFonts w:hint="eastAsia" w:ascii="方正黑体_GBK" w:hAnsi="方正黑体_GBK" w:eastAsia="方正黑体_GBK" w:cs="方正黑体_GBK"/>
          <w:b w:val="0"/>
          <w:bCs/>
          <w:color w:val="auto"/>
          <w:sz w:val="32"/>
          <w:szCs w:val="32"/>
        </w:rPr>
      </w:pPr>
      <w:r>
        <w:rPr>
          <w:rStyle w:val="5"/>
          <w:rFonts w:hint="eastAsia" w:ascii="方正黑体_GBK" w:hAnsi="方正黑体_GBK" w:eastAsia="方正黑体_GBK" w:cs="方正黑体_GBK"/>
          <w:b w:val="0"/>
          <w:bCs/>
          <w:color w:val="auto"/>
          <w:sz w:val="32"/>
          <w:szCs w:val="32"/>
        </w:rPr>
        <w:t>三、“三公”经费情况说明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Fonts w:hint="eastAsia" w:ascii="方正楷体_GBK" w:hAnsi="方正楷体_GBK" w:eastAsia="方正楷体_GBK" w:cs="方正楷体_GBK"/>
          <w:b w:val="0"/>
          <w:bCs/>
          <w:color w:val="auto"/>
          <w:sz w:val="32"/>
          <w:szCs w:val="32"/>
        </w:rPr>
      </w:pPr>
      <w:r>
        <w:rPr>
          <w:rStyle w:val="5"/>
          <w:rFonts w:hint="eastAsia" w:ascii="方正楷体_GBK" w:hAnsi="方正楷体_GBK" w:eastAsia="方正楷体_GBK" w:cs="方正楷体_GBK"/>
          <w:b w:val="0"/>
          <w:bCs/>
          <w:color w:val="auto"/>
          <w:sz w:val="32"/>
          <w:szCs w:val="32"/>
        </w:rPr>
        <w:t>（一）“三公”经费支出总体情况说明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本单位2022年度未发生</w:t>
      </w:r>
      <w:r>
        <w:rPr>
          <w:rFonts w:hint="eastAsia" w:ascii="方正仿宋_GBK" w:hAnsi="方正仿宋_GBK" w:eastAsia="方正仿宋_GBK" w:cs="方正仿宋_GBK"/>
          <w:color w:val="auto"/>
          <w:sz w:val="32"/>
          <w:szCs w:val="32"/>
          <w:lang w:val="en-US" w:eastAsia="zh-CN"/>
        </w:rPr>
        <w:t>三公经费</w:t>
      </w:r>
      <w:r>
        <w:rPr>
          <w:rFonts w:hint="eastAsia" w:ascii="方正仿宋_GBK" w:hAnsi="方正仿宋_GBK" w:eastAsia="方正仿宋_GBK" w:cs="方正仿宋_GBK"/>
          <w:color w:val="auto"/>
          <w:sz w:val="32"/>
          <w:szCs w:val="32"/>
        </w:rPr>
        <w:t>支出。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Fonts w:hint="eastAsia" w:ascii="方正楷体_GBK" w:hAnsi="方正楷体_GBK" w:eastAsia="方正楷体_GBK" w:cs="方正楷体_GBK"/>
          <w:b w:val="0"/>
          <w:bCs/>
          <w:color w:val="auto"/>
          <w:sz w:val="32"/>
          <w:szCs w:val="32"/>
        </w:rPr>
      </w:pPr>
      <w:r>
        <w:rPr>
          <w:rStyle w:val="5"/>
          <w:rFonts w:hint="eastAsia" w:ascii="方正楷体_GBK" w:hAnsi="方正楷体_GBK" w:eastAsia="方正楷体_GBK" w:cs="方正楷体_GBK"/>
          <w:b w:val="0"/>
          <w:bCs/>
          <w:color w:val="auto"/>
          <w:sz w:val="32"/>
          <w:szCs w:val="32"/>
        </w:rPr>
        <w:t>（二）“三公”经费分项支出情况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本单位2022年度未发生三公经费支出。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Fonts w:hint="eastAsia" w:ascii="方正楷体_GBK" w:hAnsi="方正楷体_GBK" w:eastAsia="方正楷体_GBK" w:cs="方正楷体_GBK"/>
          <w:b w:val="0"/>
          <w:bCs/>
          <w:color w:val="auto"/>
          <w:sz w:val="32"/>
          <w:szCs w:val="32"/>
        </w:rPr>
      </w:pPr>
      <w:r>
        <w:rPr>
          <w:rStyle w:val="5"/>
          <w:rFonts w:hint="eastAsia" w:ascii="方正楷体_GBK" w:hAnsi="方正楷体_GBK" w:eastAsia="方正楷体_GBK" w:cs="方正楷体_GBK"/>
          <w:b w:val="0"/>
          <w:bCs/>
          <w:color w:val="auto"/>
          <w:sz w:val="32"/>
          <w:szCs w:val="32"/>
        </w:rPr>
        <w:t>（三）“三公”经费实物量情况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2022年度本部门因公出国（境）共计0个团组，0人；公务用车购置0辆，公务车保有量为0辆；国内公务接待0批次0人，其中：国内外事接待0批次，0人；国（境）外公务接待0批次，0人。2022年本部门人均接待费0.00元，车均购置费0.00万元，车均维护费0.00万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Fonts w:hint="eastAsia" w:ascii="方正黑体_GBK" w:hAnsi="方正黑体_GBK" w:eastAsia="方正黑体_GBK" w:cs="方正黑体_GBK"/>
          <w:b w:val="0"/>
          <w:bCs/>
          <w:color w:val="auto"/>
          <w:sz w:val="32"/>
          <w:szCs w:val="32"/>
        </w:rPr>
      </w:pPr>
      <w:r>
        <w:rPr>
          <w:rStyle w:val="5"/>
          <w:rFonts w:hint="eastAsia" w:ascii="方正黑体_GBK" w:hAnsi="方正黑体_GBK" w:eastAsia="方正黑体_GBK" w:cs="方正黑体_GBK"/>
          <w:b w:val="0"/>
          <w:bCs/>
          <w:color w:val="auto"/>
          <w:sz w:val="32"/>
          <w:szCs w:val="32"/>
        </w:rPr>
        <w:t>四、其他需要说明的事项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Fonts w:hint="eastAsia" w:ascii="方正楷体_GBK" w:hAnsi="方正楷体_GBK" w:eastAsia="方正楷体_GBK" w:cs="方正楷体_GBK"/>
          <w:b w:val="0"/>
          <w:bCs/>
          <w:color w:val="auto"/>
          <w:sz w:val="32"/>
          <w:szCs w:val="32"/>
        </w:rPr>
      </w:pPr>
      <w:r>
        <w:rPr>
          <w:rStyle w:val="5"/>
          <w:rFonts w:hint="eastAsia" w:ascii="方正楷体_GBK" w:hAnsi="方正楷体_GBK" w:eastAsia="方正楷体_GBK" w:cs="方正楷体_GBK"/>
          <w:b w:val="0"/>
          <w:bCs/>
          <w:color w:val="auto"/>
          <w:sz w:val="32"/>
          <w:szCs w:val="32"/>
        </w:rPr>
        <w:t>（一）财政拨款会议费和培训费情况说明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本单位2022年度无会议费和培训费。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Style w:val="5"/>
          <w:rFonts w:hint="eastAsia" w:ascii="方正楷体_GBK" w:hAnsi="方正楷体_GBK" w:eastAsia="方正楷体_GBK" w:cs="方正楷体_GBK"/>
          <w:b w:val="0"/>
          <w:bCs/>
          <w:color w:val="auto"/>
          <w:sz w:val="32"/>
          <w:szCs w:val="32"/>
        </w:rPr>
      </w:pPr>
      <w:r>
        <w:rPr>
          <w:rStyle w:val="5"/>
          <w:rFonts w:hint="eastAsia" w:ascii="方正楷体_GBK" w:hAnsi="方正楷体_GBK" w:eastAsia="方正楷体_GBK" w:cs="方正楷体_GBK"/>
          <w:b w:val="0"/>
          <w:bCs/>
          <w:color w:val="auto"/>
          <w:sz w:val="32"/>
          <w:szCs w:val="32"/>
        </w:rPr>
        <w:t>（二）机关运行经费支出情况说明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按照部门决算列报口径，我单位不在机关运行经费统计范围之内。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Style w:val="5"/>
          <w:rFonts w:hint="eastAsia" w:ascii="方正楷体_GBK" w:hAnsi="方正楷体_GBK" w:eastAsia="方正楷体_GBK" w:cs="方正楷体_GBK"/>
          <w:b w:val="0"/>
          <w:bCs/>
          <w:color w:val="auto"/>
          <w:sz w:val="32"/>
          <w:szCs w:val="32"/>
        </w:rPr>
      </w:pPr>
      <w:r>
        <w:rPr>
          <w:rStyle w:val="5"/>
          <w:rFonts w:hint="eastAsia" w:ascii="方正楷体_GBK" w:hAnsi="方正楷体_GBK" w:eastAsia="方正楷体_GBK" w:cs="方正楷体_GBK"/>
          <w:b w:val="0"/>
          <w:bCs/>
          <w:color w:val="auto"/>
          <w:sz w:val="32"/>
          <w:szCs w:val="32"/>
        </w:rPr>
        <w:t>（三）国有资产占用情况说明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截至2022年12月31日，本部门共有车辆0辆，其中，副部（省）级及以上领导用车0辆、主要领导干部用车0辆、机要通信用车0辆、应急保障用车0辆、执法执勤用车0辆，特种专业技术用车0辆，离退休干部用车0辆，其他用车0辆。单价100万元（含）以上设备（不含车辆）0台（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Style w:val="5"/>
          <w:rFonts w:hint="eastAsia" w:ascii="方正楷体_GBK" w:hAnsi="方正楷体_GBK" w:eastAsia="方正楷体_GBK" w:cs="方正楷体_GBK"/>
          <w:b w:val="0"/>
          <w:bCs/>
          <w:color w:val="auto"/>
          <w:sz w:val="32"/>
          <w:szCs w:val="32"/>
        </w:rPr>
      </w:pPr>
      <w:r>
        <w:rPr>
          <w:rStyle w:val="5"/>
          <w:rFonts w:hint="eastAsia" w:ascii="方正楷体_GBK" w:hAnsi="方正楷体_GBK" w:eastAsia="方正楷体_GBK" w:cs="方正楷体_GBK"/>
          <w:b w:val="0"/>
          <w:bCs/>
          <w:color w:val="auto"/>
          <w:sz w:val="32"/>
          <w:szCs w:val="32"/>
        </w:rPr>
        <w:t>（四）政府采购支出说明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2022年度我单位未发生政府采购事项，无相关经费支出。</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Style w:val="5"/>
          <w:rFonts w:hint="eastAsia" w:ascii="方正黑体_GBK" w:hAnsi="方正黑体_GBK" w:eastAsia="方正黑体_GBK" w:cs="方正黑体_GBK"/>
          <w:b w:val="0"/>
          <w:bCs/>
          <w:color w:val="auto"/>
          <w:sz w:val="32"/>
          <w:szCs w:val="32"/>
        </w:rPr>
      </w:pPr>
      <w:r>
        <w:rPr>
          <w:rStyle w:val="5"/>
          <w:rFonts w:hint="eastAsia" w:ascii="方正黑体_GBK" w:hAnsi="方正黑体_GBK" w:eastAsia="方正黑体_GBK" w:cs="方正黑体_GBK"/>
          <w:b w:val="0"/>
          <w:bCs/>
          <w:color w:val="auto"/>
          <w:sz w:val="32"/>
          <w:szCs w:val="32"/>
        </w:rPr>
        <w:t>预算绩效管理情况说明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Style w:val="5"/>
          <w:rFonts w:hint="eastAsia" w:ascii="方正楷体_GBK" w:hAnsi="方正楷体_GBK" w:eastAsia="方正楷体_GBK" w:cs="方正楷体_GBK"/>
          <w:b w:val="0"/>
          <w:bCs/>
          <w:color w:val="auto"/>
          <w:sz w:val="32"/>
          <w:szCs w:val="32"/>
        </w:rPr>
      </w:pPr>
      <w:r>
        <w:rPr>
          <w:rStyle w:val="5"/>
          <w:rFonts w:hint="eastAsia" w:ascii="方正楷体_GBK" w:hAnsi="方正楷体_GBK" w:eastAsia="方正楷体_GBK" w:cs="方正楷体_GBK"/>
          <w:b w:val="0"/>
          <w:bCs/>
          <w:color w:val="auto"/>
          <w:sz w:val="32"/>
          <w:szCs w:val="32"/>
        </w:rPr>
        <w:t>（一）预算绩效管理工作开展情况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480" w:firstLineChars="200"/>
        <w:jc w:val="left"/>
        <w:textAlignment w:val="auto"/>
        <w:rPr>
          <w:rFonts w:hint="eastAsia"/>
          <w:color w:val="auto"/>
          <w:lang w:eastAsia="zh-CN"/>
        </w:rPr>
      </w:pPr>
      <w:r>
        <w:rPr>
          <w:color w:val="auto"/>
        </w:rPr>
        <w:t> </w:t>
      </w:r>
      <w:r>
        <w:rPr>
          <w:rFonts w:hint="eastAsia" w:ascii="方正仿宋_GBK" w:hAnsi="方正仿宋_GBK" w:eastAsia="方正仿宋_GBK" w:cs="方正仿宋_GBK"/>
          <w:color w:val="auto"/>
          <w:sz w:val="32"/>
          <w:szCs w:val="32"/>
          <w:lang w:val="en-US" w:eastAsia="zh-CN"/>
        </w:rPr>
        <w:t>根据预算绩效管理要求，我单位对1个项目开展了绩效自评，其中，以填报自评表形式开展自评1项，涉及资金55万元。</w:t>
      </w:r>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594" w:lineRule="exact"/>
        <w:ind w:leftChars="0" w:right="0" w:rightChars="0" w:firstLine="640" w:firstLineChars="200"/>
        <w:jc w:val="left"/>
        <w:textAlignment w:val="auto"/>
        <w:rPr>
          <w:rStyle w:val="5"/>
          <w:rFonts w:hint="eastAsia" w:ascii="方正楷体_GBK" w:hAnsi="方正楷体_GBK" w:eastAsia="方正楷体_GBK" w:cs="方正楷体_GBK"/>
          <w:b w:val="0"/>
          <w:bCs/>
          <w:color w:val="auto"/>
          <w:sz w:val="32"/>
          <w:szCs w:val="32"/>
        </w:rPr>
      </w:pPr>
      <w:r>
        <w:rPr>
          <w:rStyle w:val="5"/>
          <w:rFonts w:hint="eastAsia" w:ascii="方正楷体_GBK" w:hAnsi="方正楷体_GBK" w:eastAsia="方正楷体_GBK" w:cs="方正楷体_GBK"/>
          <w:b w:val="0"/>
          <w:bCs/>
          <w:color w:val="auto"/>
          <w:sz w:val="32"/>
          <w:szCs w:val="32"/>
        </w:rPr>
        <w:t>绩效自评结果</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ind w:leftChars="0" w:right="0" w:rightChars="0" w:firstLine="640" w:firstLineChars="200"/>
        <w:jc w:val="left"/>
        <w:textAlignment w:val="auto"/>
        <w:rPr>
          <w:rStyle w:val="5"/>
          <w:b/>
          <w:bCs/>
          <w:color w:val="auto"/>
          <w:sz w:val="32"/>
          <w:szCs w:val="32"/>
        </w:rPr>
      </w:pPr>
      <w:r>
        <w:rPr>
          <w:rFonts w:hint="eastAsia" w:ascii="方正仿宋_GBK" w:hAnsi="方正仿宋_GBK" w:eastAsia="方正仿宋_GBK" w:cs="方正仿宋_GBK"/>
          <w:b w:val="0"/>
          <w:bCs w:val="0"/>
          <w:color w:val="auto"/>
          <w:sz w:val="32"/>
          <w:szCs w:val="32"/>
          <w:lang w:val="en-US" w:eastAsia="zh-CN"/>
        </w:rPr>
        <w:t>1.绩效目标自评表</w:t>
      </w:r>
      <w:r>
        <w:rPr>
          <w:rFonts w:hint="eastAsia" w:ascii="方正仿宋_GBK" w:hAnsi="方正仿宋_GBK" w:eastAsia="方正仿宋_GBK" w:cs="方正仿宋_GBK"/>
          <w:b/>
          <w:bCs/>
          <w:color w:val="auto"/>
          <w:sz w:val="32"/>
          <w:szCs w:val="32"/>
          <w:lang w:val="en-US" w:eastAsia="zh-CN"/>
        </w:rPr>
        <w:t>。</w:t>
      </w:r>
    </w:p>
    <w:p>
      <w:pPr>
        <w:pStyle w:val="2"/>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594" w:lineRule="exact"/>
        <w:ind w:leftChars="0" w:right="0" w:rightChars="0"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部门整体绩效自评表。   </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ind w:leftChars="0" w:right="0" w:rightChars="0"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我单位为二级预算单位，未进行部门整体绩效目标管理。  </w:t>
      </w:r>
    </w:p>
    <w:p>
      <w:pPr>
        <w:pStyle w:val="2"/>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项目绩效自评表。</w:t>
      </w:r>
      <w:r>
        <w:rPr>
          <w:color w:val="auto"/>
        </w:rPr>
        <w:t>    </w:t>
      </w:r>
      <w:r>
        <w:rPr>
          <w:rFonts w:hint="eastAsia" w:ascii="方正仿宋_GBK" w:hAnsi="方正仿宋_GBK" w:eastAsia="方正仿宋_GBK" w:cs="方正仿宋_GBK"/>
          <w:color w:val="auto"/>
          <w:sz w:val="32"/>
          <w:szCs w:val="32"/>
          <w:lang w:val="en-US" w:eastAsia="zh-CN"/>
        </w:rPr>
        <w:t xml:space="preserve"> </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ind w:leftChars="0" w:right="0" w:rightChars="0"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详见附件。</w:t>
      </w:r>
      <w:r>
        <w:rPr>
          <w:color w:val="auto"/>
        </w:rPr>
        <w:t> </w:t>
      </w:r>
      <w:r>
        <w:rPr>
          <w:rFonts w:hint="eastAsia" w:ascii="方正仿宋_GBK" w:hAnsi="方正仿宋_GBK" w:eastAsia="方正仿宋_GBK" w:cs="方正仿宋_GBK"/>
          <w:color w:val="auto"/>
          <w:sz w:val="32"/>
          <w:szCs w:val="32"/>
          <w:lang w:val="en-US" w:eastAsia="zh-CN"/>
        </w:rPr>
        <w:t xml:space="preserve">  </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ind w:leftChars="0" w:right="0" w:rightChars="0"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2.绩效自评报告或案例。</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ind w:leftChars="0" w:right="0" w:rightChars="0" w:firstLine="640" w:firstLineChars="200"/>
        <w:jc w:val="left"/>
        <w:textAlignment w:val="auto"/>
        <w:rPr>
          <w:b w:val="0"/>
          <w:bCs w:val="0"/>
          <w:color w:val="auto"/>
        </w:rPr>
      </w:pPr>
      <w:r>
        <w:rPr>
          <w:rFonts w:hint="eastAsia" w:ascii="方正仿宋_GBK" w:hAnsi="方正仿宋_GBK" w:eastAsia="方正仿宋_GBK" w:cs="方正仿宋_GBK"/>
          <w:b w:val="0"/>
          <w:bCs w:val="0"/>
          <w:color w:val="auto"/>
          <w:sz w:val="32"/>
          <w:szCs w:val="32"/>
          <w:lang w:val="en-US" w:eastAsia="zh-CN"/>
        </w:rPr>
        <w:t>我单位未委托第三方开展绩效评价。</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ind w:leftChars="0" w:right="0" w:rightChars="0"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3.关于绩效自评结果的说明。</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ind w:leftChars="0" w:right="0" w:rightChars="0"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我单位对1个项目进行绩效自评，</w:t>
      </w:r>
      <w:r>
        <w:rPr>
          <w:rFonts w:hint="eastAsia" w:ascii="方正仿宋_GBK" w:hAnsi="方正仿宋_GBK" w:eastAsia="方正仿宋_GBK" w:cs="方正仿宋_GBK"/>
          <w:color w:val="auto"/>
          <w:sz w:val="32"/>
          <w:szCs w:val="32"/>
          <w:lang w:val="en-US" w:eastAsia="zh-CN"/>
        </w:rPr>
        <w:t>其中1个已完成年度绩效目标，0个未完成年度绩效目标。</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ind w:leftChars="0" w:right="0" w:rightChars="0" w:firstLine="640" w:firstLineChars="200"/>
        <w:jc w:val="left"/>
        <w:textAlignment w:val="auto"/>
        <w:rPr>
          <w:color w:val="auto"/>
        </w:rPr>
      </w:pPr>
      <w:r>
        <w:rPr>
          <w:rStyle w:val="5"/>
          <w:rFonts w:hint="eastAsia" w:ascii="方正楷体_GBK" w:hAnsi="方正楷体_GBK" w:eastAsia="方正楷体_GBK" w:cs="方正楷体_GBK"/>
          <w:b w:val="0"/>
          <w:bCs/>
          <w:color w:val="auto"/>
          <w:sz w:val="32"/>
          <w:szCs w:val="32"/>
          <w:lang w:eastAsia="zh-CN"/>
        </w:rPr>
        <w:t>（三）</w:t>
      </w:r>
      <w:r>
        <w:rPr>
          <w:rStyle w:val="5"/>
          <w:rFonts w:hint="eastAsia" w:ascii="方正楷体_GBK" w:hAnsi="方正楷体_GBK" w:eastAsia="方正楷体_GBK" w:cs="方正楷体_GBK"/>
          <w:b w:val="0"/>
          <w:bCs/>
          <w:color w:val="auto"/>
          <w:sz w:val="32"/>
          <w:szCs w:val="32"/>
        </w:rPr>
        <w:t>重点绩效评价结果。</w:t>
      </w:r>
      <w:r>
        <w:rPr>
          <w:color w:val="auto"/>
        </w:rPr>
        <w:t>    </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ind w:leftChars="0" w:right="0" w:rightChars="0" w:firstLine="480" w:firstLineChars="200"/>
        <w:jc w:val="left"/>
        <w:textAlignment w:val="auto"/>
        <w:rPr>
          <w:color w:val="auto"/>
        </w:rPr>
      </w:pPr>
      <w:r>
        <w:rPr>
          <w:color w:val="auto"/>
        </w:rPr>
        <w:t> </w:t>
      </w:r>
      <w:r>
        <w:rPr>
          <w:rFonts w:hint="eastAsia" w:ascii="方正仿宋_GBK" w:hAnsi="方正仿宋_GBK" w:eastAsia="方正仿宋_GBK" w:cs="方正仿宋_GBK"/>
          <w:color w:val="auto"/>
          <w:sz w:val="32"/>
          <w:szCs w:val="32"/>
        </w:rPr>
        <w:t>我单位未开展重点绩效评价</w:t>
      </w:r>
      <w:bookmarkStart w:id="0" w:name="_GoBack"/>
      <w:bookmarkEnd w:id="0"/>
      <w:r>
        <w:rPr>
          <w:rFonts w:hint="eastAsia" w:ascii="方正仿宋_GBK" w:hAnsi="方正仿宋_GBK" w:eastAsia="方正仿宋_GBK" w:cs="方正仿宋_GBK"/>
          <w:color w:val="auto"/>
          <w:sz w:val="32"/>
          <w:szCs w:val="32"/>
        </w:rPr>
        <w:t>。</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Style w:val="5"/>
          <w:rFonts w:hint="eastAsia" w:ascii="方正黑体_GBK" w:hAnsi="方正黑体_GBK" w:eastAsia="方正黑体_GBK" w:cs="方正黑体_GBK"/>
          <w:b w:val="0"/>
          <w:bCs/>
          <w:color w:val="auto"/>
          <w:sz w:val="32"/>
          <w:szCs w:val="32"/>
        </w:rPr>
      </w:pPr>
      <w:r>
        <w:rPr>
          <w:rStyle w:val="5"/>
          <w:rFonts w:hint="eastAsia" w:ascii="方正黑体_GBK" w:hAnsi="方正黑体_GBK" w:eastAsia="方正黑体_GBK" w:cs="方正黑体_GBK"/>
          <w:b w:val="0"/>
          <w:bCs/>
          <w:color w:val="auto"/>
          <w:sz w:val="32"/>
          <w:szCs w:val="32"/>
        </w:rPr>
        <w:t>专业名词解释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Fonts w:hint="eastAsia" w:ascii="方正仿宋_GBK" w:hAnsi="方正仿宋_GBK" w:eastAsia="方正仿宋_GBK" w:cs="方正仿宋_GBK"/>
          <w:color w:val="auto"/>
          <w:sz w:val="32"/>
          <w:szCs w:val="32"/>
        </w:rPr>
      </w:pPr>
      <w:r>
        <w:rPr>
          <w:rStyle w:val="5"/>
          <w:rFonts w:hint="eastAsia" w:ascii="方正楷体_GBK" w:hAnsi="方正楷体_GBK" w:eastAsia="方正楷体_GBK" w:cs="方正楷体_GBK"/>
          <w:b w:val="0"/>
          <w:bCs/>
          <w:color w:val="auto"/>
          <w:sz w:val="32"/>
          <w:szCs w:val="32"/>
        </w:rPr>
        <w:t>（一）财政拨款收入：</w:t>
      </w:r>
      <w:r>
        <w:rPr>
          <w:rFonts w:hint="eastAsia" w:ascii="方正仿宋_GBK" w:hAnsi="方正仿宋_GBK" w:eastAsia="方正仿宋_GBK" w:cs="方正仿宋_GBK"/>
          <w:color w:val="auto"/>
          <w:sz w:val="32"/>
          <w:szCs w:val="32"/>
        </w:rPr>
        <w:t>指本年度从本级财政部门取得的财政拨款，包括一般公共预算财政拨款和政府性基金预算财政拨款。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Fonts w:hint="eastAsia" w:ascii="方正仿宋_GBK" w:hAnsi="方正仿宋_GBK" w:eastAsia="方正仿宋_GBK" w:cs="方正仿宋_GBK"/>
          <w:color w:val="auto"/>
          <w:sz w:val="32"/>
          <w:szCs w:val="32"/>
        </w:rPr>
      </w:pPr>
      <w:r>
        <w:rPr>
          <w:rStyle w:val="5"/>
          <w:rFonts w:hint="eastAsia" w:ascii="方正楷体_GBK" w:hAnsi="方正楷体_GBK" w:eastAsia="方正楷体_GBK" w:cs="方正楷体_GBK"/>
          <w:b w:val="0"/>
          <w:bCs/>
          <w:color w:val="auto"/>
          <w:sz w:val="32"/>
          <w:szCs w:val="32"/>
        </w:rPr>
        <w:t>（二）事业收入：</w:t>
      </w:r>
      <w:r>
        <w:rPr>
          <w:rFonts w:hint="eastAsia" w:ascii="方正仿宋_GBK" w:hAnsi="方正仿宋_GBK" w:eastAsia="方正仿宋_GBK" w:cs="方正仿宋_GBK"/>
          <w:color w:val="auto"/>
          <w:sz w:val="32"/>
          <w:szCs w:val="32"/>
        </w:rPr>
        <w:t>指事业单位开展专业业务活动及其辅助活动取得的现金流入；事业单位收到的财政专户实际核拨的教育收费等资金在此反映。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Fonts w:hint="eastAsia" w:ascii="方正仿宋_GBK" w:hAnsi="方正仿宋_GBK" w:eastAsia="方正仿宋_GBK" w:cs="方正仿宋_GBK"/>
          <w:color w:val="auto"/>
          <w:sz w:val="32"/>
          <w:szCs w:val="32"/>
        </w:rPr>
      </w:pPr>
      <w:r>
        <w:rPr>
          <w:rStyle w:val="5"/>
          <w:rFonts w:hint="eastAsia" w:ascii="方正楷体_GBK" w:hAnsi="方正楷体_GBK" w:eastAsia="方正楷体_GBK" w:cs="方正楷体_GBK"/>
          <w:b w:val="0"/>
          <w:bCs/>
          <w:color w:val="auto"/>
          <w:sz w:val="32"/>
          <w:szCs w:val="32"/>
        </w:rPr>
        <w:t>（三）经营收入：</w:t>
      </w:r>
      <w:r>
        <w:rPr>
          <w:rFonts w:hint="eastAsia" w:ascii="方正仿宋_GBK" w:hAnsi="方正仿宋_GBK" w:eastAsia="方正仿宋_GBK" w:cs="方正仿宋_GBK"/>
          <w:color w:val="auto"/>
          <w:sz w:val="32"/>
          <w:szCs w:val="32"/>
        </w:rPr>
        <w:t>指事业单位在专业业务活动及其辅助活动之外开展非独立核算经营活动取得的现金流入。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Fonts w:hint="eastAsia" w:ascii="方正仿宋_GBK" w:hAnsi="方正仿宋_GBK" w:eastAsia="方正仿宋_GBK" w:cs="方正仿宋_GBK"/>
          <w:color w:val="auto"/>
          <w:sz w:val="32"/>
          <w:szCs w:val="32"/>
        </w:rPr>
      </w:pPr>
      <w:r>
        <w:rPr>
          <w:rStyle w:val="5"/>
          <w:rFonts w:hint="eastAsia" w:ascii="方正楷体_GBK" w:hAnsi="方正楷体_GBK" w:eastAsia="方正楷体_GBK" w:cs="方正楷体_GBK"/>
          <w:b w:val="0"/>
          <w:bCs/>
          <w:color w:val="auto"/>
          <w:sz w:val="32"/>
          <w:szCs w:val="32"/>
        </w:rPr>
        <w:t>（四）其他收入：</w:t>
      </w:r>
      <w:r>
        <w:rPr>
          <w:rFonts w:hint="eastAsia" w:ascii="方正仿宋_GBK" w:hAnsi="方正仿宋_GBK" w:eastAsia="方正仿宋_GBK" w:cs="方正仿宋_GBK"/>
          <w:color w:val="auto"/>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color w:val="auto"/>
        </w:rPr>
      </w:pPr>
      <w:r>
        <w:rPr>
          <w:rStyle w:val="5"/>
          <w:rFonts w:hint="eastAsia" w:ascii="方正楷体_GBK" w:hAnsi="方正楷体_GBK" w:eastAsia="方正楷体_GBK" w:cs="方正楷体_GBK"/>
          <w:b w:val="0"/>
          <w:bCs/>
          <w:color w:val="auto"/>
          <w:sz w:val="32"/>
          <w:szCs w:val="32"/>
        </w:rPr>
        <w:t>（五）使用非财政拨款结余：</w:t>
      </w:r>
      <w:r>
        <w:rPr>
          <w:rFonts w:hint="eastAsia" w:ascii="方正仿宋_GBK" w:hAnsi="方正仿宋_GBK" w:eastAsia="方正仿宋_GBK" w:cs="方正仿宋_GBK"/>
          <w:color w:val="auto"/>
          <w:sz w:val="32"/>
          <w:szCs w:val="32"/>
        </w:rPr>
        <w:t>指单位在当年的“财政拨款收入”、“事业收入”、“经营收入”、“其他收入”等不足以安排当年支出的情况下，使用以前年度积累的非财政拨款结余弥补本年度收支缺口的资金。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Fonts w:hint="eastAsia" w:ascii="方正仿宋_GBK" w:hAnsi="方正仿宋_GBK" w:eastAsia="方正仿宋_GBK" w:cs="方正仿宋_GBK"/>
          <w:color w:val="auto"/>
          <w:sz w:val="32"/>
          <w:szCs w:val="32"/>
        </w:rPr>
      </w:pPr>
      <w:r>
        <w:rPr>
          <w:rStyle w:val="5"/>
          <w:rFonts w:hint="eastAsia" w:ascii="方正楷体_GBK" w:hAnsi="方正楷体_GBK" w:eastAsia="方正楷体_GBK" w:cs="方正楷体_GBK"/>
          <w:b w:val="0"/>
          <w:bCs/>
          <w:color w:val="auto"/>
          <w:sz w:val="32"/>
          <w:szCs w:val="32"/>
        </w:rPr>
        <w:t>（六）年初结转和结余：</w:t>
      </w:r>
      <w:r>
        <w:rPr>
          <w:rFonts w:hint="eastAsia" w:ascii="方正仿宋_GBK" w:hAnsi="方正仿宋_GBK" w:eastAsia="方正仿宋_GBK" w:cs="方正仿宋_GBK"/>
          <w:color w:val="auto"/>
          <w:sz w:val="32"/>
          <w:szCs w:val="32"/>
        </w:rPr>
        <w:t>指单位上年结转本年使用的基本支出结转、项目支出结转和结余、经营结余。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Fonts w:hint="eastAsia" w:ascii="方正仿宋_GBK" w:hAnsi="方正仿宋_GBK" w:eastAsia="方正仿宋_GBK" w:cs="方正仿宋_GBK"/>
          <w:color w:val="auto"/>
          <w:sz w:val="32"/>
          <w:szCs w:val="32"/>
        </w:rPr>
      </w:pPr>
      <w:r>
        <w:rPr>
          <w:rStyle w:val="5"/>
          <w:rFonts w:hint="eastAsia" w:ascii="方正楷体_GBK" w:hAnsi="方正楷体_GBK" w:eastAsia="方正楷体_GBK" w:cs="方正楷体_GBK"/>
          <w:b w:val="0"/>
          <w:bCs/>
          <w:color w:val="auto"/>
          <w:sz w:val="32"/>
          <w:szCs w:val="32"/>
        </w:rPr>
        <w:t>（七）结余分配：</w:t>
      </w:r>
      <w:r>
        <w:rPr>
          <w:rFonts w:hint="eastAsia" w:ascii="方正仿宋_GBK" w:hAnsi="方正仿宋_GBK" w:eastAsia="方正仿宋_GBK" w:cs="方正仿宋_GBK"/>
          <w:color w:val="auto"/>
          <w:sz w:val="32"/>
          <w:szCs w:val="32"/>
        </w:rPr>
        <w:t>指单位按照国家有关规定，缴纳所得税、提取专用基金、转入非财政拨款结余等当年结余的分配情况。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Fonts w:hint="eastAsia" w:ascii="方正仿宋_GBK" w:hAnsi="方正仿宋_GBK" w:eastAsia="方正仿宋_GBK" w:cs="方正仿宋_GBK"/>
          <w:color w:val="auto"/>
          <w:sz w:val="32"/>
          <w:szCs w:val="32"/>
        </w:rPr>
      </w:pPr>
      <w:r>
        <w:rPr>
          <w:rStyle w:val="5"/>
          <w:rFonts w:hint="eastAsia" w:ascii="方正楷体_GBK" w:hAnsi="方正楷体_GBK" w:eastAsia="方正楷体_GBK" w:cs="方正楷体_GBK"/>
          <w:b w:val="0"/>
          <w:bCs/>
          <w:color w:val="auto"/>
          <w:sz w:val="32"/>
          <w:szCs w:val="32"/>
        </w:rPr>
        <w:t>（八）年末结转和结余：</w:t>
      </w:r>
      <w:r>
        <w:rPr>
          <w:rFonts w:hint="eastAsia" w:ascii="方正仿宋_GBK" w:hAnsi="方正仿宋_GBK" w:eastAsia="方正仿宋_GBK" w:cs="方正仿宋_GBK"/>
          <w:color w:val="auto"/>
          <w:sz w:val="32"/>
          <w:szCs w:val="32"/>
        </w:rPr>
        <w:t>指单位结转下年的基本支出结转、项目支出结转和结余、经营结余。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Fonts w:hint="eastAsia" w:ascii="方正仿宋_GBK" w:hAnsi="方正仿宋_GBK" w:eastAsia="方正仿宋_GBK" w:cs="方正仿宋_GBK"/>
          <w:color w:val="auto"/>
          <w:sz w:val="32"/>
          <w:szCs w:val="32"/>
        </w:rPr>
      </w:pPr>
      <w:r>
        <w:rPr>
          <w:rStyle w:val="5"/>
          <w:rFonts w:hint="eastAsia" w:ascii="方正楷体_GBK" w:hAnsi="方正楷体_GBK" w:eastAsia="方正楷体_GBK" w:cs="方正楷体_GBK"/>
          <w:b w:val="0"/>
          <w:bCs/>
          <w:color w:val="auto"/>
          <w:sz w:val="32"/>
          <w:szCs w:val="32"/>
        </w:rPr>
        <w:t>（九）基本支出：</w:t>
      </w:r>
      <w:r>
        <w:rPr>
          <w:rFonts w:hint="eastAsia" w:ascii="方正仿宋_GBK" w:hAnsi="方正仿宋_GBK" w:eastAsia="方正仿宋_GBK" w:cs="方正仿宋_GBK"/>
          <w:color w:val="auto"/>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Fonts w:hint="eastAsia" w:ascii="方正仿宋_GBK" w:hAnsi="方正仿宋_GBK" w:eastAsia="方正仿宋_GBK" w:cs="方正仿宋_GBK"/>
          <w:color w:val="auto"/>
          <w:sz w:val="32"/>
          <w:szCs w:val="32"/>
        </w:rPr>
      </w:pPr>
      <w:r>
        <w:rPr>
          <w:rStyle w:val="5"/>
          <w:rFonts w:hint="eastAsia" w:ascii="方正楷体_GBK" w:hAnsi="方正楷体_GBK" w:eastAsia="方正楷体_GBK" w:cs="方正楷体_GBK"/>
          <w:b w:val="0"/>
          <w:bCs/>
          <w:color w:val="auto"/>
          <w:sz w:val="32"/>
          <w:szCs w:val="32"/>
        </w:rPr>
        <w:t>（十）项目支出：</w:t>
      </w:r>
      <w:r>
        <w:rPr>
          <w:rFonts w:hint="eastAsia" w:ascii="方正仿宋_GBK" w:hAnsi="方正仿宋_GBK" w:eastAsia="方正仿宋_GBK" w:cs="方正仿宋_GBK"/>
          <w:color w:val="auto"/>
          <w:sz w:val="32"/>
          <w:szCs w:val="32"/>
        </w:rPr>
        <w:t>指在基本支出之外为完成特定行政任务和事业发展目标所发生的支出。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color w:val="auto"/>
        </w:rPr>
      </w:pPr>
      <w:r>
        <w:rPr>
          <w:rStyle w:val="5"/>
          <w:rFonts w:hint="eastAsia" w:ascii="方正楷体_GBK" w:hAnsi="方正楷体_GBK" w:eastAsia="方正楷体_GBK" w:cs="方正楷体_GBK"/>
          <w:b w:val="0"/>
          <w:bCs/>
          <w:color w:val="auto"/>
          <w:sz w:val="32"/>
          <w:szCs w:val="32"/>
        </w:rPr>
        <w:t>（十一）经营支出：</w:t>
      </w:r>
      <w:r>
        <w:rPr>
          <w:rFonts w:hint="eastAsia" w:ascii="方正仿宋_GBK" w:hAnsi="方正仿宋_GBK" w:eastAsia="方正仿宋_GBK" w:cs="方正仿宋_GBK"/>
          <w:color w:val="auto"/>
          <w:sz w:val="32"/>
          <w:szCs w:val="32"/>
        </w:rPr>
        <w:t>指事业单位在专业业务活动及其辅助活动之外开展非独立核算经营活动发生的支出。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Fonts w:hint="eastAsia" w:ascii="方正仿宋_GBK" w:hAnsi="方正仿宋_GBK" w:eastAsia="方正仿宋_GBK" w:cs="方正仿宋_GBK"/>
          <w:color w:val="auto"/>
          <w:sz w:val="32"/>
          <w:szCs w:val="32"/>
        </w:rPr>
      </w:pPr>
      <w:r>
        <w:rPr>
          <w:rStyle w:val="5"/>
          <w:rFonts w:hint="eastAsia" w:ascii="方正楷体_GBK" w:hAnsi="方正楷体_GBK" w:eastAsia="方正楷体_GBK" w:cs="方正楷体_GBK"/>
          <w:b w:val="0"/>
          <w:bCs/>
          <w:color w:val="auto"/>
          <w:sz w:val="32"/>
          <w:szCs w:val="32"/>
        </w:rPr>
        <w:t>（十二）“三公”经费：</w:t>
      </w:r>
      <w:r>
        <w:rPr>
          <w:rFonts w:hint="eastAsia" w:ascii="方正仿宋_GBK" w:hAnsi="方正仿宋_GBK" w:eastAsia="方正仿宋_GBK" w:cs="方正仿宋_GBK"/>
          <w:color w:val="auto"/>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Fonts w:hint="eastAsia" w:ascii="方正仿宋_GBK" w:hAnsi="方正仿宋_GBK" w:eastAsia="方正仿宋_GBK" w:cs="方正仿宋_GBK"/>
          <w:color w:val="auto"/>
          <w:sz w:val="32"/>
          <w:szCs w:val="32"/>
        </w:rPr>
      </w:pPr>
      <w:r>
        <w:rPr>
          <w:rStyle w:val="5"/>
          <w:rFonts w:hint="eastAsia" w:ascii="方正楷体_GBK" w:hAnsi="方正楷体_GBK" w:eastAsia="方正楷体_GBK" w:cs="方正楷体_GBK"/>
          <w:b w:val="0"/>
          <w:bCs/>
          <w:color w:val="auto"/>
          <w:sz w:val="32"/>
          <w:szCs w:val="32"/>
        </w:rPr>
        <w:t>（十三）机关运行经费：</w:t>
      </w:r>
      <w:r>
        <w:rPr>
          <w:rFonts w:hint="eastAsia" w:ascii="方正仿宋_GBK" w:hAnsi="方正仿宋_GBK" w:eastAsia="方正仿宋_GBK" w:cs="方正仿宋_GBK"/>
          <w:color w:val="auto"/>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94" w:lineRule="exact"/>
        <w:ind w:right="0" w:firstLine="640" w:firstLineChars="200"/>
        <w:jc w:val="left"/>
        <w:textAlignment w:val="auto"/>
        <w:rPr>
          <w:rFonts w:hint="eastAsia" w:ascii="方正仿宋_GBK" w:hAnsi="方正仿宋_GBK" w:eastAsia="方正仿宋_GBK" w:cs="方正仿宋_GBK"/>
          <w:color w:val="auto"/>
          <w:sz w:val="32"/>
          <w:szCs w:val="32"/>
        </w:rPr>
      </w:pPr>
      <w:r>
        <w:rPr>
          <w:rStyle w:val="5"/>
          <w:rFonts w:hint="eastAsia" w:ascii="方正楷体_GBK" w:hAnsi="方正楷体_GBK" w:eastAsia="方正楷体_GBK" w:cs="方正楷体_GBK"/>
          <w:b w:val="0"/>
          <w:bCs/>
          <w:color w:val="auto"/>
          <w:sz w:val="32"/>
          <w:szCs w:val="32"/>
        </w:rPr>
        <w:t>（十四）工资福利支出（支出经济分类科目类级）：</w:t>
      </w:r>
      <w:r>
        <w:rPr>
          <w:rFonts w:hint="eastAsia" w:ascii="方正仿宋_GBK" w:hAnsi="方正仿宋_GBK" w:eastAsia="方正仿宋_GBK" w:cs="方正仿宋_GBK"/>
          <w:color w:val="auto"/>
          <w:sz w:val="32"/>
          <w:szCs w:val="32"/>
        </w:rPr>
        <w:t>反映单位开支的在职职工和编制外长期聘用人员的各类劳动报酬，以及为上述人员缴纳的各项社会保险费等。</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94" w:lineRule="exact"/>
        <w:ind w:right="0" w:firstLine="640" w:firstLineChars="200"/>
        <w:jc w:val="left"/>
        <w:textAlignment w:val="auto"/>
        <w:rPr>
          <w:rFonts w:hint="eastAsia" w:ascii="方正仿宋_GBK" w:hAnsi="方正仿宋_GBK" w:eastAsia="方正仿宋_GBK" w:cs="方正仿宋_GBK"/>
          <w:color w:val="auto"/>
          <w:sz w:val="32"/>
          <w:szCs w:val="32"/>
        </w:rPr>
      </w:pPr>
      <w:r>
        <w:rPr>
          <w:rStyle w:val="5"/>
          <w:rFonts w:hint="eastAsia" w:ascii="方正楷体_GBK" w:hAnsi="方正楷体_GBK" w:eastAsia="方正楷体_GBK" w:cs="方正楷体_GBK"/>
          <w:b w:val="0"/>
          <w:bCs/>
          <w:color w:val="auto"/>
          <w:sz w:val="32"/>
          <w:szCs w:val="32"/>
        </w:rPr>
        <w:t>（十五）商品和服务支出（支出经济分类科目类级）：</w:t>
      </w:r>
      <w:r>
        <w:rPr>
          <w:rFonts w:hint="eastAsia" w:ascii="方正仿宋_GBK" w:hAnsi="方正仿宋_GBK" w:eastAsia="方正仿宋_GBK" w:cs="方正仿宋_GBK"/>
          <w:color w:val="auto"/>
          <w:sz w:val="32"/>
          <w:szCs w:val="32"/>
        </w:rPr>
        <w:t>反映单位购买商品和服务的支出（不包括用于购置固定资产的支出、战略性和应急储备支出）。</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94" w:lineRule="exact"/>
        <w:ind w:right="0" w:firstLine="640" w:firstLineChars="200"/>
        <w:jc w:val="left"/>
        <w:textAlignment w:val="auto"/>
        <w:rPr>
          <w:rFonts w:hint="eastAsia" w:ascii="方正仿宋_GBK" w:hAnsi="方正仿宋_GBK" w:eastAsia="方正仿宋_GBK" w:cs="方正仿宋_GBK"/>
          <w:color w:val="auto"/>
          <w:sz w:val="32"/>
          <w:szCs w:val="32"/>
        </w:rPr>
      </w:pPr>
      <w:r>
        <w:rPr>
          <w:rStyle w:val="5"/>
          <w:rFonts w:hint="eastAsia" w:ascii="方正楷体_GBK" w:hAnsi="方正楷体_GBK" w:eastAsia="方正楷体_GBK" w:cs="方正楷体_GBK"/>
          <w:b w:val="0"/>
          <w:bCs/>
          <w:color w:val="auto"/>
          <w:sz w:val="32"/>
          <w:szCs w:val="32"/>
        </w:rPr>
        <w:t>（十六）对个人和家庭的补助（支出经济分类科目类级）：</w:t>
      </w:r>
      <w:r>
        <w:rPr>
          <w:rFonts w:hint="eastAsia" w:ascii="方正仿宋_GBK" w:hAnsi="方正仿宋_GBK" w:eastAsia="方正仿宋_GBK" w:cs="方正仿宋_GBK"/>
          <w:color w:val="auto"/>
          <w:sz w:val="32"/>
          <w:szCs w:val="32"/>
        </w:rPr>
        <w:t>反映用于对个人和家庭的补助支出。</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94" w:lineRule="exact"/>
        <w:ind w:right="0" w:firstLine="640" w:firstLineChars="200"/>
        <w:jc w:val="left"/>
        <w:textAlignment w:val="auto"/>
        <w:rPr>
          <w:rFonts w:hint="eastAsia" w:ascii="方正仿宋_GBK" w:hAnsi="方正仿宋_GBK" w:eastAsia="方正仿宋_GBK" w:cs="方正仿宋_GBK"/>
          <w:color w:val="auto"/>
          <w:sz w:val="32"/>
          <w:szCs w:val="32"/>
        </w:rPr>
      </w:pPr>
      <w:r>
        <w:rPr>
          <w:rStyle w:val="5"/>
          <w:rFonts w:hint="eastAsia" w:ascii="方正楷体_GBK" w:hAnsi="方正楷体_GBK" w:eastAsia="方正楷体_GBK" w:cs="方正楷体_GBK"/>
          <w:b w:val="0"/>
          <w:bCs/>
          <w:color w:val="auto"/>
          <w:sz w:val="32"/>
          <w:szCs w:val="32"/>
        </w:rPr>
        <w:t>（十七）其他资本性支出（支出经济分类科目类级）：</w:t>
      </w:r>
      <w:r>
        <w:rPr>
          <w:rFonts w:hint="eastAsia" w:ascii="方正仿宋_GBK" w:hAnsi="方正仿宋_GBK" w:eastAsia="方正仿宋_GBK" w:cs="方正仿宋_GBK"/>
          <w:color w:val="auto"/>
          <w:sz w:val="32"/>
          <w:szCs w:val="32"/>
        </w:rPr>
        <w:t>反映非各级发展与改革部门集中安排的用于购置固定资产、战略性和应急性储备、土地和无形资产，以及构建基础设施、大型修缮和财政支持企业更新改造所发生的支出。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firstLine="640" w:firstLineChars="200"/>
        <w:jc w:val="left"/>
        <w:textAlignment w:val="auto"/>
        <w:rPr>
          <w:rStyle w:val="5"/>
          <w:rFonts w:hint="eastAsia" w:ascii="方正黑体_GBK" w:hAnsi="方正黑体_GBK" w:eastAsia="方正黑体_GBK" w:cs="方正黑体_GBK"/>
          <w:b w:val="0"/>
          <w:bCs/>
          <w:color w:val="auto"/>
          <w:sz w:val="32"/>
          <w:szCs w:val="32"/>
        </w:rPr>
      </w:pPr>
      <w:r>
        <w:rPr>
          <w:rStyle w:val="5"/>
          <w:rFonts w:hint="eastAsia" w:ascii="方正黑体_GBK" w:hAnsi="方正黑体_GBK" w:eastAsia="方正黑体_GBK" w:cs="方正黑体_GBK"/>
          <w:b w:val="0"/>
          <w:bCs/>
          <w:color w:val="auto"/>
          <w:sz w:val="32"/>
          <w:szCs w:val="32"/>
        </w:rPr>
        <w:t>七、决算公开联系方式及信息反馈渠道</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94"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本单位决算公开信息反馈和联系方式：</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94"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田建伟</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kern w:val="0"/>
          <w:sz w:val="32"/>
          <w:szCs w:val="32"/>
          <w:shd w:val="clear" w:fill="FFFFFF"/>
        </w:rPr>
        <w:t>023-45677870</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94" w:lineRule="exact"/>
        <w:ind w:left="0" w:right="0" w:firstLine="480" w:firstLineChars="200"/>
        <w:textAlignment w:val="auto"/>
        <w:rPr>
          <w:color w:val="auto"/>
        </w:rPr>
      </w:pPr>
    </w:p>
    <w:p>
      <w:pPr>
        <w:keepNext w:val="0"/>
        <w:keepLines w:val="0"/>
        <w:pageBreakBefore w:val="0"/>
        <w:kinsoku/>
        <w:wordWrap/>
        <w:overflowPunct/>
        <w:topLinePunct w:val="0"/>
        <w:autoSpaceDN/>
        <w:bidi w:val="0"/>
        <w:adjustRightInd/>
        <w:snapToGrid/>
        <w:spacing w:beforeAutospacing="0" w:afterAutospacing="0" w:line="594" w:lineRule="exact"/>
        <w:ind w:firstLine="0" w:firstLineChars="0"/>
        <w:textAlignment w:val="auto"/>
        <w:rPr>
          <w:color w:val="auto"/>
        </w:rPr>
      </w:pPr>
    </w:p>
    <w:sectPr>
      <w:pgSz w:w="11906" w:h="16838"/>
      <w:pgMar w:top="1984" w:right="1446" w:bottom="1417"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F3A559"/>
    <w:multiLevelType w:val="singleLevel"/>
    <w:tmpl w:val="F7F3A559"/>
    <w:lvl w:ilvl="0" w:tentative="0">
      <w:start w:val="1"/>
      <w:numFmt w:val="decimal"/>
      <w:suff w:val="nothing"/>
      <w:lvlText w:val="（%1）"/>
      <w:lvlJc w:val="left"/>
    </w:lvl>
  </w:abstractNum>
  <w:abstractNum w:abstractNumId="1">
    <w:nsid w:val="FBFF89E7"/>
    <w:multiLevelType w:val="singleLevel"/>
    <w:tmpl w:val="FBFF89E7"/>
    <w:lvl w:ilvl="0" w:tentative="0">
      <w:start w:val="2"/>
      <w:numFmt w:val="chineseCounting"/>
      <w:suff w:val="nothing"/>
      <w:lvlText w:val="（%1）"/>
      <w:lvlJc w:val="left"/>
      <w:rPr>
        <w:rFonts w:hint="eastAsia"/>
      </w:rPr>
    </w:lvl>
  </w:abstractNum>
  <w:abstractNum w:abstractNumId="2">
    <w:nsid w:val="61C740FA"/>
    <w:multiLevelType w:val="singleLevel"/>
    <w:tmpl w:val="61C740FA"/>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A5AB1"/>
    <w:rsid w:val="00FE37AD"/>
    <w:rsid w:val="0BC124FD"/>
    <w:rsid w:val="0CB46D09"/>
    <w:rsid w:val="0DA3480C"/>
    <w:rsid w:val="123C448F"/>
    <w:rsid w:val="14C27482"/>
    <w:rsid w:val="1A377262"/>
    <w:rsid w:val="1A4B0DF5"/>
    <w:rsid w:val="1AAE52C4"/>
    <w:rsid w:val="1BDF4F7C"/>
    <w:rsid w:val="1DDA7158"/>
    <w:rsid w:val="21332CB3"/>
    <w:rsid w:val="2141200E"/>
    <w:rsid w:val="224D1158"/>
    <w:rsid w:val="24266CCA"/>
    <w:rsid w:val="272E4286"/>
    <w:rsid w:val="30BD239F"/>
    <w:rsid w:val="31330173"/>
    <w:rsid w:val="35B82BD8"/>
    <w:rsid w:val="37B010F0"/>
    <w:rsid w:val="3B5C31EF"/>
    <w:rsid w:val="3B89191E"/>
    <w:rsid w:val="3C822F4C"/>
    <w:rsid w:val="4770222B"/>
    <w:rsid w:val="4D1914D0"/>
    <w:rsid w:val="500F0874"/>
    <w:rsid w:val="504E6A01"/>
    <w:rsid w:val="569F2BF0"/>
    <w:rsid w:val="56CF468A"/>
    <w:rsid w:val="5A890F7E"/>
    <w:rsid w:val="5BFFD299"/>
    <w:rsid w:val="5D62786E"/>
    <w:rsid w:val="5E584223"/>
    <w:rsid w:val="5ED96B03"/>
    <w:rsid w:val="600738A1"/>
    <w:rsid w:val="637677B5"/>
    <w:rsid w:val="64C878F9"/>
    <w:rsid w:val="6D2154B9"/>
    <w:rsid w:val="703B5A1D"/>
    <w:rsid w:val="7113767A"/>
    <w:rsid w:val="753E3D14"/>
    <w:rsid w:val="76AF513C"/>
    <w:rsid w:val="780D4FB8"/>
    <w:rsid w:val="78634E13"/>
    <w:rsid w:val="7B7823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普通(网站) Char Char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Acer</cp:lastModifiedBy>
  <dcterms:modified xsi:type="dcterms:W3CDTF">2023-10-24T07:37:51Z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8D22FD4570A9C046EFED2C6513BE5CB8</vt:lpwstr>
  </property>
</Properties>
</file>