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中共重庆市铜梁区委组织部党员教育中心</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中共重庆市铜梁区委组织部党员教育管理中心主要职责为负责全区党员日常教育管理工作，组织开展党内重大教育活动；拟订全区党员教育教学计划、开发音像教学资源，组织开展教育培训；负责全区电化教育和党员干部现代远程教育工作的组织、协调、管理、指导、督促、检查和考核，培训电化教育和远程教育骨干队伍；负责党员电教教学资源库建设、课件开发以及党员电教片拍摄、制作；负责全区组织工作图片影像资料收集整理工作。拟订全区组织系统信息化工作规划、标准，并组织实施、检查、指导协调和考核；负责信息技术（互联网+）服务党的建设和组织工作的方式指导、应用推广、经验总结；负责“大组工网”和组织部涉密机房的建设、管理、维护等组织系统信息化建设工作；负责全区“群工系统”的推广、管理、运行、维护；负责区党员干部现代远程教育网站、组工微博、微信公众平台的管理、维护、更新工作；负责全区组织工作、组织部门及党员干部的舆情监测报送及处置应对；负责涉组涉干舆论引导、正面宣传、信息发布工作；负责全区网络信息宣传人才队伍建设；负责全区组织系统外宣工作。负责区管领导干部和公务员档案的收集、归档、查阅、管理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中共重庆市铜梁区委组织部党员教育中心为全额拨款副处级公益一类事业单位。设3个内设机构：党员教育科、信息技术科、档案管理科。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1.总体情况。2022年度收入总计223.82万元，支出总计223.82万元。收支较上年决算数增加223.82万元,增长100.0%，主要原因是本单位为自2022年起新增独立预决算单位。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2.收入情况。2022年度收入合计223.82万元，较上年决算数增加223.82万元，增长%，主要原因是本单位为自2022年起新增独立预决算单位。其中：财政拨款收入223.82万元，占100%。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3.支出情况。2022年度支出合计223.82万元，较上年决算增加223.82万元，增长100.0%，主要原因是本单位为自2022年起新增独立预决算单位。其中：基本支出223.82万元，占100%。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4.结转结余情况。2022年度年末结转和结余0.00万元较上年决算数无变化。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2022年度财政拨款收、支总计223.82万元。与2021年相比，财政拨款收、支总计各增加223.82万元，增长100.0%。主要原因是本单位为自2022年起新增独立预决算单位。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1.收入情况。2022年度一般公共预算财政拨款收入223.82万元，较上年决算数增加223.82万元，增长100.0%。主要原因是本单位为自2022年起新增独立预决算单位。较年初预算数减少19.26万元，下降7.9%。主要原因是本单位工作人员年中调出其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支出情况。2022年度一般公共预算财政拨款支出223.82万元，较上年决算数增加223.82万元，增长%。主要原因是本单位为自2022年起新增独立预决算单位。较年初预算数减少19.26万元，下降7.9%。主要原因是本单位工作人员年中调出其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3.结转结余情况。2022年度年末一般公共预算财政拨款结转和结余0.00万元，较上年决算数增加0.00万元，增长0%，较上年决算数无变化。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4.比较情况。本部门2022年度一般公共预算财政拨款支出主要用于以下几个方面：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（1）一般公共服务支出196.79万元，占87.9%，较年初预算数减少9.94万元，下降4.8%，主要原因是本单位工作人员年中调出其他单位。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（2）社会保障与就业支出13.40万元，占6%，较年初预算数减少4.41万元，下降24.8%，主要原因是本单位工作人员年中调出其他单位。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（3）卫生健康支出4.73万元，占2.1%，较年初预算数减少4.91万元，下降50.9%，主要原因是本单位工作人员年中调出其他单位。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（4）住房保障支出8.90万元，占4%，较年初预算数增加0.00万元，增长0%，较年初预算数无变化。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一般公共预算财政拨款基本支出223.82万元。其中：人员经费177.02万元，较上年决算数增加177.02万元，增长100.0%，主要原因是本单位为自2022年起新增独立预决算单位。人员经费用途主要包括基本工资、津贴补贴、年终一次奖、社会保障缴费、住房公积金等。公用经费46.80万元，较上年决算数增加46.80万元，增长100.0%，主要原因是本单位为自2022年起新增独立预决算单位。公用经费用途主要包括办公费、印刷费、邮电费、差旅费、劳务费、工会经费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本部门2022年度无政府性基金预算财政拨款收支。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本部门2022年度无国有资本经营预算财政拨款支出。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三、“三公”经费情况说明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三公”经费支出共计0.00万元，较年初预算数增加0.00万元，增长0%，主要原因是本单位2022年度未发生“三公”经费支出。较上年支出数增加0.00万元，增长0%，主要原因是本单位2022年度未发生“三公”经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2022年度本部门因公出国（境）费用0.00万元。费用支出较年初预算数增加0.00万元，增长0%。较上年支出数增加0.00万元，增长0%。本单位2022年度未发生因公出国（境）支出。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公务用车购置费0.00万元。费用支出较年初预算数增加0.00万元，增长0%。较上年支出数增加0.00万元，增长0%。本单位2022年度未发生公务车购置费支出。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公务用车运行维护费0.00万元。费用支出较年初预算数增加0.00万元，增长0%。较上年支出数增加0.00万元，增长0%。本单位2022年度未发生公务车运行维护费支出。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公务接待费0.00万元。费用支出较年初预算数增加0.00万元，增长0%。较上年支出数增加0.00万元，增长0%。本单位2022年度未发生公务接待费支出。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本部门因公出国（境）共计0.00个团组，0.00人；公务用车购置0.00辆，公务车保有量为0.00辆；国内公务接待0.00批次0.00人，其中：国内外事接待0.00批次，0.00人；国（境）外公务接待0.00批次，0.00人。2022年本部门人均接待费0.00元，车均购置费0.00万元，车均维护费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本年度会议费支出0.00万元，较上年决算数增加0.00万元，增长0%。本年度培训费支出0.00万元，较上年决算数增加0.00万元，增长0%。本单位2022年度未发生会议费和培训费支出。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（二）机关运行经费支出情况说明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本部门机关运行经费支出46.80万元，主要用于开支办公费、印刷费、邮电费、差旅费、劳务费、工会经费等。机关运行经费较上年决算数增加46.80万元，增长100.0%，主要原因是本单位为自2022年起新增独立预决算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截至2022年12月31日，本部门共有车辆0.00辆，其中，副部（省）级及以上领导用车0.00辆、主要领导干部用车0.00辆、机要通信用车0.00辆、应急保障用车0.00辆、执法执勤用车0.00辆，特种专业技术用车0.00辆，离退休干部用车0.00辆，其他用车0.00辆。单价100万元（含）以上设备（不含车辆）0.00台（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（四）政府采购支出说明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2022年度我单位未发生政府采购事项，无相关经费支出。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（一）预算绩效管理工作开展情况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  我单位2022年度无项目支出。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1.绩效目标自评表。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（1）部门整体绩效自评表。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我单位为二级预算单位，未进行部门整体绩效目标管理。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（2）项目绩效自评表。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我单位2022年度无项目支出。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2.绩效自评报告或案例。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我单位2022年度无项目支出。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3.关于绩效自评结果的说明。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 我单位2022年度无项目支出。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ascii="方正楷体_GBK" w:hAnsi="方正楷体_GBK" w:eastAsia="方正楷体_GBK" w:cs="方正楷体_GBK"/>
          <w:sz w:val="32"/>
          <w:szCs w:val="32"/>
        </w:rPr>
        <w:t>（三）重点绩效评价结果。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我单位未开展重点绩效评价。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r>
        <w:rPr>
          <w:rFonts w:eastAsia="方正仿宋_GBK"/>
          <w:sz w:val="32"/>
          <w:szCs w:val="32"/>
        </w:rPr>
        <w:t>王镱洁   023-45695505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5MGY4OWU1NTVhMDU0MzI0NmMwZjUwNjQ5YTk4NTUifQ=="/>
  </w:docVars>
  <w:rsids>
    <w:rsidRoot w:val="00241DCD"/>
    <w:rsid w:val="0003761E"/>
    <w:rsid w:val="00235B7D"/>
    <w:rsid w:val="00241DCD"/>
    <w:rsid w:val="003F70A3"/>
    <w:rsid w:val="00615FB9"/>
    <w:rsid w:val="00670A75"/>
    <w:rsid w:val="00891FBC"/>
    <w:rsid w:val="00905D0F"/>
    <w:rsid w:val="00927737"/>
    <w:rsid w:val="009B348A"/>
    <w:rsid w:val="009B5D6E"/>
    <w:rsid w:val="00CB407B"/>
    <w:rsid w:val="00DE670F"/>
    <w:rsid w:val="00E93A5E"/>
    <w:rsid w:val="042E6220"/>
    <w:rsid w:val="29736992"/>
    <w:rsid w:val="4B7328E3"/>
    <w:rsid w:val="569D2D6D"/>
    <w:rsid w:val="6417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741</Words>
  <Characters>4225</Characters>
  <Lines>35</Lines>
  <Paragraphs>9</Paragraphs>
  <TotalTime>104</TotalTime>
  <ScaleCrop>false</ScaleCrop>
  <LinksUpToDate>false</LinksUpToDate>
  <CharactersWithSpaces>4957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2023-10-14T00:11:00Z</dcterms:created>
  <dc:creator>Administrator</dc:creator>
  <cp:lastModifiedBy>四十四</cp:lastModifiedBy>
  <dcterms:modified xsi:type="dcterms:W3CDTF">2023-10-26T12:10:07Z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9F81BB47319045D2ACE27CB0952A703B_12</vt:lpwstr>
  </property>
</Properties>
</file>