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Cs/>
          <w:color w:val="000000"/>
          <w:spacing w:val="-20"/>
          <w:kern w:val="36"/>
          <w:sz w:val="44"/>
          <w:szCs w:val="44"/>
          <w:lang w:eastAsia="zh-CN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1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6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10"/>
          <w:sz w:val="32"/>
          <w:szCs w:val="32"/>
          <w:lang w:val="en-US" w:eastAsia="zh-CN"/>
        </w:rPr>
        <w:t>铜经信</w:t>
      </w:r>
      <w:r>
        <w:rPr>
          <w:rFonts w:hint="eastAsia" w:ascii="Times New Roman" w:hAnsi="Times New Roman" w:eastAsia="方正仿宋_GBK" w:cs="Times New Roman"/>
          <w:color w:val="000000"/>
          <w:spacing w:val="1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ind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铜梁区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认真做好春节和全国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两会期间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燃气油气电力行业安全风险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排查整治工作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镇街经发办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，各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燃气油气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经营企业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铜梁供电分公司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今年以来，河南南阳、江苏常州、云南昭通、江西新余等多地相继发生较大安全生产事故，损失重大、教训深刻。为深入贯彻落实习近平总书记有关批示精神，按照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政府和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市经济信息委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工作部署，针对近期极端天气和人员集中返乡等能源保供复杂形势，现就做好我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春节和全国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两会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期间燃气油气电力行业安全风险排查整治工作通知如下：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全面贯彻落实习近平总书记近期关于安全生产重要指示精神，按照区委、区政府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及市经信委有关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部署要求，坚持“人民至上、生命至上”, 统筹高质量发展和高水平安全，把“安全第一、预防为主”落到实处，以“除险固安”为工作导向，聚焦燃气、油气、电力、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电动汽车充电设施建设及运营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等重点领域，围绕春节和全国两会等重要时段，扎实做好岁末年初燃气油气电力安全防范工作，坚决遏制安全事故发生。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（一）燃气领域。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组织各镇街、相关部门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、有关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单位加强燃气安全宣传，督促燃气经营企业加强入户检查，防范使用燃气直接燃烧取暖、在起居室使用燃气、使用不合格气瓶灶具、未规范安装使用可燃气体泄漏报警装置等隐患；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燃气经营企业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立即开展管网、站场等设施全覆盖巡查巡检，做好运行维护和隐患排查整治，确保供气设施安全稳定运行，除应急抢险外，原则上不得安排停气施工作业；要对燃气经营企业的经营和保供实行日监测调度，从气源组织、道路运输、供应设备保障等方面提前做好应急准备，落实临时应急保供点现场安全管理。要及时、妥善处理用户投诉，耐心、细致做好解释疏导工作，强化舆情监测疏导，坚决杜绝发生负面舆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（二）油气领域。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巩固提升攻坚成效，组织开展“回头看”,全面完成潜在风险隐患整治，构建油气领域风险管控和隐患排查治理双重预防机制。重点检查企业在主体责任履行、“日周月”检查巡检、气瓶配送安装、用气环境检查、场站设备设施有效性核验等方面的落实情况。全面整顿液化气行业经营秩序，根据城镇燃气油气专项整治工作要求，对不按许可证规定区域经营液化气的违法违规行为进行严厉打击，维护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（三）电力运行领域。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针对春节人员密集返乡和低温雨雪冰冻天气频发易发等情况，重点检查供电企业迎峰度冬保供组织领导、方案制定、会议部署、统筹落实、一次性燃料保供、应急预案编制及运行安全等情况。由区经济信息委会同林业部门，组织供电公司、各镇街开展一轮树障隐患排查清理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（四）汽车充电设施领域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结合电动汽车充换电基础设施领域安全生产专项整治三年行动，重点检查督促充电运营企业健全安全生产制度、落实安全生产主体责任、编制“两单两卡”、开展安全生产教育培训、落实日常巡检及定期排查安全隐患，充电场站配电设备及充电设备功能、安全监控系统、安全警示标志设置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（一）部署发动阶段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20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日前）。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各燃气、油气、供电公司、充电设施等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经营企业，要组建工作专班、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细化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排查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措施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、明确排查重点、细化责任分工，广泛发动、部署到位。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（二）组织实施阶段（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20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日）。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区经济信息委采取“四不两直”的方式对辖区内重点企业开展专项检查；各有关单位要对照排查方案逐一开展隐患排查。针对排查出来的安全隐患，建立隐患清单，明确整改责任人和整改时限清单化、责任制、销号法压茬推进安全隐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（三）总结验收阶段（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日）。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各有关单位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及时总结工作情况，固化工作成效，进一步健全燃气、油气、电力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、充电设施建设及运营安全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防范长效工作机制。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有关工作总结书面报区经济信息委安全科。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（一）高度重视，成立专班。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成立我区工作专班，由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区经济信息委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分管安全副主任为组长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，各燃气、油气、供电公司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、充电设施等经营企业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分管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领导为成员。工作专班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要切实加强对本次安全风险排查整治工作的组织领导，靠前指挥，传导压力，压实责任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，切实形成实效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工作专班下设办公室在区经济信息委安全科，负责日常工作联系和调度。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（二）精心组织，狠抓落实。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各有关单位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既要按本通知要求，做好重点领域安全风险排查“规定动作”，还要结合辖区和单位实际做好“自选动作”，明确安全风险排查和隐患整治工作要求，严格把握时间节点，倒排工期、集中攻坚，确保有序推进，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（三）加强值守，及时处置。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各有关单位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要加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强春节和全国两会期间值班值守和在线监测，及时掌握燃气、油气、电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力、充电设施等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运行情况，强化安全生产形势分析，做好应急处置。对在此期间发现的突出问题及重大风险隐患及时报区经济信息委。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请各有关企业于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前将相关联系人报送至区经济信息委安全生产科。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附件：各企业联系人名单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铜梁区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年2月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（联系人：蒋德银；联系电话：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13635429660，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45684701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0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重庆市铜梁区经济和信息化委员会办公室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02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A5Y2RjNWM2NmIxYzQwYTczY2YyZWMwOGNhZmYifQ=="/>
  </w:docVars>
  <w:rsids>
    <w:rsidRoot w:val="00000000"/>
    <w:rsid w:val="12C0588C"/>
    <w:rsid w:val="3BEDE5CF"/>
    <w:rsid w:val="3BFF6972"/>
    <w:rsid w:val="3FDF791E"/>
    <w:rsid w:val="67F83F4F"/>
    <w:rsid w:val="6FDFF517"/>
    <w:rsid w:val="927FE802"/>
    <w:rsid w:val="95FF518D"/>
    <w:rsid w:val="BC3D1366"/>
    <w:rsid w:val="BFDC7DA3"/>
    <w:rsid w:val="DFBF675C"/>
    <w:rsid w:val="E9E7C090"/>
    <w:rsid w:val="ED7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 w:cs="Times New Roman"/>
      <w:b/>
      <w:bCs/>
      <w:spacing w:val="20"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customStyle="1" w:styleId="5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2024-02-19T12:47:00Z</dcterms:created>
  <dc:creator>DELL</dc:creator>
  <cp:lastModifiedBy>tlww</cp:lastModifiedBy>
  <cp:lastPrinted>2024-02-20T22:45:00Z</cp:lastPrinted>
  <dcterms:modified xsi:type="dcterms:W3CDTF">2024-02-21T11:55:22Z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C9B1F445BE0E4C7BAB54435420F3BBB4_12</vt:lpwstr>
  </property>
</Properties>
</file>