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540" w:lineRule="exact"/>
        <w:jc w:val="distribute"/>
        <w:rPr>
          <w:rFonts w:hint="eastAsia" w:ascii="方正小标宋_GBK" w:hAnsi="方正小标宋_GBK" w:eastAsia="方正小标宋_GBK" w:cs="方正小标宋_GBK"/>
          <w:b w:val="0"/>
          <w:bCs w:val="0"/>
          <w:color w:val="FF0000"/>
          <w:spacing w:val="-38"/>
          <w:w w:val="48"/>
          <w:sz w:val="144"/>
          <w:szCs w:val="144"/>
          <w:lang w:eastAsia="zh-CN"/>
        </w:rPr>
      </w:pPr>
    </w:p>
    <w:p>
      <w:pPr>
        <w:spacing w:line="1540" w:lineRule="exact"/>
        <w:ind w:left="0" w:leftChars="0" w:firstLine="0" w:firstLineChars="0"/>
        <w:jc w:val="distribute"/>
        <w:rPr>
          <w:rFonts w:hint="eastAsia" w:ascii="方正大标宋简体" w:hAnsi="方正大标宋简体" w:eastAsia="方正大标宋简体" w:cs="方正大标宋简体"/>
          <w:b/>
          <w:bCs/>
          <w:color w:val="FF0000"/>
          <w:spacing w:val="-23"/>
          <w:w w:val="70"/>
          <w:sz w:val="112"/>
          <w:szCs w:val="112"/>
          <w:lang w:eastAsia="zh-CN"/>
        </w:rPr>
      </w:pPr>
      <w:r>
        <w:rPr>
          <w:rFonts w:hint="eastAsia" w:ascii="方正大标宋简体" w:hAnsi="方正大标宋简体" w:eastAsia="方正大标宋简体" w:cs="方正大标宋简体"/>
          <w:b w:val="0"/>
          <w:bCs w:val="0"/>
          <w:color w:val="FF0000"/>
          <w:spacing w:val="-23"/>
          <w:w w:val="70"/>
          <w:sz w:val="112"/>
          <w:szCs w:val="112"/>
          <w:lang w:eastAsia="zh-CN"/>
        </w:rPr>
        <w:t>重庆市铜梁区交通局文件</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eastAsia="方正仿宋_GBK"/>
          <w:sz w:val="100"/>
          <w:szCs w:val="10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eastAsia="方正仿宋_GBK"/>
          <w:sz w:val="100"/>
          <w:szCs w:val="100"/>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2880" w:firstLineChars="900"/>
        <w:jc w:val="both"/>
        <w:textAlignment w:val="auto"/>
        <w:rPr>
          <w:rFonts w:hint="eastAsia" w:eastAsia="方正仿宋_GBK"/>
          <w:sz w:val="32"/>
          <w:szCs w:val="32"/>
          <w:lang w:eastAsia="zh-CN"/>
        </w:rPr>
      </w:pPr>
      <w:r>
        <w:rPr>
          <w:rFonts w:hint="eastAsia" w:ascii="方正仿宋_GBK" w:eastAsia="方正仿宋_GBK"/>
          <w:sz w:val="32"/>
          <w:szCs w:val="32"/>
          <w:lang w:eastAsia="zh-CN"/>
        </w:rPr>
        <w:t>铜交通发</w:t>
      </w:r>
      <w:r>
        <w:rPr>
          <w:rFonts w:hint="eastAsia" w:ascii="方正仿宋_GBK" w:eastAsia="方正仿宋_GBK"/>
          <w:sz w:val="32"/>
          <w:szCs w:val="32"/>
        </w:rPr>
        <w:t>〔20</w:t>
      </w:r>
      <w:r>
        <w:rPr>
          <w:rFonts w:hint="eastAsia" w:ascii="方正仿宋_GBK" w:eastAsia="方正仿宋_GBK"/>
          <w:sz w:val="32"/>
          <w:szCs w:val="32"/>
          <w:lang w:val="en-US" w:eastAsia="zh-CN"/>
        </w:rPr>
        <w:t>21</w:t>
      </w:r>
      <w:r>
        <w:rPr>
          <w:rFonts w:hint="eastAsia" w:ascii="方正仿宋_GBK" w:eastAsia="方正仿宋_GBK"/>
          <w:sz w:val="32"/>
          <w:szCs w:val="32"/>
        </w:rPr>
        <w:t>〕</w:t>
      </w:r>
      <w:r>
        <w:rPr>
          <w:rFonts w:hint="eastAsia" w:ascii="方正仿宋_GBK"/>
          <w:sz w:val="32"/>
          <w:szCs w:val="32"/>
          <w:lang w:val="en-US" w:eastAsia="zh-CN"/>
        </w:rPr>
        <w:t>15</w:t>
      </w:r>
      <w:r>
        <w:rPr>
          <w:rFonts w:hint="eastAsia" w:ascii="方正仿宋_GBK" w:eastAsia="方正仿宋_GBK"/>
          <w:sz w:val="32"/>
          <w:szCs w:val="32"/>
        </w:rPr>
        <w:t>号</w:t>
      </w:r>
      <w:r>
        <w:rPr>
          <w:rFonts w:hint="eastAsia"/>
        </w:rPr>
        <w:t xml:space="preserve"> </w: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hAnsi="方正小标宋简体" w:eastAsia="方正小标宋简体"/>
          <w:b/>
          <w:sz w:val="44"/>
          <w:szCs w:val="44"/>
        </w:rPr>
      </w:pPr>
      <w:r>
        <w:rPr>
          <w:sz w:val="34"/>
          <w:szCs w:val="34"/>
        </w:rPr>
        <mc:AlternateContent>
          <mc:Choice Requires="wps">
            <w:drawing>
              <wp:anchor distT="0" distB="0" distL="114300" distR="114300" simplePos="0" relativeHeight="251659264" behindDoc="0" locked="0" layoutInCell="1" allowOverlap="1">
                <wp:simplePos x="0" y="0"/>
                <wp:positionH relativeFrom="column">
                  <wp:posOffset>128270</wp:posOffset>
                </wp:positionH>
                <wp:positionV relativeFrom="paragraph">
                  <wp:posOffset>153670</wp:posOffset>
                </wp:positionV>
                <wp:extent cx="5414010" cy="8890"/>
                <wp:effectExtent l="0" t="0" r="0" b="0"/>
                <wp:wrapNone/>
                <wp:docPr id="1" name="直接连接符 1"/>
                <wp:cNvGraphicFramePr/>
                <a:graphic xmlns:a="http://schemas.openxmlformats.org/drawingml/2006/main">
                  <a:graphicData uri="http://schemas.microsoft.com/office/word/2010/wordprocessingShape">
                    <wps:wsp>
                      <wps:cNvCnPr/>
                      <wps:spPr>
                        <a:xfrm>
                          <a:off x="0" y="0"/>
                          <a:ext cx="5414010" cy="889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pt;margin-top:12.1pt;height:0.7pt;width:426.3pt;z-index:251659264;mso-width-relative:page;mso-height-relative:page;" filled="f" stroked="t" coordsize="21600,21600" o:gfxdata="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IMim9UAAAAIAQAADwAAAAAAAAABACAAAAAiAAAAZHJzL2Rvd25yZXYueG1s&#10;UEsBAhQAFAAAAAgAh07iQKa+Xw77AQAA6AMAAA4AAAAAAAAAAQAgAAAAJAEAAGRycy9lMm9Eb2Mu&#10;eG1sUEsFBgAAAAAGAAYAWQEAAJEFAAAAAA==&#10;">
                <v:fill on="f" focussize="0,0"/>
                <v:stroke weight="2.25pt" color="#FF0000" joinstyle="round"/>
                <v:imagedata o:title=""/>
                <o:lock v:ext="edit" aspectratio="f"/>
              </v:line>
            </w:pict>
          </mc:Fallback>
        </mc:AlternateContent>
      </w:r>
      <w:r>
        <w:rPr>
          <w:rFonts w:hint="eastAsia" w:hAnsi="宋体"/>
          <w:color w:val="FF0000"/>
          <w:w w:val="90"/>
          <w:sz w:val="52"/>
          <w:szCs w:val="5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小标宋_GBK" w:eastAsia="方正小标宋_GBK"/>
          <w:sz w:val="44"/>
          <w:szCs w:val="44"/>
        </w:rPr>
      </w:pPr>
    </w:p>
    <w:p>
      <w:pPr>
        <w:pStyle w:val="3"/>
        <w:pageBreakBefore w:val="0"/>
        <w:widowControl w:val="0"/>
        <w:kinsoku/>
        <w:wordWrap/>
        <w:overflowPunct/>
        <w:topLinePunct w:val="0"/>
        <w:autoSpaceDE/>
        <w:autoSpaceDN/>
        <w:bidi w:val="0"/>
        <w:adjustRightInd/>
        <w:snapToGrid/>
        <w:spacing w:line="40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val="0"/>
        <w:spacing w:line="600" w:lineRule="exact"/>
        <w:ind w:left="0" w:leftChars="0" w:right="5" w:rightChars="0"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重庆市铜梁区</w:t>
      </w:r>
      <w:r>
        <w:rPr>
          <w:rFonts w:hint="eastAsia" w:ascii="方正小标宋_GBK" w:hAnsi="方正小标宋_GBK" w:eastAsia="方正小标宋_GBK" w:cs="方正小标宋_GBK"/>
          <w:sz w:val="44"/>
          <w:szCs w:val="44"/>
          <w:lang w:eastAsia="zh-CN"/>
        </w:rPr>
        <w:t>交通局</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339" w:rightChars="106" w:firstLine="0" w:firstLine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关于印发2021年全区公路水运工程建设安全突出违法行为集中执法行动实施方案的</w:t>
      </w:r>
    </w:p>
    <w:p>
      <w:pPr>
        <w:keepNext w:val="0"/>
        <w:keepLines w:val="0"/>
        <w:pageBreakBefore w:val="0"/>
        <w:widowControl w:val="0"/>
        <w:kinsoku/>
        <w:wordWrap/>
        <w:overflowPunct/>
        <w:topLinePunct w:val="0"/>
        <w:autoSpaceDE/>
        <w:autoSpaceDN/>
        <w:bidi w:val="0"/>
        <w:adjustRightInd/>
        <w:snapToGrid w:val="0"/>
        <w:spacing w:line="600" w:lineRule="exact"/>
        <w:ind w:left="0" w:leftChars="0" w:right="339" w:rightChars="106" w:firstLine="0" w:firstLine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通</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rPr>
        <w:t>知</w:t>
      </w:r>
    </w:p>
    <w:p>
      <w:pPr>
        <w:keepNext w:val="0"/>
        <w:keepLines w:val="0"/>
        <w:pageBreakBefore w:val="0"/>
        <w:widowControl w:val="0"/>
        <w:kinsoku/>
        <w:wordWrap/>
        <w:overflowPunct/>
        <w:topLinePunct w:val="0"/>
        <w:autoSpaceDE/>
        <w:autoSpaceDN/>
        <w:bidi w:val="0"/>
        <w:adjustRightInd/>
        <w:snapToGrid/>
        <w:spacing w:line="560" w:lineRule="exact"/>
        <w:ind w:firstLine="650"/>
        <w:textAlignment w:val="auto"/>
        <w:rPr>
          <w:rFonts w:hint="eastAsia" w:ascii="方正仿宋_GBK" w:hAnsi="方正仿宋_GBK" w:eastAsia="方正仿宋_GBK" w:cs="方正仿宋_GBK"/>
          <w:sz w:val="32"/>
          <w:szCs w:val="32"/>
          <w:lang w:val="sq-AL" w:eastAsia="zh-CN"/>
        </w:rPr>
      </w:pPr>
    </w:p>
    <w:p>
      <w:pPr>
        <w:pageBreakBefore w:val="0"/>
        <w:widowControl w:val="0"/>
        <w:kinsoku/>
        <w:wordWrap/>
        <w:overflowPunct/>
        <w:topLinePunct w:val="0"/>
        <w:autoSpaceDE/>
        <w:autoSpaceDN/>
        <w:bidi w:val="0"/>
        <w:adjustRightInd/>
        <w:snapToGrid/>
        <w:spacing w:line="520" w:lineRule="exact"/>
        <w:ind w:left="0" w:leftChars="0" w:firstLine="0" w:firstLineChars="0"/>
        <w:jc w:val="left"/>
        <w:textAlignment w:val="auto"/>
        <w:rPr>
          <w:rFonts w:hint="eastAsia" w:ascii="方正仿宋_GBK" w:hAnsi="方正仿宋_GBK" w:eastAsia="方正仿宋_GBK" w:cs="方正仿宋_GBK"/>
          <w:bCs/>
          <w:color w:val="auto"/>
          <w:kern w:val="0"/>
          <w:sz w:val="32"/>
          <w:szCs w:val="32"/>
          <w:shd w:val="clear" w:color="auto" w:fill="FFFFFF"/>
        </w:rPr>
      </w:pPr>
      <w:r>
        <w:rPr>
          <w:rFonts w:hint="eastAsia" w:ascii="方正仿宋_GBK" w:hAnsi="方正仿宋_GBK" w:eastAsia="方正仿宋_GBK" w:cs="方正仿宋_GBK"/>
          <w:color w:val="auto"/>
          <w:kern w:val="0"/>
          <w:sz w:val="32"/>
          <w:szCs w:val="32"/>
        </w:rPr>
        <w:t>局</w:t>
      </w:r>
      <w:r>
        <w:rPr>
          <w:rFonts w:hint="eastAsia" w:ascii="方正仿宋_GBK" w:hAnsi="方正仿宋_GBK" w:eastAsia="方正仿宋_GBK" w:cs="方正仿宋_GBK"/>
          <w:bCs/>
          <w:color w:val="auto"/>
          <w:kern w:val="0"/>
          <w:sz w:val="32"/>
          <w:szCs w:val="32"/>
          <w:shd w:val="clear" w:color="auto" w:fill="FFFFFF"/>
        </w:rPr>
        <w:t>属有关单位，相关参建单位：</w:t>
      </w:r>
    </w:p>
    <w:p>
      <w:pPr>
        <w:keepNext w:val="0"/>
        <w:keepLines w:val="0"/>
        <w:pageBreakBefore w:val="0"/>
        <w:widowControl w:val="0"/>
        <w:kinsoku/>
        <w:wordWrap/>
        <w:overflowPunct/>
        <w:topLinePunct w:val="0"/>
        <w:autoSpaceDE/>
        <w:autoSpaceDN/>
        <w:bidi w:val="0"/>
        <w:adjustRightInd/>
        <w:snapToGrid/>
        <w:spacing w:line="520" w:lineRule="exact"/>
        <w:ind w:firstLine="650"/>
        <w:textAlignment w:val="auto"/>
        <w:rPr>
          <w:rFonts w:hint="eastAsia" w:ascii="方正仿宋_GBK" w:eastAsia="方正仿宋_GBK"/>
          <w:sz w:val="32"/>
          <w:szCs w:val="32"/>
          <w:lang w:val="en-US" w:eastAsia="zh-CN"/>
        </w:rPr>
      </w:pPr>
      <w:r>
        <w:rPr>
          <w:rFonts w:hint="eastAsia" w:ascii="方正仿宋_GBK" w:hAnsi="方正仿宋_GBK" w:eastAsia="方正仿宋_GBK" w:cs="方正仿宋_GBK"/>
          <w:color w:val="auto"/>
          <w:sz w:val="32"/>
          <w:szCs w:val="32"/>
        </w:rPr>
        <w:t>现将《2021年全</w:t>
      </w:r>
      <w:r>
        <w:rPr>
          <w:rFonts w:hint="eastAsia" w:ascii="方正仿宋_GBK" w:hAnsi="方正仿宋_GBK" w:eastAsia="方正仿宋_GBK" w:cs="方正仿宋_GBK"/>
          <w:color w:val="auto"/>
          <w:sz w:val="32"/>
          <w:szCs w:val="32"/>
          <w:lang w:eastAsia="zh-CN"/>
        </w:rPr>
        <w:t>区</w:t>
      </w:r>
      <w:r>
        <w:rPr>
          <w:rFonts w:hint="eastAsia" w:ascii="方正仿宋_GBK" w:hAnsi="方正仿宋_GBK" w:eastAsia="方正仿宋_GBK" w:cs="方正仿宋_GBK"/>
          <w:color w:val="auto"/>
          <w:sz w:val="32"/>
          <w:szCs w:val="32"/>
        </w:rPr>
        <w:t>公路水运工程</w:t>
      </w:r>
      <w:r>
        <w:rPr>
          <w:rFonts w:hint="eastAsia" w:ascii="方正仿宋_GBK" w:hAnsi="方正仿宋_GBK" w:eastAsia="方正仿宋_GBK" w:cs="方正仿宋_GBK"/>
          <w:bCs/>
          <w:color w:val="auto"/>
          <w:kern w:val="0"/>
          <w:sz w:val="32"/>
          <w:szCs w:val="32"/>
          <w:shd w:val="clear" w:color="auto" w:fill="FFFFFF"/>
        </w:rPr>
        <w:t>建设安全突出违法行为集中执法行动实施方案</w:t>
      </w:r>
      <w:r>
        <w:rPr>
          <w:rFonts w:hint="eastAsia" w:ascii="方正仿宋_GBK" w:hAnsi="方正仿宋_GBK" w:eastAsia="方正仿宋_GBK" w:cs="方正仿宋_GBK"/>
          <w:color w:val="auto"/>
          <w:sz w:val="32"/>
          <w:szCs w:val="32"/>
        </w:rPr>
        <w:t>》印发给你们，请认真组织实施。</w:t>
      </w:r>
      <w:r>
        <w:rPr>
          <w:rFonts w:hint="eastAsia" w:ascii="方正仿宋_GBK" w:eastAsia="方正仿宋_GBK"/>
          <w:sz w:val="32"/>
          <w:szCs w:val="32"/>
          <w:lang w:val="en-US" w:eastAsia="zh-CN"/>
        </w:rPr>
        <w:t>　　　　　　　　　　　</w:t>
      </w:r>
    </w:p>
    <w:p>
      <w:pPr>
        <w:pStyle w:val="3"/>
        <w:pageBreakBefore w:val="0"/>
        <w:widowControl w:val="0"/>
        <w:kinsoku/>
        <w:wordWrap/>
        <w:overflowPunct/>
        <w:topLinePunct w:val="0"/>
        <w:autoSpaceDE/>
        <w:autoSpaceDN/>
        <w:bidi w:val="0"/>
        <w:adjustRightInd/>
        <w:snapToGrid/>
        <w:spacing w:line="520" w:lineRule="exact"/>
        <w:textAlignment w:val="auto"/>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50"/>
        <w:textAlignment w:val="auto"/>
        <w:rPr>
          <w:rFonts w:hint="eastAsia" w:ascii="方正仿宋_GBK" w:eastAsia="方正仿宋_GBK"/>
          <w:sz w:val="32"/>
          <w:szCs w:val="32"/>
          <w:lang w:val="en-US" w:eastAsia="zh-CN"/>
        </w:rPr>
      </w:pPr>
      <w:r>
        <w:rPr>
          <w:rFonts w:hint="eastAsia" w:ascii="方正仿宋_GBK" w:eastAsia="方正仿宋_GBK"/>
          <w:sz w:val="32"/>
          <w:szCs w:val="32"/>
          <w:lang w:val="en-US" w:eastAsia="zh-CN"/>
        </w:rPr>
        <w:t>　　　　　　　　　　　　  重庆市铜梁区交通局</w:t>
      </w:r>
    </w:p>
    <w:p>
      <w:pPr>
        <w:keepNext w:val="0"/>
        <w:keepLines w:val="0"/>
        <w:pageBreakBefore w:val="0"/>
        <w:widowControl w:val="0"/>
        <w:kinsoku/>
        <w:wordWrap/>
        <w:overflowPunct/>
        <w:topLinePunct w:val="0"/>
        <w:autoSpaceDE/>
        <w:autoSpaceDN/>
        <w:bidi w:val="0"/>
        <w:adjustRightInd/>
        <w:snapToGrid/>
        <w:spacing w:line="520" w:lineRule="exact"/>
        <w:ind w:firstLine="650"/>
        <w:textAlignment w:val="auto"/>
        <w:rPr>
          <w:rFonts w:hint="eastAsia" w:ascii="方正仿宋_GBK" w:eastAsia="方正仿宋_GBK"/>
          <w:sz w:val="32"/>
          <w:szCs w:val="32"/>
          <w:lang w:val="en-US" w:eastAsia="zh-CN"/>
        </w:rPr>
      </w:pPr>
      <w:r>
        <w:rPr>
          <w:rFonts w:hint="eastAsia" w:ascii="方正仿宋_GBK" w:eastAsia="方正仿宋_GBK"/>
          <w:sz w:val="32"/>
          <w:szCs w:val="32"/>
          <w:lang w:val="en-US" w:eastAsia="zh-CN"/>
        </w:rPr>
        <w:t>　　　　　　　　　　　　　 2021年</w:t>
      </w:r>
      <w:r>
        <w:rPr>
          <w:rFonts w:hint="eastAsia" w:ascii="方正仿宋_GBK"/>
          <w:sz w:val="32"/>
          <w:szCs w:val="32"/>
          <w:lang w:val="en-US" w:eastAsia="zh-CN"/>
        </w:rPr>
        <w:t>3</w:t>
      </w:r>
      <w:r>
        <w:rPr>
          <w:rFonts w:hint="eastAsia" w:ascii="方正仿宋_GBK" w:eastAsia="方正仿宋_GBK"/>
          <w:sz w:val="32"/>
          <w:szCs w:val="32"/>
          <w:lang w:val="en-US" w:eastAsia="zh-CN"/>
        </w:rPr>
        <w:t>月1</w:t>
      </w:r>
      <w:r>
        <w:rPr>
          <w:rFonts w:hint="eastAsia" w:ascii="方正仿宋_GBK"/>
          <w:sz w:val="32"/>
          <w:szCs w:val="32"/>
          <w:lang w:val="en-US" w:eastAsia="zh-CN"/>
        </w:rPr>
        <w:t>9</w:t>
      </w:r>
      <w:r>
        <w:rPr>
          <w:rFonts w:hint="eastAsia" w:ascii="方正仿宋_GBK" w:eastAsia="方正仿宋_GBK"/>
          <w:sz w:val="32"/>
          <w:szCs w:val="32"/>
          <w:lang w:val="en-US" w:eastAsia="zh-CN"/>
        </w:rPr>
        <w:t>日</w:t>
      </w:r>
    </w:p>
    <w:p>
      <w:pPr>
        <w:spacing w:line="660" w:lineRule="exact"/>
        <w:ind w:left="0" w:leftChars="0" w:firstLine="0" w:firstLineChars="0"/>
        <w:jc w:val="center"/>
        <w:rPr>
          <w:rFonts w:hint="eastAsia" w:ascii="方正小标宋简体" w:hAnsi="方正小标宋简体" w:eastAsia="方正小标宋简体" w:cs="方正小标宋简体"/>
          <w:color w:val="auto"/>
          <w:kern w:val="0"/>
          <w:sz w:val="44"/>
          <w:szCs w:val="44"/>
          <w:shd w:val="clear" w:color="auto" w:fill="FFFFFF"/>
        </w:rPr>
      </w:pPr>
      <w:r>
        <w:rPr>
          <w:rFonts w:hint="eastAsia" w:ascii="方正小标宋简体" w:hAnsi="方正小标宋简体" w:eastAsia="方正小标宋简体" w:cs="方正小标宋简体"/>
          <w:color w:val="auto"/>
          <w:kern w:val="0"/>
          <w:sz w:val="44"/>
          <w:szCs w:val="44"/>
          <w:shd w:val="clear" w:color="auto" w:fill="FFFFFF"/>
        </w:rPr>
        <w:t>2021年全</w:t>
      </w:r>
      <w:r>
        <w:rPr>
          <w:rFonts w:hint="eastAsia" w:ascii="方正小标宋简体" w:hAnsi="方正小标宋简体" w:eastAsia="方正小标宋简体" w:cs="方正小标宋简体"/>
          <w:color w:val="auto"/>
          <w:kern w:val="0"/>
          <w:sz w:val="44"/>
          <w:szCs w:val="44"/>
          <w:shd w:val="clear" w:color="auto" w:fill="FFFFFF"/>
          <w:lang w:eastAsia="zh-CN"/>
        </w:rPr>
        <w:t>区</w:t>
      </w:r>
      <w:r>
        <w:rPr>
          <w:rFonts w:hint="eastAsia" w:ascii="方正小标宋简体" w:hAnsi="方正小标宋简体" w:eastAsia="方正小标宋简体" w:cs="方正小标宋简体"/>
          <w:color w:val="auto"/>
          <w:kern w:val="0"/>
          <w:sz w:val="44"/>
          <w:szCs w:val="44"/>
          <w:shd w:val="clear" w:color="auto" w:fill="FFFFFF"/>
        </w:rPr>
        <w:t>公路水运工程建设安全</w:t>
      </w:r>
    </w:p>
    <w:p>
      <w:pPr>
        <w:spacing w:line="660" w:lineRule="exact"/>
        <w:ind w:left="0" w:leftChars="0" w:firstLine="0" w:firstLineChars="0"/>
        <w:jc w:val="center"/>
        <w:rPr>
          <w:rFonts w:ascii="方正小标宋_GBK" w:eastAsia="方正小标宋_GBK"/>
          <w:color w:val="auto"/>
          <w:kern w:val="0"/>
          <w:sz w:val="44"/>
          <w:szCs w:val="44"/>
          <w:shd w:val="clear" w:color="auto" w:fill="FFFFFF"/>
        </w:rPr>
      </w:pPr>
      <w:r>
        <w:rPr>
          <w:rFonts w:hint="eastAsia" w:ascii="方正小标宋简体" w:hAnsi="方正小标宋简体" w:eastAsia="方正小标宋简体" w:cs="方正小标宋简体"/>
          <w:color w:val="auto"/>
          <w:kern w:val="0"/>
          <w:sz w:val="44"/>
          <w:szCs w:val="44"/>
          <w:shd w:val="clear" w:color="auto" w:fill="FFFFFF"/>
        </w:rPr>
        <w:t>突出违法行为集中执法</w:t>
      </w:r>
      <w:r>
        <w:rPr>
          <w:rFonts w:hint="eastAsia" w:ascii="方正小标宋简体" w:hAnsi="方正小标宋简体" w:eastAsia="方正小标宋简体" w:cs="方正小标宋简体"/>
          <w:color w:val="auto"/>
          <w:sz w:val="44"/>
          <w:szCs w:val="44"/>
        </w:rPr>
        <w:t>行动</w:t>
      </w:r>
      <w:r>
        <w:rPr>
          <w:rFonts w:hint="eastAsia" w:ascii="方正小标宋简体" w:hAnsi="方正小标宋简体" w:eastAsia="方正小标宋简体" w:cs="方正小标宋简体"/>
          <w:color w:val="auto"/>
          <w:kern w:val="0"/>
          <w:sz w:val="44"/>
          <w:szCs w:val="44"/>
          <w:shd w:val="clear" w:color="auto" w:fill="FFFFFF"/>
        </w:rPr>
        <w:t>实施方案</w:t>
      </w:r>
    </w:p>
    <w:p>
      <w:pPr>
        <w:rPr>
          <w:color w:val="auto"/>
          <w:kern w:val="0"/>
          <w:szCs w:val="32"/>
          <w:shd w:val="clear" w:color="auto" w:fill="FFFFFF"/>
        </w:rPr>
      </w:pP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为防范化解建设领域重大安全风险，持续降低建设安全事故总量，有效防控较大及以上事故，根据《重庆市安全生产委员会关于印发2021年全市建设安全突出违法行为集中执法行动方案的通知</w:t>
      </w:r>
      <w:r>
        <w:rPr>
          <w:rFonts w:hint="eastAsia" w:ascii="方正仿宋_GBK" w:hAnsi="方正仿宋_GBK" w:eastAsia="方正仿宋_GBK" w:cs="方正仿宋_GBK"/>
          <w:color w:val="auto"/>
          <w:kern w:val="0"/>
          <w:sz w:val="32"/>
          <w:szCs w:val="32"/>
          <w:shd w:val="clear" w:color="auto" w:fill="FFFFFF"/>
        </w:rPr>
        <w:t>》（渝安委〔2021〕4号）</w:t>
      </w:r>
      <w:r>
        <w:rPr>
          <w:rFonts w:hint="eastAsia" w:ascii="方正仿宋_GBK" w:hAnsi="方正仿宋_GBK" w:eastAsia="方正仿宋_GBK" w:cs="方正仿宋_GBK"/>
          <w:color w:val="auto"/>
          <w:kern w:val="0"/>
          <w:sz w:val="32"/>
          <w:szCs w:val="32"/>
          <w:shd w:val="clear" w:color="auto" w:fill="FFFFFF"/>
          <w:lang w:eastAsia="zh-CN"/>
        </w:rPr>
        <w:t>和市交通局《关于印发</w:t>
      </w:r>
      <w:r>
        <w:rPr>
          <w:rFonts w:hint="eastAsia" w:ascii="方正仿宋_GBK" w:hAnsi="方正仿宋_GBK" w:eastAsia="方正仿宋_GBK" w:cs="方正仿宋_GBK"/>
          <w:color w:val="auto"/>
          <w:kern w:val="0"/>
          <w:sz w:val="32"/>
          <w:szCs w:val="32"/>
          <w:shd w:val="clear" w:color="auto" w:fill="FFFFFF"/>
          <w:lang w:val="en-US" w:eastAsia="zh-CN"/>
        </w:rPr>
        <w:t>2021年全市公路水运工程建设安全突出违法行为集中执法行动实施方案的通知</w:t>
      </w:r>
      <w:r>
        <w:rPr>
          <w:rFonts w:hint="eastAsia" w:ascii="方正仿宋_GBK" w:hAnsi="方正仿宋_GBK" w:eastAsia="方正仿宋_GBK" w:cs="方正仿宋_GBK"/>
          <w:color w:val="auto"/>
          <w:kern w:val="0"/>
          <w:sz w:val="32"/>
          <w:szCs w:val="32"/>
          <w:shd w:val="clear" w:color="auto" w:fill="FFFFFF"/>
          <w:lang w:eastAsia="zh-CN"/>
        </w:rPr>
        <w:t>》（</w:t>
      </w:r>
      <w:r>
        <w:rPr>
          <w:rFonts w:hint="eastAsia" w:ascii="方正仿宋_GBK" w:hAnsi="方正仿宋_GBK" w:eastAsia="方正仿宋_GBK" w:cs="方正仿宋_GBK"/>
          <w:color w:val="auto"/>
          <w:kern w:val="0"/>
          <w:sz w:val="32"/>
          <w:szCs w:val="32"/>
          <w:shd w:val="clear" w:color="auto" w:fill="FFFFFF"/>
        </w:rPr>
        <w:t>渝</w:t>
      </w:r>
      <w:r>
        <w:rPr>
          <w:rFonts w:hint="eastAsia" w:ascii="方正仿宋_GBK" w:hAnsi="方正仿宋_GBK" w:eastAsia="方正仿宋_GBK" w:cs="方正仿宋_GBK"/>
          <w:color w:val="auto"/>
          <w:kern w:val="0"/>
          <w:sz w:val="32"/>
          <w:szCs w:val="32"/>
          <w:shd w:val="clear" w:color="auto" w:fill="FFFFFF"/>
          <w:lang w:eastAsia="zh-CN"/>
        </w:rPr>
        <w:t>交便函</w:t>
      </w:r>
      <w:r>
        <w:rPr>
          <w:rFonts w:hint="eastAsia" w:ascii="方正仿宋_GBK" w:hAnsi="方正仿宋_GBK" w:eastAsia="方正仿宋_GBK" w:cs="方正仿宋_GBK"/>
          <w:color w:val="auto"/>
          <w:kern w:val="0"/>
          <w:sz w:val="32"/>
          <w:szCs w:val="32"/>
          <w:shd w:val="clear" w:color="auto" w:fill="FFFFFF"/>
        </w:rPr>
        <w:t>〔2021〕</w:t>
      </w:r>
      <w:r>
        <w:rPr>
          <w:rFonts w:hint="eastAsia" w:ascii="方正仿宋_GBK" w:hAnsi="方正仿宋_GBK" w:eastAsia="方正仿宋_GBK" w:cs="方正仿宋_GBK"/>
          <w:color w:val="auto"/>
          <w:kern w:val="0"/>
          <w:sz w:val="32"/>
          <w:szCs w:val="32"/>
          <w:shd w:val="clear" w:color="auto" w:fill="FFFFFF"/>
          <w:lang w:val="en-US" w:eastAsia="zh-CN"/>
        </w:rPr>
        <w:t>362</w:t>
      </w:r>
      <w:r>
        <w:rPr>
          <w:rFonts w:hint="eastAsia" w:ascii="方正仿宋_GBK" w:hAnsi="方正仿宋_GBK" w:eastAsia="方正仿宋_GBK" w:cs="方正仿宋_GBK"/>
          <w:color w:val="auto"/>
          <w:kern w:val="0"/>
          <w:sz w:val="32"/>
          <w:szCs w:val="32"/>
          <w:shd w:val="clear" w:color="auto" w:fill="FFFFFF"/>
        </w:rPr>
        <w:t>号</w:t>
      </w:r>
      <w:r>
        <w:rPr>
          <w:rFonts w:hint="eastAsia" w:ascii="方正仿宋_GBK" w:hAnsi="方正仿宋_GBK" w:eastAsia="方正仿宋_GBK" w:cs="方正仿宋_GBK"/>
          <w:color w:val="auto"/>
          <w:kern w:val="0"/>
          <w:sz w:val="32"/>
          <w:szCs w:val="32"/>
          <w:shd w:val="clear" w:color="auto" w:fill="FFFFFF"/>
          <w:lang w:eastAsia="zh-CN"/>
        </w:rPr>
        <w:t>）</w:t>
      </w:r>
      <w:r>
        <w:rPr>
          <w:rFonts w:hint="eastAsia" w:ascii="方正仿宋_GBK" w:hAnsi="方正仿宋_GBK" w:eastAsia="方正仿宋_GBK" w:cs="方正仿宋_GBK"/>
          <w:color w:val="auto"/>
          <w:kern w:val="0"/>
          <w:sz w:val="32"/>
          <w:szCs w:val="32"/>
          <w:shd w:val="clear" w:color="auto" w:fill="FFFFFF"/>
        </w:rPr>
        <w:t>要求，</w:t>
      </w:r>
      <w:r>
        <w:rPr>
          <w:rFonts w:hint="eastAsia" w:ascii="方正仿宋_GBK" w:hAnsi="方正仿宋_GBK" w:eastAsia="方正仿宋_GBK" w:cs="方正仿宋_GBK"/>
          <w:color w:val="auto"/>
          <w:kern w:val="0"/>
          <w:sz w:val="32"/>
          <w:szCs w:val="32"/>
          <w:shd w:val="clear" w:color="auto" w:fill="FFFFFF"/>
          <w:lang w:eastAsia="zh-CN"/>
        </w:rPr>
        <w:t>结合我区交通建设实际，</w:t>
      </w:r>
      <w:r>
        <w:rPr>
          <w:rFonts w:hint="eastAsia" w:ascii="方正仿宋_GBK" w:hAnsi="方正仿宋_GBK" w:eastAsia="方正仿宋_GBK" w:cs="方正仿宋_GBK"/>
          <w:color w:val="auto"/>
          <w:kern w:val="0"/>
          <w:sz w:val="32"/>
          <w:szCs w:val="32"/>
          <w:shd w:val="clear" w:color="auto" w:fill="FFFFFF"/>
        </w:rPr>
        <w:t>制定本方案。</w:t>
      </w:r>
    </w:p>
    <w:p>
      <w:pPr>
        <w:ind w:firstLine="640" w:firstLineChars="200"/>
        <w:rPr>
          <w:rFonts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一、工作目标</w:t>
      </w:r>
    </w:p>
    <w:p>
      <w:pPr>
        <w:ind w:firstLine="640" w:firstLineChars="200"/>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以习近平新时代中国特色社会主义思想为指导，以“降总量、控较大”为目标，以大排查大整治大执法为主线，持续深化实施安全生产专项整治三年行动，按照“两重大一突出”专项整治要求，聚焦建设单位首要责任、施工单位主体责任和监理单位监理责任，持续深化“两防”专项整治，严肃查处突出违法行为，实现全年公路水运建设安全事故死亡人数</w:t>
      </w:r>
      <w:r>
        <w:rPr>
          <w:rFonts w:hint="eastAsia" w:ascii="方正仿宋_GBK" w:hAnsi="方正仿宋_GBK" w:eastAsia="方正仿宋_GBK" w:cs="方正仿宋_GBK"/>
          <w:color w:val="auto"/>
          <w:sz w:val="32"/>
          <w:szCs w:val="32"/>
          <w:shd w:val="clear" w:color="auto" w:fill="FFFFFF"/>
          <w:lang w:eastAsia="zh-CN"/>
        </w:rPr>
        <w:t>控制在零目标</w:t>
      </w:r>
      <w:r>
        <w:rPr>
          <w:rFonts w:hint="eastAsia" w:ascii="方正仿宋_GBK" w:hAnsi="方正仿宋_GBK" w:eastAsia="方正仿宋_GBK" w:cs="方正仿宋_GBK"/>
          <w:color w:val="auto"/>
          <w:sz w:val="32"/>
          <w:szCs w:val="32"/>
          <w:shd w:val="clear" w:color="auto" w:fill="FFFFFF"/>
        </w:rPr>
        <w:t>，有效遏制较大事故，杜绝重特大事故，为建党100周年创造良好的安全生产环境。</w:t>
      </w:r>
    </w:p>
    <w:p>
      <w:pPr>
        <w:ind w:firstLine="640" w:firstLineChars="200"/>
        <w:rPr>
          <w:rFonts w:ascii="方正黑体_GBK" w:hAnsi="方正黑体_GBK" w:eastAsia="方正黑体_GBK" w:cs="方正黑体_GBK"/>
          <w:color w:val="auto"/>
          <w:kern w:val="0"/>
          <w:sz w:val="32"/>
          <w:szCs w:val="32"/>
          <w:shd w:val="clear" w:color="auto" w:fill="FFFFFF"/>
        </w:rPr>
      </w:pPr>
      <w:r>
        <w:rPr>
          <w:rFonts w:hint="eastAsia" w:ascii="方正黑体_GBK" w:hAnsi="方正黑体_GBK" w:eastAsia="方正黑体_GBK" w:cs="方正黑体_GBK"/>
          <w:color w:val="auto"/>
          <w:kern w:val="0"/>
          <w:sz w:val="32"/>
          <w:szCs w:val="32"/>
          <w:shd w:val="clear" w:color="auto" w:fill="FFFFFF"/>
        </w:rPr>
        <w:t>二、重点执法内容</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lang w:eastAsia="zh-CN"/>
        </w:rPr>
        <w:t>区交通局公路质量监督站根据</w:t>
      </w:r>
      <w:r>
        <w:rPr>
          <w:rFonts w:hint="eastAsia" w:ascii="方正仿宋_GBK" w:hAnsi="方正仿宋_GBK" w:eastAsia="方正仿宋_GBK" w:cs="方正仿宋_GBK"/>
          <w:color w:val="auto"/>
          <w:kern w:val="0"/>
          <w:sz w:val="32"/>
          <w:szCs w:val="32"/>
          <w:shd w:val="clear" w:color="auto" w:fill="FFFFFF"/>
        </w:rPr>
        <w:t>本实施方案提出的执法重点，结合年度执法计划，常态性开展执法检查，严肃查处突出违法行为。</w:t>
      </w:r>
    </w:p>
    <w:p>
      <w:pPr>
        <w:ind w:firstLine="640" w:firstLineChars="200"/>
        <w:rPr>
          <w:rFonts w:ascii="方正楷体_GBK" w:hAnsi="方正楷体_GBK" w:eastAsia="方正楷体_GBK" w:cs="方正楷体_GBK"/>
          <w:color w:val="auto"/>
          <w:kern w:val="0"/>
          <w:sz w:val="32"/>
          <w:szCs w:val="32"/>
          <w:shd w:val="clear" w:color="auto" w:fill="FFFFFF"/>
        </w:rPr>
      </w:pPr>
      <w:r>
        <w:rPr>
          <w:rFonts w:hint="eastAsia" w:ascii="方正楷体_GBK" w:hAnsi="方正楷体_GBK" w:eastAsia="方正楷体_GBK" w:cs="方正楷体_GBK"/>
          <w:color w:val="auto"/>
          <w:kern w:val="0"/>
          <w:sz w:val="32"/>
          <w:szCs w:val="32"/>
          <w:shd w:val="clear" w:color="auto" w:fill="FFFFFF"/>
        </w:rPr>
        <w:t>（一）建设单位（首要责任）突出违法行为。</w:t>
      </w:r>
    </w:p>
    <w:p>
      <w:pPr>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shd w:val="clear" w:color="auto" w:fill="FFFFFF"/>
        </w:rPr>
        <w:t>1.未执行法定程序和发包制度。一是未取得施工许可或市级重点线性工程未取得质量安全监督提前介入等建设手续擅自开工；二是肢解发包工程、违规指定分包单位。</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2.未保证安全投入。一是未按规定单列和提取安全措施费；二是未及时拨付涉及危大工程措施费；三是未检查安全措施费使用情况。</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3.未保证合理工期和造价。一是盲目压缩造价，确定的施工费用明显不合实际；二是盲目赶工期，调整合同约定工期不调整相应工程费用；三是迫使参建单位简化工序、以“优化”为名降低勘察设计标准。</w:t>
      </w:r>
    </w:p>
    <w:p>
      <w:pPr>
        <w:rPr>
          <w:rFonts w:hint="eastAsia" w:ascii="方正仿宋_GBK" w:hAnsi="方正仿宋_GBK" w:eastAsia="方正仿宋_GBK" w:cs="方正仿宋_GBK"/>
          <w:color w:val="auto"/>
          <w:sz w:val="32"/>
          <w:szCs w:val="32"/>
          <w:shd w:val="clear" w:color="auto" w:fill="FFFFFF"/>
          <w:lang w:eastAsia="zh-CN"/>
        </w:rPr>
      </w:pPr>
      <w:r>
        <w:rPr>
          <w:rFonts w:hint="eastAsia" w:ascii="方正仿宋_GBK" w:hAnsi="方正仿宋_GBK" w:eastAsia="方正仿宋_GBK" w:cs="方正仿宋_GBK"/>
          <w:color w:val="auto"/>
          <w:sz w:val="32"/>
          <w:szCs w:val="32"/>
          <w:shd w:val="clear" w:color="auto" w:fill="FFFFFF"/>
        </w:rPr>
        <w:t>4.未认真防控重大风险。一是未按行业规定开展施工安全风险评估；二是在勘察、设计、施工阶段未全过程组织动态风险管控</w:t>
      </w:r>
      <w:r>
        <w:rPr>
          <w:rFonts w:hint="eastAsia" w:ascii="方正仿宋_GBK" w:hAnsi="方正仿宋_GBK" w:eastAsia="方正仿宋_GBK" w:cs="方正仿宋_GBK"/>
          <w:color w:val="auto"/>
          <w:sz w:val="32"/>
          <w:szCs w:val="32"/>
          <w:shd w:val="clear" w:color="auto" w:fill="FFFFFF"/>
          <w:lang w:eastAsia="zh-CN"/>
        </w:rPr>
        <w:t>。</w:t>
      </w:r>
    </w:p>
    <w:p>
      <w:pPr>
        <w:rPr>
          <w:rFonts w:eastAsia="方正仿宋_GBK"/>
          <w:color w:val="auto"/>
        </w:rPr>
      </w:pPr>
      <w:r>
        <w:rPr>
          <w:rFonts w:hint="eastAsia" w:ascii="方正仿宋_GBK" w:hAnsi="方正仿宋_GBK" w:eastAsia="方正仿宋_GBK" w:cs="方正仿宋_GBK"/>
          <w:color w:val="auto"/>
          <w:kern w:val="0"/>
          <w:sz w:val="32"/>
          <w:szCs w:val="32"/>
          <w:shd w:val="clear" w:color="auto" w:fill="FFFFFF"/>
        </w:rPr>
        <w:t>5.危大工程管控。一是对危大工程不实施全程管理；二是无危大工程辨识清单；三是不督促危大工程隐患整改。</w:t>
      </w:r>
    </w:p>
    <w:p>
      <w:pPr>
        <w:ind w:firstLine="640" w:firstLineChars="200"/>
        <w:rPr>
          <w:rFonts w:ascii="方正楷体_GBK" w:hAnsi="方正楷体_GBK" w:eastAsia="方正楷体_GBK" w:cs="方正楷体_GBK"/>
          <w:color w:val="auto"/>
          <w:kern w:val="0"/>
          <w:sz w:val="32"/>
          <w:szCs w:val="32"/>
          <w:shd w:val="clear" w:color="auto" w:fill="FFFFFF"/>
        </w:rPr>
      </w:pPr>
      <w:r>
        <w:rPr>
          <w:rFonts w:hint="eastAsia" w:ascii="方正楷体_GBK" w:hAnsi="方正楷体_GBK" w:eastAsia="方正楷体_GBK" w:cs="方正楷体_GBK"/>
          <w:color w:val="auto"/>
          <w:kern w:val="0"/>
          <w:sz w:val="32"/>
          <w:szCs w:val="32"/>
          <w:shd w:val="clear" w:color="auto" w:fill="FFFFFF"/>
        </w:rPr>
        <w:t>（二）施工单位（主体责任）突出违法行为。</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1.项目经理履职情况。一是人证不符、存在“挂证”现象；二是合同约定的项目经理未在岗履职；三是签署虚假文件记录；四是危大工程实施时未带班；五是未参加危大工程论证验收和关键节点安全检查；六是未组织“日周月”隐患检查；七是未在日常检查记录、整改报告上签字或由他人代签；八是未取得安全生产考核合格证书的。</w:t>
      </w:r>
    </w:p>
    <w:p>
      <w:pPr>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技术负责人履职情况。一是专项方案明显抄袭或针对性明显不足；二是施工单位技术负责人未对专项方案审核签字；三是专项方案审核签字作假或由他人代签；四是技术负责人未参加专项方案论证；五是擅自修改专项施工方案；六是未进行专项方案技术交底；七是专项方案技术交底记录作假或他人代签。</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3.专职安全员履职情况。一是人、证不符；二是无正当理由不在岗；三是危大工程未在现场监督；四是未开展“日周月”隐患排查；五是“日周月”安全隐患排查记录作假；六是未在安全技术交底记录上签字确认；七是发现危大工程未按方案实施未报告；八是未取得安全生产考核合格证书的。</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4.危大工程管控情况。一是无辨识清单或辨识不全；二是未在施工现场公告清单，未在显著位置公告危大工程风险和应急措施的；三是未编制专项方案或方案明显抄袭；四是专项方案内容不齐全或针对性不足、或未按要求签字盖章。</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5.高处坠落风险防控情况。一是未向作业人员发放质量合格的安全带；二是高处作业人员未使用安全带，或安全带使用不当；三是作业面未设置可靠挂点；四是临边未设置护栏或护栏设置不当；五是洞口未设置盖板、平网等防坠措施；六是攀登、平台、悬空作业未设置有效通道、作业平台和攀登用具。</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6.物体打击风险防控情况。一是未向作业人员发放质量合格的安全帽；二是乱堆乱码和随意抛丢物料材料；三是通道口、集中加工场上方不设防护棚，上下交叉作业未设置有效水平防护；四是通行道路、拆除作业不设警戒线；起吊物下方有人员通行和作业。</w:t>
      </w:r>
    </w:p>
    <w:p>
      <w:pPr>
        <w:ind w:firstLine="640" w:firstLineChars="200"/>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7.坍塌风险防控情况。一是模板支撑体系、起重吊装、安装拆卸、工具式脚手架、悬挑脚手架、爬架、临时栈桥、水下围堰等重点工序存在突出问题，受力部位上超荷载、材料使用上减型号、技术上减参数、方案上减程序；二是深基坑、边坡工程、开挖前掌握不清、开挖中方法不当、开挖后支护不及时、过程中工序衔接不紧。</w:t>
      </w:r>
    </w:p>
    <w:p>
      <w:pPr>
        <w:ind w:firstLine="640" w:firstLineChars="200"/>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8.触电风险防控情况。一是现场临时用电未采用规范规定的供配电系统的；二是开关箱各分支回路未设置具有短路、过负荷、剩余电流动作保护功能的电器的；三是动力开关箱与照明开关箱没有分设的；四是移动式配电箱、开关箱的进出线有接头的；五是搅拌机械、加工机械等用电设备的负荷线有破损和接头的；六是用电设备外露可导电部分未有效连接PE保护导体的。</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9.起重伤害防控情况。一是起重吊装作业无人指挥或无资格证书人员进行指挥的；二是现场使用的起重机械存在“以小标大、以大标小、以旧代新、标准节混装、非原厂制造等违反相关技术规范行为的；三是无方案组织实施安装、拆卸、顶升等作业；四是违规组织实施安装、拆卸、顶升、起吊等作业行为的。</w:t>
      </w:r>
    </w:p>
    <w:p>
      <w:pPr>
        <w:rPr>
          <w:rFonts w:hAnsi="方正仿宋_GBK" w:eastAsia="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车辆伤害防控情况。一是工程车辆超载超限、人货混装、超员载人、无牌无证；二是驾驶人员无证驾驶、准驾不符、超速行驶；三是通行区域未落实人车分流；四是多车通行和倒车时无人指挥；五是隧道内灯光不好情形下通行；六是施工便道不符合规范要求；七是各类工程车辆现场交叉作业时无专人指挥。</w:t>
      </w:r>
    </w:p>
    <w:p>
      <w:pPr>
        <w:ind w:firstLine="640" w:firstLineChars="200"/>
        <w:rPr>
          <w:rFonts w:ascii="方正楷体_GBK" w:hAnsi="方正楷体_GBK" w:eastAsia="方正楷体_GBK" w:cs="方正楷体_GBK"/>
          <w:color w:val="auto"/>
          <w:kern w:val="0"/>
          <w:sz w:val="32"/>
          <w:szCs w:val="32"/>
          <w:shd w:val="clear" w:color="auto" w:fill="FFFFFF"/>
        </w:rPr>
      </w:pPr>
      <w:r>
        <w:rPr>
          <w:rFonts w:hint="eastAsia" w:ascii="方正楷体_GBK" w:hAnsi="方正楷体_GBK" w:eastAsia="方正楷体_GBK" w:cs="方正楷体_GBK"/>
          <w:color w:val="auto"/>
          <w:kern w:val="0"/>
          <w:sz w:val="32"/>
          <w:szCs w:val="32"/>
          <w:shd w:val="clear" w:color="auto" w:fill="FFFFFF"/>
        </w:rPr>
        <w:t>（三）监理单位（监理责任）突出违法行为。</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1.危大工程管控情况。一是未将危大工程列入监理实施细则；二是未按规定审核专项方案；三是未对危大工程实施现场监理；四是未对超规模危大工程实施旁站监理；五是发现危大工程隐患未督促整改或发出停工指令。</w:t>
      </w:r>
    </w:p>
    <w:p>
      <w:pPr>
        <w:ind w:firstLine="640" w:firstLineChars="200"/>
        <w:rPr>
          <w:rFonts w:hAnsi="方正仿宋_GBK" w:eastAsia="方正仿宋_GBK"/>
          <w:color w:val="auto"/>
          <w:kern w:val="0"/>
          <w:sz w:val="32"/>
          <w:szCs w:val="32"/>
          <w:shd w:val="clear" w:color="auto" w:fill="FFFFFF"/>
        </w:rPr>
      </w:pPr>
      <w:r>
        <w:rPr>
          <w:rFonts w:hint="eastAsia" w:ascii="方正仿宋_GBK" w:hAnsi="方正仿宋_GBK" w:eastAsia="方正仿宋_GBK" w:cs="方正仿宋_GBK"/>
          <w:color w:val="auto"/>
          <w:kern w:val="0"/>
          <w:sz w:val="32"/>
          <w:szCs w:val="32"/>
          <w:shd w:val="clear" w:color="auto" w:fill="FFFFFF"/>
        </w:rPr>
        <w:t>2.监理工程师履职情况。一是现场人员与合同备案不符；二是未配置安全监理工程师、无危大工程监理细则、无安全监理日志；三是专项方案未经总监理工程师审查签字、加盖执业印章；四是未参加危大工程论证、验收；五是发现施工单位未按照专项施工方案实施，未要求其整改或者停工的。</w:t>
      </w:r>
    </w:p>
    <w:p>
      <w:pPr>
        <w:ind w:firstLine="640" w:firstLineChars="200"/>
        <w:rPr>
          <w:rFonts w:ascii="方正黑体_GBK" w:hAnsi="方正仿宋_GBK" w:eastAsia="方正黑体_GBK"/>
          <w:color w:val="auto"/>
          <w:kern w:val="0"/>
          <w:sz w:val="32"/>
          <w:szCs w:val="32"/>
          <w:shd w:val="clear" w:color="auto" w:fill="FFFFFF"/>
        </w:rPr>
      </w:pPr>
      <w:r>
        <w:rPr>
          <w:rFonts w:hint="eastAsia" w:ascii="方正黑体_GBK" w:hAnsi="方正仿宋_GBK" w:eastAsia="方正黑体_GBK"/>
          <w:color w:val="auto"/>
          <w:kern w:val="0"/>
          <w:sz w:val="32"/>
          <w:szCs w:val="32"/>
          <w:shd w:val="clear" w:color="auto" w:fill="FFFFFF"/>
        </w:rPr>
        <w:t>三、集中执法行动</w:t>
      </w:r>
    </w:p>
    <w:p>
      <w:pPr>
        <w:ind w:firstLine="640" w:firstLineChars="200"/>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在常态执法基础上，针对重点时段，开展5轮为期一周的集中执法行动（简称“建安”行动）。“建安”行动期间，</w:t>
      </w:r>
      <w:r>
        <w:rPr>
          <w:rFonts w:hint="eastAsia" w:ascii="方正仿宋_GBK" w:hAnsi="方正仿宋_GBK" w:eastAsia="方正仿宋_GBK" w:cs="方正仿宋_GBK"/>
          <w:color w:val="auto"/>
          <w:kern w:val="0"/>
          <w:sz w:val="32"/>
          <w:szCs w:val="32"/>
          <w:shd w:val="clear" w:color="auto" w:fill="FFFFFF"/>
          <w:lang w:eastAsia="zh-CN"/>
        </w:rPr>
        <w:t>区公路质监站</w:t>
      </w:r>
      <w:r>
        <w:rPr>
          <w:rFonts w:hint="eastAsia" w:ascii="方正仿宋_GBK" w:hAnsi="方正仿宋_GBK" w:eastAsia="方正仿宋_GBK" w:cs="方正仿宋_GBK"/>
          <w:color w:val="auto"/>
          <w:sz w:val="32"/>
          <w:szCs w:val="32"/>
          <w:shd w:val="clear" w:color="auto" w:fill="FFFFFF"/>
        </w:rPr>
        <w:t>所有执法人员必须全员进现场、找问题、开罚单，有力震慑违法行为。</w:t>
      </w:r>
    </w:p>
    <w:p>
      <w:pPr>
        <w:ind w:firstLine="640" w:firstLineChars="200"/>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（一）“建安”一号。</w:t>
      </w:r>
      <w:r>
        <w:rPr>
          <w:rFonts w:hint="eastAsia" w:ascii="方正仿宋_GBK" w:hAnsi="方正仿宋_GBK" w:eastAsia="方正仿宋_GBK" w:cs="方正仿宋_GBK"/>
          <w:color w:val="auto"/>
          <w:sz w:val="32"/>
          <w:szCs w:val="32"/>
        </w:rPr>
        <w:t>定于全国两会期间，即3月4日至3月10日。</w:t>
      </w:r>
    </w:p>
    <w:p>
      <w:pPr>
        <w:ind w:firstLine="640" w:firstLineChars="200"/>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（二）“建安”二号。</w:t>
      </w:r>
      <w:r>
        <w:rPr>
          <w:rFonts w:hint="eastAsia" w:ascii="方正仿宋_GBK" w:hAnsi="方正仿宋_GBK" w:eastAsia="方正仿宋_GBK" w:cs="方正仿宋_GBK"/>
          <w:color w:val="auto"/>
          <w:sz w:val="32"/>
          <w:szCs w:val="32"/>
        </w:rPr>
        <w:t>定于“高温汛期夯基础”时段，即5月10日至5月14日。</w:t>
      </w:r>
    </w:p>
    <w:p>
      <w:pPr>
        <w:ind w:firstLine="640" w:firstLineChars="200"/>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（三）“建安”三号。</w:t>
      </w:r>
      <w:r>
        <w:rPr>
          <w:rFonts w:hint="eastAsia" w:ascii="方正仿宋_GBK" w:hAnsi="方正仿宋_GBK" w:eastAsia="方正仿宋_GBK" w:cs="方正仿宋_GBK"/>
          <w:color w:val="auto"/>
          <w:sz w:val="32"/>
          <w:szCs w:val="32"/>
        </w:rPr>
        <w:t>定于“建党100周年”重要时段，即6月28日至7月2日。</w:t>
      </w:r>
    </w:p>
    <w:p>
      <w:pPr>
        <w:ind w:firstLine="640" w:firstLineChars="200"/>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（四）“建安”四号。</w:t>
      </w:r>
      <w:r>
        <w:rPr>
          <w:rFonts w:hint="eastAsia" w:ascii="方正仿宋_GBK" w:hAnsi="方正仿宋_GBK" w:eastAsia="方正仿宋_GBK" w:cs="方正仿宋_GBK"/>
          <w:color w:val="auto"/>
          <w:sz w:val="32"/>
          <w:szCs w:val="32"/>
        </w:rPr>
        <w:t>定于“中秋、国庆”长假时段，即9月13日至9月17日。</w:t>
      </w:r>
    </w:p>
    <w:p>
      <w:pPr>
        <w:ind w:firstLine="640" w:firstLineChars="200"/>
        <w:rPr>
          <w:rFonts w:ascii="方正仿宋_GBK" w:eastAsia="方正仿宋_GBK"/>
          <w:color w:val="auto"/>
          <w:sz w:val="32"/>
          <w:szCs w:val="32"/>
        </w:rPr>
      </w:pPr>
      <w:r>
        <w:rPr>
          <w:rFonts w:hint="eastAsia" w:ascii="方正楷体_GBK" w:hAnsi="方正楷体_GBK" w:eastAsia="方正楷体_GBK" w:cs="方正楷体_GBK"/>
          <w:color w:val="auto"/>
          <w:sz w:val="32"/>
          <w:szCs w:val="32"/>
        </w:rPr>
        <w:t>（五）“建安”五号。</w:t>
      </w:r>
      <w:r>
        <w:rPr>
          <w:rFonts w:hint="eastAsia" w:ascii="方正仿宋_GBK" w:hAnsi="方正仿宋_GBK" w:eastAsia="方正仿宋_GBK" w:cs="方正仿宋_GBK"/>
          <w:color w:val="auto"/>
          <w:sz w:val="32"/>
          <w:szCs w:val="32"/>
        </w:rPr>
        <w:t>定于“年末赶进度、抢工期”时段，即11月1日至11月5日。</w:t>
      </w:r>
    </w:p>
    <w:p>
      <w:pPr>
        <w:ind w:firstLine="640" w:firstLineChars="200"/>
        <w:rPr>
          <w:rFonts w:ascii="方正黑体_GBK" w:hAnsi="方正黑体_GBK" w:eastAsia="方正黑体_GBK" w:cs="方正黑体_GBK"/>
          <w:color w:val="auto"/>
          <w:kern w:val="0"/>
          <w:sz w:val="32"/>
          <w:szCs w:val="32"/>
          <w:shd w:val="clear" w:color="auto" w:fill="FFFFFF"/>
        </w:rPr>
      </w:pPr>
      <w:r>
        <w:rPr>
          <w:rFonts w:hint="eastAsia" w:ascii="方正黑体_GBK" w:hAnsi="方正黑体_GBK" w:eastAsia="方正黑体_GBK" w:cs="方正黑体_GBK"/>
          <w:color w:val="auto"/>
          <w:kern w:val="0"/>
          <w:sz w:val="32"/>
          <w:szCs w:val="32"/>
          <w:shd w:val="clear" w:color="auto" w:fill="FFFFFF"/>
        </w:rPr>
        <w:t>四、保障措施</w:t>
      </w:r>
    </w:p>
    <w:p>
      <w:pPr>
        <w:ind w:firstLine="640" w:firstLineChars="200"/>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（一）每月调度执法情况。</w:t>
      </w:r>
      <w:r>
        <w:rPr>
          <w:rFonts w:hint="eastAsia" w:ascii="方正仿宋_GBK" w:hAnsi="方正仿宋_GBK" w:eastAsia="方正仿宋_GBK" w:cs="方正仿宋_GBK"/>
          <w:color w:val="auto"/>
          <w:kern w:val="0"/>
          <w:sz w:val="32"/>
          <w:szCs w:val="32"/>
          <w:shd w:val="clear" w:color="auto" w:fill="FFFFFF"/>
          <w:lang w:eastAsia="zh-CN"/>
        </w:rPr>
        <w:t>区</w:t>
      </w:r>
      <w:r>
        <w:rPr>
          <w:rFonts w:hint="eastAsia" w:ascii="方正仿宋_GBK" w:hAnsi="方正仿宋_GBK" w:eastAsia="方正仿宋_GBK" w:cs="方正仿宋_GBK"/>
          <w:color w:val="auto"/>
          <w:sz w:val="32"/>
          <w:szCs w:val="32"/>
          <w:lang w:eastAsia="zh-CN"/>
        </w:rPr>
        <w:t>交通局</w:t>
      </w:r>
      <w:r>
        <w:rPr>
          <w:rFonts w:hint="eastAsia" w:ascii="方正仿宋_GBK" w:hAnsi="方正仿宋_GBK" w:eastAsia="方正仿宋_GBK" w:cs="方正仿宋_GBK"/>
          <w:color w:val="auto"/>
          <w:kern w:val="0"/>
          <w:sz w:val="32"/>
          <w:szCs w:val="32"/>
          <w:shd w:val="clear" w:color="auto" w:fill="FFFFFF"/>
          <w:lang w:eastAsia="zh-CN"/>
        </w:rPr>
        <w:t>公路质量监督站</w:t>
      </w:r>
      <w:r>
        <w:rPr>
          <w:rFonts w:hint="eastAsia" w:ascii="方正仿宋_GBK" w:hAnsi="方正仿宋_GBK" w:eastAsia="方正仿宋_GBK" w:cs="方正仿宋_GBK"/>
          <w:color w:val="auto"/>
          <w:kern w:val="0"/>
          <w:sz w:val="32"/>
          <w:szCs w:val="32"/>
          <w:shd w:val="clear" w:color="auto" w:fill="FFFFFF"/>
        </w:rPr>
        <w:t>每月2</w:t>
      </w:r>
      <w:r>
        <w:rPr>
          <w:rFonts w:hint="eastAsia" w:ascii="方正仿宋_GBK" w:hAnsi="方正仿宋_GBK" w:eastAsia="方正仿宋_GBK" w:cs="方正仿宋_GBK"/>
          <w:color w:val="auto"/>
          <w:kern w:val="0"/>
          <w:sz w:val="32"/>
          <w:szCs w:val="32"/>
          <w:shd w:val="clear" w:color="auto" w:fill="FFFFFF"/>
          <w:lang w:val="en-US" w:eastAsia="zh-CN"/>
        </w:rPr>
        <w:t>0</w:t>
      </w:r>
      <w:r>
        <w:rPr>
          <w:rFonts w:hint="eastAsia" w:ascii="方正仿宋_GBK" w:hAnsi="方正仿宋_GBK" w:eastAsia="方正仿宋_GBK" w:cs="方正仿宋_GBK"/>
          <w:color w:val="auto"/>
          <w:kern w:val="0"/>
          <w:sz w:val="32"/>
          <w:szCs w:val="32"/>
          <w:shd w:val="clear" w:color="auto" w:fill="FFFFFF"/>
        </w:rPr>
        <w:t>日前将执法工作情况和《</w:t>
      </w:r>
      <w:r>
        <w:rPr>
          <w:rFonts w:hint="eastAsia" w:ascii="方正仿宋_GBK" w:hAnsi="方正仿宋_GBK" w:eastAsia="方正仿宋_GBK" w:cs="方正仿宋_GBK"/>
          <w:color w:val="auto"/>
          <w:sz w:val="32"/>
          <w:szCs w:val="32"/>
        </w:rPr>
        <w:t>2021年全</w:t>
      </w:r>
      <w:r>
        <w:rPr>
          <w:rFonts w:hint="eastAsia" w:ascii="方正仿宋_GBK" w:hAnsi="方正仿宋_GBK" w:eastAsia="方正仿宋_GBK" w:cs="方正仿宋_GBK"/>
          <w:color w:val="auto"/>
          <w:sz w:val="32"/>
          <w:szCs w:val="32"/>
          <w:lang w:eastAsia="zh-CN"/>
        </w:rPr>
        <w:t>区</w:t>
      </w:r>
      <w:r>
        <w:rPr>
          <w:rFonts w:hint="eastAsia" w:ascii="方正仿宋_GBK" w:hAnsi="方正仿宋_GBK" w:eastAsia="方正仿宋_GBK" w:cs="方正仿宋_GBK"/>
          <w:color w:val="auto"/>
          <w:sz w:val="32"/>
          <w:szCs w:val="32"/>
        </w:rPr>
        <w:t>公路水运工程</w:t>
      </w:r>
      <w:r>
        <w:rPr>
          <w:rFonts w:hint="eastAsia" w:ascii="方正仿宋_GBK" w:hAnsi="方正仿宋_GBK" w:eastAsia="方正仿宋_GBK" w:cs="方正仿宋_GBK"/>
          <w:color w:val="auto"/>
          <w:kern w:val="0"/>
          <w:sz w:val="32"/>
          <w:szCs w:val="32"/>
          <w:shd w:val="clear" w:color="auto" w:fill="FFFFFF"/>
        </w:rPr>
        <w:t>建设安全突出违法行为集中执法行动</w:t>
      </w:r>
      <w:r>
        <w:rPr>
          <w:rFonts w:hint="eastAsia" w:ascii="方正仿宋_GBK" w:hAnsi="方正仿宋_GBK" w:eastAsia="方正仿宋_GBK" w:cs="方正仿宋_GBK"/>
          <w:color w:val="auto"/>
          <w:sz w:val="32"/>
          <w:szCs w:val="32"/>
        </w:rPr>
        <w:t>情况汇总表</w:t>
      </w:r>
      <w:r>
        <w:rPr>
          <w:rFonts w:hint="eastAsia" w:ascii="方正仿宋_GBK" w:hAnsi="方正仿宋_GBK" w:eastAsia="方正仿宋_GBK" w:cs="方正仿宋_GBK"/>
          <w:color w:val="auto"/>
          <w:kern w:val="0"/>
          <w:sz w:val="32"/>
          <w:szCs w:val="32"/>
          <w:shd w:val="clear" w:color="auto" w:fill="FFFFFF"/>
        </w:rPr>
        <w:t>》（见附件）、12月</w:t>
      </w:r>
      <w:r>
        <w:rPr>
          <w:rFonts w:hint="eastAsia" w:ascii="方正仿宋_GBK" w:hAnsi="方正仿宋_GBK" w:eastAsia="方正仿宋_GBK" w:cs="方正仿宋_GBK"/>
          <w:color w:val="auto"/>
          <w:kern w:val="0"/>
          <w:sz w:val="32"/>
          <w:szCs w:val="32"/>
          <w:shd w:val="clear" w:color="auto" w:fill="FFFFFF"/>
          <w:lang w:val="en-US" w:eastAsia="zh-CN"/>
        </w:rPr>
        <w:t>15</w:t>
      </w:r>
      <w:r>
        <w:rPr>
          <w:rFonts w:hint="eastAsia" w:ascii="方正仿宋_GBK" w:hAnsi="方正仿宋_GBK" w:eastAsia="方正仿宋_GBK" w:cs="方正仿宋_GBK"/>
          <w:color w:val="auto"/>
          <w:kern w:val="0"/>
          <w:sz w:val="32"/>
          <w:szCs w:val="32"/>
          <w:shd w:val="clear" w:color="auto" w:fill="FFFFFF"/>
        </w:rPr>
        <w:t>日前将工作总结报</w:t>
      </w:r>
      <w:r>
        <w:rPr>
          <w:rFonts w:hint="eastAsia" w:ascii="方正仿宋_GBK" w:hAnsi="方正仿宋_GBK" w:eastAsia="方正仿宋_GBK" w:cs="方正仿宋_GBK"/>
          <w:color w:val="auto"/>
          <w:kern w:val="0"/>
          <w:sz w:val="32"/>
          <w:szCs w:val="32"/>
          <w:shd w:val="clear" w:color="auto" w:fill="FFFFFF"/>
          <w:lang w:eastAsia="zh-CN"/>
        </w:rPr>
        <w:t>局法安科</w:t>
      </w:r>
      <w:r>
        <w:rPr>
          <w:rFonts w:hint="eastAsia" w:ascii="方正仿宋_GBK" w:hAnsi="方正仿宋_GBK" w:eastAsia="方正仿宋_GBK" w:cs="方正仿宋_GBK"/>
          <w:color w:val="auto"/>
          <w:kern w:val="0"/>
          <w:sz w:val="32"/>
          <w:szCs w:val="32"/>
          <w:shd w:val="clear" w:color="auto" w:fill="FFFFFF"/>
        </w:rPr>
        <w:t>（联系人：</w:t>
      </w:r>
      <w:r>
        <w:rPr>
          <w:rFonts w:hint="eastAsia" w:ascii="方正仿宋_GBK" w:hAnsi="方正仿宋_GBK" w:eastAsia="方正仿宋_GBK" w:cs="方正仿宋_GBK"/>
          <w:color w:val="auto"/>
          <w:kern w:val="0"/>
          <w:sz w:val="32"/>
          <w:szCs w:val="32"/>
          <w:shd w:val="clear" w:color="auto" w:fill="FFFFFF"/>
          <w:lang w:eastAsia="zh-CN"/>
        </w:rPr>
        <w:t>徐言</w:t>
      </w:r>
      <w:r>
        <w:rPr>
          <w:rFonts w:hint="eastAsia" w:ascii="方正仿宋_GBK" w:hAnsi="方正仿宋_GBK" w:eastAsia="方正仿宋_GBK" w:cs="方正仿宋_GBK"/>
          <w:color w:val="auto"/>
          <w:kern w:val="0"/>
          <w:sz w:val="32"/>
          <w:szCs w:val="32"/>
          <w:shd w:val="clear" w:color="auto" w:fill="FFFFFF"/>
        </w:rPr>
        <w:t>，联系电话：</w:t>
      </w:r>
      <w:r>
        <w:rPr>
          <w:rFonts w:hint="eastAsia" w:ascii="方正仿宋_GBK" w:hAnsi="方正仿宋_GBK" w:eastAsia="方正仿宋_GBK" w:cs="方正仿宋_GBK"/>
          <w:color w:val="auto"/>
          <w:kern w:val="0"/>
          <w:sz w:val="32"/>
          <w:szCs w:val="32"/>
          <w:shd w:val="clear" w:color="auto" w:fill="FFFFFF"/>
          <w:lang w:val="en-US" w:eastAsia="zh-CN"/>
        </w:rPr>
        <w:t>45681934</w:t>
      </w:r>
      <w:r>
        <w:rPr>
          <w:rFonts w:hint="eastAsia" w:ascii="方正仿宋_GBK" w:hAnsi="方正仿宋_GBK" w:eastAsia="方正仿宋_GBK" w:cs="方正仿宋_GBK"/>
          <w:color w:val="auto"/>
          <w:kern w:val="0"/>
          <w:sz w:val="32"/>
          <w:szCs w:val="32"/>
          <w:shd w:val="clear" w:color="auto" w:fill="FFFFFF"/>
        </w:rPr>
        <w:t>）；</w:t>
      </w:r>
      <w:r>
        <w:rPr>
          <w:rFonts w:hint="eastAsia" w:ascii="方正仿宋_GBK" w:hAnsi="方正仿宋_GBK" w:eastAsia="方正仿宋_GBK" w:cs="方正仿宋_GBK"/>
          <w:color w:val="auto"/>
          <w:kern w:val="0"/>
          <w:sz w:val="32"/>
          <w:szCs w:val="32"/>
          <w:shd w:val="clear" w:color="auto" w:fill="FFFFFF"/>
          <w:lang w:eastAsia="zh-CN"/>
        </w:rPr>
        <w:t>局法安科</w:t>
      </w:r>
      <w:r>
        <w:rPr>
          <w:rFonts w:hint="eastAsia" w:ascii="方正仿宋_GBK" w:hAnsi="方正仿宋_GBK" w:eastAsia="方正仿宋_GBK" w:cs="方正仿宋_GBK"/>
          <w:color w:val="auto"/>
          <w:kern w:val="0"/>
          <w:sz w:val="32"/>
          <w:szCs w:val="32"/>
          <w:shd w:val="clear" w:color="auto" w:fill="FFFFFF"/>
        </w:rPr>
        <w:t>及时汇总全</w:t>
      </w:r>
      <w:r>
        <w:rPr>
          <w:rFonts w:hint="eastAsia" w:ascii="方正仿宋_GBK" w:hAnsi="方正仿宋_GBK" w:eastAsia="方正仿宋_GBK" w:cs="方正仿宋_GBK"/>
          <w:color w:val="auto"/>
          <w:kern w:val="0"/>
          <w:sz w:val="32"/>
          <w:szCs w:val="32"/>
          <w:shd w:val="clear" w:color="auto" w:fill="FFFFFF"/>
          <w:lang w:eastAsia="zh-CN"/>
        </w:rPr>
        <w:t>区</w:t>
      </w:r>
      <w:r>
        <w:rPr>
          <w:rFonts w:hint="eastAsia" w:ascii="方正仿宋_GBK" w:hAnsi="方正仿宋_GBK" w:eastAsia="方正仿宋_GBK" w:cs="方正仿宋_GBK"/>
          <w:color w:val="auto"/>
          <w:kern w:val="0"/>
          <w:sz w:val="32"/>
          <w:szCs w:val="32"/>
          <w:shd w:val="clear" w:color="auto" w:fill="FFFFFF"/>
        </w:rPr>
        <w:t>数据、材料形成书面报告和</w:t>
      </w:r>
      <w:r>
        <w:rPr>
          <w:rFonts w:hint="eastAsia" w:ascii="方正仿宋_GBK" w:hAnsi="方正仿宋_GBK" w:eastAsia="方正仿宋_GBK" w:cs="方正仿宋_GBK"/>
          <w:color w:val="auto"/>
          <w:sz w:val="32"/>
          <w:szCs w:val="32"/>
        </w:rPr>
        <w:t>汇总表</w:t>
      </w:r>
      <w:r>
        <w:rPr>
          <w:rFonts w:hint="eastAsia" w:ascii="方正仿宋_GBK" w:hAnsi="方正仿宋_GBK" w:eastAsia="方正仿宋_GBK" w:cs="方正仿宋_GBK"/>
          <w:color w:val="auto"/>
          <w:kern w:val="0"/>
          <w:sz w:val="32"/>
          <w:szCs w:val="32"/>
          <w:shd w:val="clear" w:color="auto" w:fill="FFFFFF"/>
        </w:rPr>
        <w:t>，于每月</w:t>
      </w:r>
      <w:r>
        <w:rPr>
          <w:rFonts w:hint="eastAsia" w:ascii="方正仿宋_GBK" w:hAnsi="方正仿宋_GBK" w:eastAsia="方正仿宋_GBK" w:cs="方正仿宋_GBK"/>
          <w:color w:val="auto"/>
          <w:kern w:val="0"/>
          <w:sz w:val="32"/>
          <w:szCs w:val="32"/>
          <w:shd w:val="clear" w:color="auto" w:fill="FFFFFF"/>
          <w:lang w:val="en-US" w:eastAsia="zh-CN"/>
        </w:rPr>
        <w:t>22</w:t>
      </w:r>
      <w:r>
        <w:rPr>
          <w:rFonts w:hint="eastAsia" w:ascii="方正仿宋_GBK" w:hAnsi="方正仿宋_GBK" w:eastAsia="方正仿宋_GBK" w:cs="方正仿宋_GBK"/>
          <w:color w:val="auto"/>
          <w:kern w:val="0"/>
          <w:sz w:val="32"/>
          <w:szCs w:val="32"/>
          <w:shd w:val="clear" w:color="auto" w:fill="FFFFFF"/>
        </w:rPr>
        <w:t>日前、12月</w:t>
      </w:r>
      <w:r>
        <w:rPr>
          <w:rFonts w:hint="eastAsia" w:ascii="方正仿宋_GBK" w:hAnsi="方正仿宋_GBK" w:eastAsia="方正仿宋_GBK" w:cs="方正仿宋_GBK"/>
          <w:color w:val="auto"/>
          <w:kern w:val="0"/>
          <w:sz w:val="32"/>
          <w:szCs w:val="32"/>
          <w:shd w:val="clear" w:color="auto" w:fill="FFFFFF"/>
          <w:lang w:val="en-US" w:eastAsia="zh-CN"/>
        </w:rPr>
        <w:t>22</w:t>
      </w:r>
      <w:r>
        <w:rPr>
          <w:rFonts w:hint="eastAsia" w:ascii="方正仿宋_GBK" w:hAnsi="方正仿宋_GBK" w:eastAsia="方正仿宋_GBK" w:cs="方正仿宋_GBK"/>
          <w:color w:val="auto"/>
          <w:kern w:val="0"/>
          <w:sz w:val="32"/>
          <w:szCs w:val="32"/>
          <w:shd w:val="clear" w:color="auto" w:fill="FFFFFF"/>
        </w:rPr>
        <w:t>日前报市交通</w:t>
      </w:r>
      <w:r>
        <w:rPr>
          <w:rFonts w:hint="eastAsia" w:ascii="方正仿宋_GBK" w:hAnsi="方正仿宋_GBK" w:eastAsia="方正仿宋_GBK" w:cs="方正仿宋_GBK"/>
          <w:color w:val="auto"/>
          <w:kern w:val="0"/>
          <w:sz w:val="32"/>
          <w:szCs w:val="32"/>
          <w:shd w:val="clear" w:color="auto" w:fill="FFFFFF"/>
          <w:lang w:eastAsia="zh-CN"/>
        </w:rPr>
        <w:t>执法总队</w:t>
      </w:r>
      <w:r>
        <w:rPr>
          <w:rFonts w:hint="eastAsia" w:ascii="方正仿宋_GBK" w:hAnsi="方正仿宋_GBK" w:eastAsia="方正仿宋_GBK" w:cs="方正仿宋_GBK"/>
          <w:color w:val="auto"/>
          <w:kern w:val="0"/>
          <w:sz w:val="32"/>
          <w:szCs w:val="32"/>
          <w:shd w:val="clear" w:color="auto" w:fill="FFFFFF"/>
        </w:rPr>
        <w:t>。</w:t>
      </w:r>
    </w:p>
    <w:p>
      <w:pPr>
        <w:ind w:firstLine="640" w:firstLineChars="200"/>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（二）半年曝光典型案件。</w:t>
      </w:r>
      <w:r>
        <w:rPr>
          <w:rFonts w:hint="eastAsia" w:ascii="方正楷体_GBK" w:hAnsi="方正楷体_GBK" w:eastAsia="方正楷体_GBK" w:cs="方正楷体_GBK"/>
          <w:color w:val="auto"/>
          <w:sz w:val="32"/>
          <w:szCs w:val="32"/>
          <w:lang w:eastAsia="zh-CN"/>
        </w:rPr>
        <w:t>各单位要</w:t>
      </w:r>
      <w:r>
        <w:rPr>
          <w:rFonts w:hint="eastAsia" w:ascii="方正仿宋_GBK" w:hAnsi="方正仿宋_GBK" w:eastAsia="方正仿宋_GBK" w:cs="方正仿宋_GBK"/>
          <w:color w:val="auto"/>
          <w:kern w:val="0"/>
          <w:sz w:val="32"/>
          <w:szCs w:val="32"/>
          <w:shd w:val="clear" w:color="auto" w:fill="FFFFFF"/>
        </w:rPr>
        <w:t>通过各种媒介广泛宣传，营造严格执法氛围，做到违法行为“有警示”、典型案件“有曝光”、施工企业“有培训”、项目现场“有标语”。</w:t>
      </w:r>
      <w:r>
        <w:rPr>
          <w:rFonts w:hint="eastAsia" w:ascii="方正仿宋_GBK" w:hAnsi="方正仿宋_GBK" w:eastAsia="方正仿宋_GBK" w:cs="方正仿宋_GBK"/>
          <w:color w:val="auto"/>
          <w:kern w:val="0"/>
          <w:sz w:val="32"/>
          <w:szCs w:val="32"/>
          <w:shd w:val="clear" w:color="auto" w:fill="FFFFFF"/>
          <w:lang w:eastAsia="zh-CN"/>
        </w:rPr>
        <w:t>区</w:t>
      </w:r>
      <w:r>
        <w:rPr>
          <w:rFonts w:hint="eastAsia" w:ascii="方正仿宋_GBK" w:hAnsi="方正仿宋_GBK" w:eastAsia="方正仿宋_GBK" w:cs="方正仿宋_GBK"/>
          <w:color w:val="auto"/>
          <w:sz w:val="32"/>
          <w:szCs w:val="32"/>
          <w:lang w:eastAsia="zh-CN"/>
        </w:rPr>
        <w:t>交通局</w:t>
      </w:r>
      <w:bookmarkStart w:id="0" w:name="_GoBack"/>
      <w:bookmarkEnd w:id="0"/>
      <w:r>
        <w:rPr>
          <w:rFonts w:hint="eastAsia" w:ascii="方正仿宋_GBK" w:hAnsi="方正仿宋_GBK" w:eastAsia="方正仿宋_GBK" w:cs="方正仿宋_GBK"/>
          <w:color w:val="auto"/>
          <w:sz w:val="32"/>
          <w:szCs w:val="32"/>
          <w:lang w:eastAsia="zh-CN"/>
        </w:rPr>
        <w:t>每季度向市交通行政执法支队</w:t>
      </w:r>
      <w:r>
        <w:rPr>
          <w:rFonts w:hint="eastAsia" w:ascii="方正仿宋_GBK" w:hAnsi="方正仿宋_GBK" w:eastAsia="方正仿宋_GBK" w:cs="方正仿宋_GBK"/>
          <w:color w:val="auto"/>
          <w:kern w:val="0"/>
          <w:sz w:val="32"/>
          <w:szCs w:val="32"/>
          <w:shd w:val="clear" w:color="auto" w:fill="FFFFFF"/>
        </w:rPr>
        <w:t>报送不少于1件典型案件公开曝光信息。</w:t>
      </w:r>
    </w:p>
    <w:p>
      <w:pPr>
        <w:ind w:firstLine="640" w:firstLineChars="200"/>
        <w:rPr>
          <w:rFonts w:hint="eastAsia" w:ascii="方正仿宋_GBK" w:hAnsi="方正仿宋_GBK" w:eastAsia="方正仿宋_GBK" w:cs="方正仿宋_GBK"/>
          <w:color w:val="auto"/>
          <w:kern w:val="0"/>
          <w:sz w:val="32"/>
          <w:szCs w:val="32"/>
          <w:shd w:val="clear" w:color="auto" w:fill="FFFFFF"/>
        </w:rPr>
      </w:pPr>
      <w:r>
        <w:rPr>
          <w:rFonts w:hint="eastAsia" w:ascii="方正楷体_GBK" w:hAnsi="方正楷体_GBK" w:eastAsia="方正楷体_GBK" w:cs="方正楷体_GBK"/>
          <w:color w:val="auto"/>
          <w:sz w:val="32"/>
          <w:szCs w:val="32"/>
        </w:rPr>
        <w:t>（三）适时警示约谈督办。</w:t>
      </w:r>
      <w:r>
        <w:rPr>
          <w:rFonts w:hint="eastAsia" w:ascii="方正仿宋_GBK" w:hAnsi="方正仿宋_GBK" w:eastAsia="方正仿宋_GBK" w:cs="方正仿宋_GBK"/>
          <w:color w:val="auto"/>
          <w:kern w:val="0"/>
          <w:sz w:val="32"/>
          <w:szCs w:val="32"/>
          <w:shd w:val="clear" w:color="auto" w:fill="FFFFFF"/>
        </w:rPr>
        <w:t>要坚持重拳出击严格监管，对事故多发、问题较多的重点企业、重点项目，实施警示约谈和挂牌督办；对不具备安全生产条件的，依法</w:t>
      </w:r>
      <w:r>
        <w:rPr>
          <w:rFonts w:hint="eastAsia" w:ascii="方正仿宋_GBK" w:hAnsi="方正仿宋_GBK" w:eastAsia="方正仿宋_GBK" w:cs="方正仿宋_GBK"/>
          <w:color w:val="auto"/>
          <w:kern w:val="0"/>
          <w:sz w:val="32"/>
          <w:szCs w:val="32"/>
          <w:shd w:val="clear" w:color="auto" w:fill="FFFFFF"/>
          <w:lang w:eastAsia="zh-CN"/>
        </w:rPr>
        <w:t>移交</w:t>
      </w:r>
      <w:r>
        <w:rPr>
          <w:rFonts w:hint="eastAsia" w:ascii="方正仿宋_GBK" w:hAnsi="方正仿宋_GBK" w:eastAsia="方正仿宋_GBK" w:cs="方正仿宋_GBK"/>
          <w:color w:val="auto"/>
          <w:kern w:val="0"/>
          <w:sz w:val="32"/>
          <w:szCs w:val="32"/>
          <w:shd w:val="clear" w:color="auto" w:fill="FFFFFF"/>
        </w:rPr>
        <w:t>暂扣或吊销安全生产许可证。</w:t>
      </w:r>
    </w:p>
    <w:p>
      <w:pPr>
        <w:ind w:firstLine="640" w:firstLineChars="200"/>
        <w:rPr>
          <w:rFonts w:ascii="方正仿宋_GBK" w:hAnsi="方正仿宋_GBK" w:eastAsia="方正仿宋_GBK" w:cs="方正仿宋_GBK"/>
          <w:color w:val="auto"/>
          <w:sz w:val="32"/>
          <w:szCs w:val="32"/>
        </w:rPr>
      </w:pPr>
      <w:r>
        <w:rPr>
          <w:rFonts w:hint="eastAsia" w:hAnsi="方正仿宋_GBK" w:eastAsia="方正仿宋_GBK"/>
          <w:color w:val="auto"/>
          <w:kern w:val="0"/>
          <w:sz w:val="32"/>
          <w:szCs w:val="32"/>
          <w:shd w:val="clear" w:color="auto" w:fill="FFFFFF"/>
        </w:rPr>
        <w:t>（四）</w:t>
      </w:r>
      <w:r>
        <w:rPr>
          <w:rFonts w:hint="eastAsia" w:ascii="方正楷体_GBK" w:hAnsi="方正楷体_GBK" w:eastAsia="方正楷体_GBK" w:cs="方正楷体_GBK"/>
          <w:color w:val="auto"/>
          <w:sz w:val="32"/>
          <w:szCs w:val="32"/>
        </w:rPr>
        <w:t>加强督导考核。</w:t>
      </w:r>
      <w:r>
        <w:rPr>
          <w:rFonts w:hint="eastAsia" w:ascii="方正仿宋_GBK" w:hAnsi="方正仿宋_GBK" w:eastAsia="方正仿宋_GBK" w:cs="方正仿宋_GBK"/>
          <w:color w:val="auto"/>
          <w:sz w:val="32"/>
          <w:szCs w:val="32"/>
          <w:lang w:eastAsia="zh-CN"/>
        </w:rPr>
        <w:t>区交通局</w:t>
      </w:r>
      <w:r>
        <w:rPr>
          <w:rFonts w:hint="eastAsia" w:ascii="方正仿宋_GBK" w:hAnsi="方正仿宋_GBK" w:eastAsia="方正仿宋_GBK" w:cs="方正仿宋_GBK"/>
          <w:color w:val="auto"/>
          <w:sz w:val="32"/>
          <w:szCs w:val="32"/>
        </w:rPr>
        <w:t>将工作情况纳入安全生产监督检查和目标考核内容，特别是5轮集中执法期间执法队员一线在岗情况，对工作推进缓慢、执法强度不足、成效不明显的单位进行督办、通报、约谈。</w:t>
      </w:r>
    </w:p>
    <w:p>
      <w:pPr>
        <w:rPr>
          <w:rFonts w:hint="eastAsia" w:ascii="方正仿宋_GBK" w:hAnsi="方正仿宋_GBK" w:eastAsia="方正仿宋_GBK" w:cs="方正仿宋_GBK"/>
          <w:color w:val="auto"/>
          <w:sz w:val="32"/>
          <w:szCs w:val="32"/>
        </w:rPr>
      </w:pPr>
    </w:p>
    <w:p>
      <w:pPr>
        <w:rPr>
          <w:rFonts w:hint="eastAsia" w:ascii="方正仿宋_GBK" w:hAnsi="方正仿宋_GBK" w:eastAsia="方正仿宋_GBK" w:cs="方正仿宋_GBK"/>
          <w:color w:val="auto"/>
          <w:sz w:val="32"/>
          <w:szCs w:val="32"/>
        </w:rPr>
      </w:pPr>
      <w:r>
        <w:rPr>
          <w:rFonts w:hint="eastAsia" w:ascii="方正仿宋_GBK" w:hAnsi="方正仿宋_GBK" w:cs="方正仿宋_GBK"/>
          <w:color w:val="auto"/>
          <w:sz w:val="32"/>
          <w:szCs w:val="32"/>
          <w:lang w:eastAsia="zh-CN"/>
        </w:rPr>
        <w:t>附件：</w:t>
      </w:r>
      <w:r>
        <w:rPr>
          <w:rFonts w:hint="eastAsia" w:ascii="方正仿宋_GBK" w:hAnsi="方正仿宋_GBK" w:eastAsia="方正仿宋_GBK" w:cs="方正仿宋_GBK"/>
          <w:color w:val="auto"/>
          <w:sz w:val="32"/>
          <w:szCs w:val="32"/>
        </w:rPr>
        <w:t>2021年全</w:t>
      </w:r>
      <w:r>
        <w:rPr>
          <w:rFonts w:hint="eastAsia" w:ascii="方正仿宋_GBK" w:hAnsi="方正仿宋_GBK" w:eastAsia="方正仿宋_GBK" w:cs="方正仿宋_GBK"/>
          <w:color w:val="auto"/>
          <w:sz w:val="32"/>
          <w:szCs w:val="32"/>
          <w:lang w:eastAsia="zh-CN"/>
        </w:rPr>
        <w:t>区</w:t>
      </w:r>
      <w:r>
        <w:rPr>
          <w:rFonts w:hint="eastAsia" w:ascii="方正仿宋_GBK" w:hAnsi="方正仿宋_GBK" w:eastAsia="方正仿宋_GBK" w:cs="方正仿宋_GBK"/>
          <w:color w:val="auto"/>
          <w:sz w:val="32"/>
          <w:szCs w:val="32"/>
        </w:rPr>
        <w:t>公路水运工程建安行动集中执法情况汇</w:t>
      </w:r>
    </w:p>
    <w:p>
      <w:pPr>
        <w:ind w:firstLine="1600" w:firstLineChars="500"/>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rPr>
        <w:t>总表</w:t>
      </w:r>
    </w:p>
    <w:p>
      <w:pPr>
        <w:pStyle w:val="3"/>
        <w:rPr>
          <w:rFonts w:hint="eastAsia"/>
          <w:lang w:val="en-US" w:eastAsia="zh-CN"/>
        </w:rPr>
      </w:pPr>
    </w:p>
    <w:p>
      <w:pPr>
        <w:pStyle w:val="3"/>
        <w:ind w:left="0" w:leftChars="0" w:firstLine="0" w:firstLineChars="0"/>
        <w:rPr>
          <w:rFonts w:hint="eastAsia"/>
          <w:lang w:val="en-US" w:eastAsia="zh-CN"/>
        </w:rPr>
        <w:sectPr>
          <w:headerReference r:id="rId5" w:type="default"/>
          <w:footerReference r:id="rId6" w:type="default"/>
          <w:pgSz w:w="11906" w:h="16838"/>
          <w:pgMar w:top="2098" w:right="1474" w:bottom="1984" w:left="1587" w:header="851" w:footer="992" w:gutter="0"/>
          <w:pgNumType w:fmt="numberInDash"/>
          <w:cols w:space="720" w:num="1"/>
          <w:rtlGutter w:val="0"/>
          <w:docGrid w:type="lines" w:linePitch="315" w:charSpace="0"/>
        </w:sectPr>
      </w:pPr>
    </w:p>
    <w:p>
      <w:pPr>
        <w:adjustRightInd w:val="0"/>
        <w:snapToGrid w:val="0"/>
        <w:spacing w:line="640" w:lineRule="atLeast"/>
        <w:ind w:left="0" w:leftChars="0" w:firstLine="0" w:firstLineChars="0"/>
        <w:rPr>
          <w:rFonts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附件</w:t>
      </w:r>
    </w:p>
    <w:p>
      <w:pPr>
        <w:tabs>
          <w:tab w:val="center" w:pos="6438"/>
          <w:tab w:val="right" w:pos="12757"/>
        </w:tabs>
        <w:adjustRightInd w:val="0"/>
        <w:snapToGrid w:val="0"/>
        <w:jc w:val="left"/>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ab/>
      </w:r>
      <w:r>
        <w:rPr>
          <w:rFonts w:hint="eastAsia" w:ascii="方正小标宋简体" w:hAnsi="方正小标宋简体" w:eastAsia="方正小标宋简体" w:cs="方正小标宋简体"/>
          <w:color w:val="auto"/>
          <w:sz w:val="44"/>
          <w:szCs w:val="44"/>
        </w:rPr>
        <w:t>2021年全</w:t>
      </w:r>
      <w:r>
        <w:rPr>
          <w:rFonts w:hint="eastAsia" w:ascii="方正小标宋简体" w:hAnsi="方正小标宋简体" w:eastAsia="方正小标宋简体" w:cs="方正小标宋简体"/>
          <w:color w:val="auto"/>
          <w:sz w:val="44"/>
          <w:szCs w:val="44"/>
          <w:lang w:eastAsia="zh-CN"/>
        </w:rPr>
        <w:t>区</w:t>
      </w:r>
      <w:r>
        <w:rPr>
          <w:rFonts w:hint="eastAsia" w:ascii="方正小标宋简体" w:hAnsi="方正小标宋简体" w:eastAsia="方正小标宋简体" w:cs="方正小标宋简体"/>
          <w:color w:val="auto"/>
          <w:sz w:val="44"/>
          <w:szCs w:val="44"/>
        </w:rPr>
        <w:t>公路水运工程建安行动集中执法情况汇总表</w:t>
      </w:r>
      <w:r>
        <w:rPr>
          <w:rFonts w:hint="eastAsia" w:ascii="方正小标宋_GBK" w:hAnsi="方正小标宋_GBK" w:eastAsia="方正小标宋_GBK" w:cs="方正小标宋_GBK"/>
          <w:color w:val="auto"/>
          <w:sz w:val="44"/>
          <w:szCs w:val="44"/>
          <w:lang w:eastAsia="zh-CN"/>
        </w:rPr>
        <w:tab/>
      </w:r>
    </w:p>
    <w:p>
      <w:pPr>
        <w:adjustRightInd w:val="0"/>
        <w:snapToGrid w:val="0"/>
        <w:ind w:left="0" w:leftChars="0" w:firstLine="0" w:firstLineChars="0"/>
        <w:rPr>
          <w:rFonts w:hint="eastAsia" w:ascii="方正楷体_GBK" w:hAnsi="方正楷体_GBK" w:eastAsia="方正楷体_GBK" w:cs="方正楷体_GBK"/>
          <w:color w:val="auto"/>
          <w:kern w:val="0"/>
          <w:sz w:val="24"/>
          <w:szCs w:val="24"/>
        </w:rPr>
      </w:pPr>
    </w:p>
    <w:p>
      <w:pPr>
        <w:adjustRightInd w:val="0"/>
        <w:snapToGrid w:val="0"/>
        <w:ind w:left="0" w:leftChars="0" w:firstLine="0" w:firstLineChars="0"/>
        <w:rPr>
          <w:rFonts w:ascii="方正楷体_GBK" w:hAnsi="方正楷体_GBK" w:eastAsia="方正楷体_GBK" w:cs="方正楷体_GBK"/>
          <w:color w:val="auto"/>
          <w:kern w:val="0"/>
          <w:sz w:val="24"/>
        </w:rPr>
      </w:pPr>
      <w:r>
        <w:rPr>
          <w:rFonts w:hint="eastAsia" w:ascii="方正楷体_GBK" w:hAnsi="方正楷体_GBK" w:eastAsia="方正楷体_GBK" w:cs="方正楷体_GBK"/>
          <w:color w:val="auto"/>
          <w:kern w:val="0"/>
          <w:sz w:val="24"/>
          <w:szCs w:val="24"/>
        </w:rPr>
        <w:t>填报单位（签章）：                            联系电话:                         填报时间：    年   月   日</w:t>
      </w:r>
    </w:p>
    <w:tbl>
      <w:tblPr>
        <w:tblStyle w:val="10"/>
        <w:tblpPr w:leftFromText="180" w:rightFromText="180" w:vertAnchor="text" w:horzAnchor="page" w:tblpX="1387" w:tblpY="308"/>
        <w:tblOverlap w:val="never"/>
        <w:tblW w:w="14177" w:type="dxa"/>
        <w:tblInd w:w="0" w:type="dxa"/>
        <w:tblLayout w:type="fixed"/>
        <w:tblCellMar>
          <w:top w:w="15" w:type="dxa"/>
          <w:left w:w="15" w:type="dxa"/>
          <w:bottom w:w="15" w:type="dxa"/>
          <w:right w:w="15" w:type="dxa"/>
        </w:tblCellMar>
      </w:tblPr>
      <w:tblGrid>
        <w:gridCol w:w="928"/>
        <w:gridCol w:w="884"/>
        <w:gridCol w:w="783"/>
        <w:gridCol w:w="657"/>
        <w:gridCol w:w="650"/>
        <w:gridCol w:w="625"/>
        <w:gridCol w:w="650"/>
        <w:gridCol w:w="692"/>
        <w:gridCol w:w="983"/>
        <w:gridCol w:w="900"/>
        <w:gridCol w:w="934"/>
        <w:gridCol w:w="900"/>
        <w:gridCol w:w="908"/>
        <w:gridCol w:w="900"/>
        <w:gridCol w:w="917"/>
        <w:gridCol w:w="934"/>
        <w:gridCol w:w="932"/>
      </w:tblGrid>
      <w:tr>
        <w:tblPrEx>
          <w:tblCellMar>
            <w:top w:w="15" w:type="dxa"/>
            <w:left w:w="15" w:type="dxa"/>
            <w:bottom w:w="15" w:type="dxa"/>
            <w:right w:w="15" w:type="dxa"/>
          </w:tblCellMar>
        </w:tblPrEx>
        <w:trPr>
          <w:trHeight w:val="366" w:hRule="atLeast"/>
        </w:trPr>
        <w:tc>
          <w:tcPr>
            <w:tcW w:w="9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序号</w:t>
            </w:r>
          </w:p>
        </w:tc>
        <w:tc>
          <w:tcPr>
            <w:tcW w:w="3599" w:type="dxa"/>
            <w:gridSpan w:val="5"/>
            <w:vMerge w:val="restart"/>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行政执法总体情况</w:t>
            </w:r>
          </w:p>
        </w:tc>
        <w:tc>
          <w:tcPr>
            <w:tcW w:w="5059" w:type="dxa"/>
            <w:gridSpan w:val="6"/>
            <w:vMerge w:val="restart"/>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行政处罚具体情况</w:t>
            </w:r>
          </w:p>
        </w:tc>
        <w:tc>
          <w:tcPr>
            <w:tcW w:w="4591" w:type="dxa"/>
            <w:gridSpan w:val="5"/>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其他处理情况</w:t>
            </w:r>
          </w:p>
        </w:tc>
      </w:tr>
      <w:tr>
        <w:tblPrEx>
          <w:tblCellMar>
            <w:top w:w="15" w:type="dxa"/>
            <w:left w:w="15" w:type="dxa"/>
            <w:bottom w:w="15" w:type="dxa"/>
            <w:right w:w="15" w:type="dxa"/>
          </w:tblCellMar>
        </w:tblPrEx>
        <w:trPr>
          <w:trHeight w:val="366" w:hRule="atLeast"/>
        </w:trPr>
        <w:tc>
          <w:tcPr>
            <w:tcW w:w="92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3599" w:type="dxa"/>
            <w:gridSpan w:val="5"/>
            <w:vMerge w:val="continue"/>
            <w:tcBorders>
              <w:top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5059" w:type="dxa"/>
            <w:gridSpan w:val="6"/>
            <w:vMerge w:val="continue"/>
            <w:tcBorders>
              <w:top w:val="single" w:color="000000" w:sz="4" w:space="0"/>
              <w:left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4591" w:type="dxa"/>
            <w:gridSpan w:val="5"/>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r>
      <w:tr>
        <w:tblPrEx>
          <w:tblCellMar>
            <w:top w:w="15" w:type="dxa"/>
            <w:left w:w="15" w:type="dxa"/>
            <w:bottom w:w="15" w:type="dxa"/>
            <w:right w:w="15" w:type="dxa"/>
          </w:tblCellMar>
        </w:tblPrEx>
        <w:trPr>
          <w:trHeight w:val="615" w:hRule="atLeast"/>
        </w:trPr>
        <w:tc>
          <w:tcPr>
            <w:tcW w:w="92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884" w:type="dxa"/>
            <w:vMerge w:val="restart"/>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下达责令限期整改指令书（份）</w:t>
            </w:r>
          </w:p>
        </w:tc>
        <w:tc>
          <w:tcPr>
            <w:tcW w:w="783" w:type="dxa"/>
            <w:vMerge w:val="restart"/>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下达责令停工指令书（份）</w:t>
            </w:r>
          </w:p>
        </w:tc>
        <w:tc>
          <w:tcPr>
            <w:tcW w:w="130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下达行政处罚决定书（份）</w:t>
            </w:r>
          </w:p>
        </w:tc>
        <w:tc>
          <w:tcPr>
            <w:tcW w:w="62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案件移送（件）</w:t>
            </w:r>
          </w:p>
        </w:tc>
        <w:tc>
          <w:tcPr>
            <w:tcW w:w="6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行政罚款（元）</w:t>
            </w:r>
          </w:p>
        </w:tc>
        <w:tc>
          <w:tcPr>
            <w:tcW w:w="69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责令停止施工(家/次)</w:t>
            </w:r>
          </w:p>
        </w:tc>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暂扣企业安全生产许可(个)</w:t>
            </w:r>
          </w:p>
        </w:tc>
        <w:tc>
          <w:tcPr>
            <w:tcW w:w="9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暂扣个人执业资格(个)</w:t>
            </w:r>
          </w:p>
        </w:tc>
        <w:tc>
          <w:tcPr>
            <w:tcW w:w="9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吊销企业安全生产许可(个)</w:t>
            </w:r>
          </w:p>
        </w:tc>
        <w:tc>
          <w:tcPr>
            <w:tcW w:w="9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吊销执业资格证书(个)</w:t>
            </w:r>
          </w:p>
        </w:tc>
        <w:tc>
          <w:tcPr>
            <w:tcW w:w="90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通报批评（家/次）</w:t>
            </w:r>
          </w:p>
        </w:tc>
        <w:tc>
          <w:tcPr>
            <w:tcW w:w="9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纳入信用不良记录（家/次）</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纳入“黑名单”（家/次）</w:t>
            </w:r>
          </w:p>
        </w:tc>
        <w:tc>
          <w:tcPr>
            <w:tcW w:w="9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项目经理记分（人/分）</w:t>
            </w:r>
          </w:p>
        </w:tc>
        <w:tc>
          <w:tcPr>
            <w:tcW w:w="932"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实施联合惩戒（家/人）</w:t>
            </w:r>
          </w:p>
        </w:tc>
      </w:tr>
      <w:tr>
        <w:tblPrEx>
          <w:tblCellMar>
            <w:top w:w="15" w:type="dxa"/>
            <w:left w:w="15" w:type="dxa"/>
            <w:bottom w:w="15" w:type="dxa"/>
            <w:right w:w="15" w:type="dxa"/>
          </w:tblCellMar>
        </w:tblPrEx>
        <w:trPr>
          <w:trHeight w:val="312" w:hRule="atLeast"/>
        </w:trPr>
        <w:tc>
          <w:tcPr>
            <w:tcW w:w="92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884" w:type="dxa"/>
            <w:vMerge w:val="continue"/>
            <w:tcBorders>
              <w:top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783" w:type="dxa"/>
            <w:vMerge w:val="continue"/>
            <w:tcBorders>
              <w:top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left"/>
              <w:rPr>
                <w:rFonts w:hint="eastAsia" w:ascii="方正黑体_GBK" w:hAnsi="方正黑体_GBK" w:eastAsia="方正黑体_GBK" w:cs="方正黑体_GBK"/>
                <w:color w:val="auto"/>
                <w:sz w:val="21"/>
                <w:szCs w:val="21"/>
              </w:rPr>
            </w:pPr>
          </w:p>
        </w:tc>
        <w:tc>
          <w:tcPr>
            <w:tcW w:w="657"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简易程序</w:t>
            </w:r>
          </w:p>
        </w:tc>
        <w:tc>
          <w:tcPr>
            <w:tcW w:w="650" w:type="dxa"/>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一般程序</w:t>
            </w:r>
          </w:p>
        </w:tc>
        <w:tc>
          <w:tcPr>
            <w:tcW w:w="62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9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2" w:type="dxa"/>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r>
      <w:tr>
        <w:tblPrEx>
          <w:tblCellMar>
            <w:top w:w="15" w:type="dxa"/>
            <w:left w:w="15" w:type="dxa"/>
            <w:bottom w:w="15" w:type="dxa"/>
            <w:right w:w="15" w:type="dxa"/>
          </w:tblCellMar>
        </w:tblPrEx>
        <w:trPr>
          <w:trHeight w:val="507" w:hRule="atLeast"/>
        </w:trPr>
        <w:tc>
          <w:tcPr>
            <w:tcW w:w="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center"/>
              <w:rPr>
                <w:rFonts w:hint="eastAsia" w:ascii="方正黑体_GBK" w:hAnsi="方正黑体_GBK" w:eastAsia="方正黑体_GBK" w:cs="方正黑体_GBK"/>
                <w:color w:val="auto"/>
                <w:sz w:val="21"/>
                <w:szCs w:val="21"/>
              </w:rPr>
            </w:pP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r>
      <w:tr>
        <w:tblPrEx>
          <w:tblCellMar>
            <w:top w:w="15" w:type="dxa"/>
            <w:left w:w="15" w:type="dxa"/>
            <w:bottom w:w="15" w:type="dxa"/>
            <w:right w:w="15" w:type="dxa"/>
          </w:tblCellMar>
        </w:tblPrEx>
        <w:trPr>
          <w:trHeight w:val="472" w:hRule="atLeast"/>
        </w:trPr>
        <w:tc>
          <w:tcPr>
            <w:tcW w:w="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center"/>
              <w:rPr>
                <w:rFonts w:hint="eastAsia" w:ascii="方正黑体_GBK" w:hAnsi="方正黑体_GBK" w:eastAsia="方正黑体_GBK" w:cs="方正黑体_GBK"/>
                <w:color w:val="auto"/>
                <w:sz w:val="21"/>
                <w:szCs w:val="21"/>
              </w:rPr>
            </w:pP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r>
      <w:tr>
        <w:tblPrEx>
          <w:tblCellMar>
            <w:top w:w="15" w:type="dxa"/>
            <w:left w:w="15" w:type="dxa"/>
            <w:bottom w:w="15" w:type="dxa"/>
            <w:right w:w="15" w:type="dxa"/>
          </w:tblCellMar>
        </w:tblPrEx>
        <w:trPr>
          <w:trHeight w:val="507" w:hRule="atLeast"/>
        </w:trPr>
        <w:tc>
          <w:tcPr>
            <w:tcW w:w="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center"/>
              <w:rPr>
                <w:rFonts w:hint="eastAsia" w:ascii="方正黑体_GBK" w:hAnsi="方正黑体_GBK" w:eastAsia="方正黑体_GBK" w:cs="方正黑体_GBK"/>
                <w:color w:val="auto"/>
                <w:sz w:val="21"/>
                <w:szCs w:val="21"/>
              </w:rPr>
            </w:pP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r>
      <w:tr>
        <w:tblPrEx>
          <w:tblCellMar>
            <w:top w:w="15" w:type="dxa"/>
            <w:left w:w="15" w:type="dxa"/>
            <w:bottom w:w="15" w:type="dxa"/>
            <w:right w:w="15" w:type="dxa"/>
          </w:tblCellMar>
        </w:tblPrEx>
        <w:trPr>
          <w:trHeight w:val="483" w:hRule="atLeast"/>
        </w:trPr>
        <w:tc>
          <w:tcPr>
            <w:tcW w:w="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firstLine="0" w:firstLineChars="0"/>
              <w:jc w:val="center"/>
              <w:textAlignment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kern w:val="0"/>
                <w:sz w:val="21"/>
                <w:szCs w:val="21"/>
              </w:rPr>
              <w:t>合计</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rPr>
                <w:rFonts w:hint="eastAsia" w:ascii="方正黑体_GBK" w:hAnsi="方正黑体_GBK" w:eastAsia="方正黑体_GBK" w:cs="方正黑体_GBK"/>
                <w:color w:val="auto"/>
                <w:sz w:val="21"/>
                <w:szCs w:val="21"/>
              </w:rPr>
            </w:pPr>
          </w:p>
        </w:tc>
      </w:tr>
    </w:tbl>
    <w:p>
      <w:pPr>
        <w:pStyle w:val="2"/>
      </w:pPr>
    </w:p>
    <w:p>
      <w:pPr>
        <w:adjustRightInd w:val="0"/>
        <w:snapToGrid w:val="0"/>
        <w:spacing w:line="640" w:lineRule="atLeast"/>
        <w:rPr>
          <w:rFonts w:hAnsi="方正仿宋_GBK" w:eastAsia="方正仿宋_GBK"/>
          <w:bCs/>
          <w:color w:val="000000"/>
          <w:kern w:val="0"/>
          <w:sz w:val="32"/>
          <w:szCs w:val="32"/>
          <w:shd w:val="clear" w:color="auto" w:fill="FFFFFF"/>
        </w:rPr>
      </w:pPr>
    </w:p>
    <w:p/>
    <w:p>
      <w:pPr>
        <w:rPr>
          <w:rFonts w:hint="eastAsia"/>
          <w:lang w:val="en-US" w:eastAsia="zh-CN"/>
        </w:rPr>
        <w:sectPr>
          <w:pgSz w:w="16838" w:h="11906" w:orient="landscape"/>
          <w:pgMar w:top="1587" w:right="2098" w:bottom="1474" w:left="1984" w:header="851" w:footer="992" w:gutter="0"/>
          <w:pgNumType w:fmt="numberInDash"/>
          <w:cols w:space="720" w:num="1"/>
          <w:rtlGutter w:val="0"/>
          <w:docGrid w:type="lines" w:linePitch="315" w:charSpace="0"/>
        </w:sect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9"/>
        <w:ind w:left="0" w:leftChars="0" w:firstLine="0" w:firstLineChars="0"/>
        <w:rPr>
          <w:rFonts w:hint="default"/>
          <w:lang w:val="en-US" w:eastAsia="zh-CN"/>
        </w:rPr>
      </w:pPr>
      <w:r>
        <w:rPr>
          <w:rFonts w:hint="eastAsia" w:ascii="方正仿宋_GBK" w:eastAsia="方正仿宋_GBK"/>
          <w:b w:val="0"/>
          <w:bCs w:val="0"/>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15240</wp:posOffset>
                </wp:positionV>
                <wp:extent cx="582930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2pt;height:0pt;width:459pt;z-index:251661312;mso-width-relative:page;mso-height-relative:page;" filled="f" stroked="t" coordsize="21600,21600" o:gfxdata="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3AQn9IAAAAEAQAADwAAAAAAAAABACAAAAAiAAAAZHJzL2Rvd25yZXYueG1sUEsBAhQAFAAA&#10;AAgAh07iQFYoycj1AQAA5AMAAA4AAAAAAAAAAQAgAAAAIQEAAGRycy9lMm9Eb2MueG1sUEsFBgAA&#10;AAAGAAYAWQEAAIgFAAAAAA==&#10;">
                <v:fill on="f" focussize="0,0"/>
                <v:stroke color="#000000" joinstyle="round"/>
                <v:imagedata o:title=""/>
                <o:lock v:ext="edit" aspectratio="f"/>
              </v:line>
            </w:pict>
          </mc:Fallback>
        </mc:AlternateContent>
      </w:r>
      <w:r>
        <w:rPr>
          <w:rFonts w:hint="eastAsia" w:ascii="方正仿宋_GBK" w:eastAsia="方正仿宋_GBK"/>
          <w:b w:val="0"/>
          <w:bCs w:val="0"/>
          <w:sz w:val="28"/>
          <w:szCs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397510</wp:posOffset>
                </wp:positionV>
                <wp:extent cx="58293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1.3pt;height:0pt;width:459pt;z-index:251662336;mso-width-relative:page;mso-height-relative:page;" filled="f" stroked="t" coordsize="21600,21600" o:gfxdata="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TTNt0wAAAAYBAAAPAAAAAAAAAAEAIAAAACIAAABkcnMvZG93bnJldi54bWxQSwECFAAU&#10;AAAACACHTuJAR0OtpfYBAADkAwAADgAAAAAAAAABACAAAAAiAQAAZHJzL2Uyb0RvYy54bWxQSwUG&#10;AAAAAAYABgBZAQAAigUAAAAA&#10;">
                <v:fill on="f" focussize="0,0"/>
                <v:stroke color="#000000" joinstyle="round"/>
                <v:imagedata o:title=""/>
                <o:lock v:ext="edit" aspectratio="f"/>
              </v:line>
            </w:pict>
          </mc:Fallback>
        </mc:AlternateContent>
      </w:r>
      <w:r>
        <w:rPr>
          <w:rFonts w:hint="eastAsia" w:ascii="方正仿宋_GBK" w:eastAsia="方正仿宋_GBK"/>
          <w:b w:val="0"/>
          <w:bCs w:val="0"/>
          <w:sz w:val="28"/>
          <w:szCs w:val="28"/>
        </w:rPr>
        <w:t xml:space="preserve">  重庆市铜梁区交通</w:t>
      </w:r>
      <w:r>
        <w:rPr>
          <w:rFonts w:hint="eastAsia" w:ascii="方正仿宋_GBK" w:eastAsia="方正仿宋_GBK"/>
          <w:b w:val="0"/>
          <w:bCs w:val="0"/>
          <w:sz w:val="28"/>
          <w:szCs w:val="28"/>
          <w:lang w:eastAsia="zh-CN"/>
        </w:rPr>
        <w:t>局</w:t>
      </w:r>
      <w:r>
        <w:rPr>
          <w:rFonts w:hint="eastAsia" w:ascii="方正仿宋_GBK" w:eastAsia="方正仿宋_GBK"/>
          <w:b w:val="0"/>
          <w:bCs w:val="0"/>
          <w:sz w:val="28"/>
          <w:szCs w:val="28"/>
        </w:rPr>
        <w:t xml:space="preserve">办公室     </w:t>
      </w:r>
      <w:r>
        <w:rPr>
          <w:rFonts w:hint="eastAsia" w:ascii="方正仿宋_GBK" w:eastAsia="方正仿宋_GBK"/>
          <w:b w:val="0"/>
          <w:bCs w:val="0"/>
          <w:sz w:val="28"/>
          <w:szCs w:val="28"/>
          <w:lang w:val="en-US" w:eastAsia="zh-CN"/>
        </w:rPr>
        <w:t xml:space="preserve"> </w:t>
      </w:r>
      <w:r>
        <w:rPr>
          <w:rFonts w:hint="eastAsia" w:ascii="方正仿宋_GBK" w:eastAsia="方正仿宋_GBK"/>
          <w:b w:val="0"/>
          <w:bCs w:val="0"/>
          <w:sz w:val="28"/>
          <w:szCs w:val="28"/>
        </w:rPr>
        <w:t xml:space="preserve">  </w:t>
      </w:r>
      <w:r>
        <w:rPr>
          <w:rFonts w:hint="eastAsia" w:ascii="方正仿宋_GBK" w:eastAsia="方正仿宋_GBK"/>
          <w:b w:val="0"/>
          <w:bCs w:val="0"/>
          <w:sz w:val="28"/>
          <w:szCs w:val="28"/>
          <w:lang w:val="en-US" w:eastAsia="zh-CN"/>
        </w:rPr>
        <w:t xml:space="preserve">          </w:t>
      </w:r>
      <w:r>
        <w:rPr>
          <w:rFonts w:hint="eastAsia" w:ascii="方正仿宋_GBK" w:eastAsia="方正仿宋_GBK"/>
          <w:b w:val="0"/>
          <w:bCs w:val="0"/>
          <w:sz w:val="28"/>
          <w:szCs w:val="28"/>
        </w:rPr>
        <w:t>20</w:t>
      </w:r>
      <w:r>
        <w:rPr>
          <w:rFonts w:hint="eastAsia" w:ascii="方正仿宋_GBK" w:eastAsia="方正仿宋_GBK"/>
          <w:b w:val="0"/>
          <w:bCs w:val="0"/>
          <w:sz w:val="28"/>
          <w:szCs w:val="28"/>
          <w:lang w:val="en-US" w:eastAsia="zh-CN"/>
        </w:rPr>
        <w:t>21</w:t>
      </w:r>
      <w:r>
        <w:rPr>
          <w:rFonts w:hint="eastAsia" w:ascii="方正仿宋_GBK" w:eastAsia="方正仿宋_GBK"/>
          <w:b w:val="0"/>
          <w:bCs w:val="0"/>
          <w:sz w:val="28"/>
          <w:szCs w:val="28"/>
        </w:rPr>
        <w:t>年</w:t>
      </w:r>
      <w:r>
        <w:rPr>
          <w:rFonts w:hint="eastAsia" w:ascii="方正仿宋_GBK"/>
          <w:b w:val="0"/>
          <w:bCs w:val="0"/>
          <w:sz w:val="28"/>
          <w:szCs w:val="28"/>
          <w:lang w:val="en-US" w:eastAsia="zh-CN"/>
        </w:rPr>
        <w:t>3</w:t>
      </w:r>
      <w:r>
        <w:rPr>
          <w:rFonts w:hint="eastAsia" w:ascii="方正仿宋_GBK" w:eastAsia="方正仿宋_GBK"/>
          <w:b w:val="0"/>
          <w:bCs w:val="0"/>
          <w:sz w:val="28"/>
          <w:szCs w:val="28"/>
        </w:rPr>
        <w:t>月</w:t>
      </w:r>
      <w:r>
        <w:rPr>
          <w:rFonts w:hint="eastAsia" w:ascii="方正仿宋_GBK" w:eastAsia="方正仿宋_GBK"/>
          <w:b w:val="0"/>
          <w:bCs w:val="0"/>
          <w:sz w:val="28"/>
          <w:szCs w:val="28"/>
          <w:lang w:val="en-US" w:eastAsia="zh-CN"/>
        </w:rPr>
        <w:t>1</w:t>
      </w:r>
      <w:r>
        <w:rPr>
          <w:rFonts w:hint="eastAsia" w:ascii="方正仿宋_GBK"/>
          <w:b w:val="0"/>
          <w:bCs w:val="0"/>
          <w:sz w:val="28"/>
          <w:szCs w:val="28"/>
          <w:lang w:val="en-US" w:eastAsia="zh-CN"/>
        </w:rPr>
        <w:t>9</w:t>
      </w:r>
      <w:r>
        <w:rPr>
          <w:rFonts w:hint="eastAsia" w:ascii="方正仿宋_GBK" w:eastAsia="方正仿宋_GBK"/>
          <w:b w:val="0"/>
          <w:bCs w:val="0"/>
          <w:sz w:val="28"/>
          <w:szCs w:val="28"/>
        </w:rPr>
        <w:t>日印发</w:t>
      </w:r>
    </w:p>
    <w:sectPr>
      <w:pgSz w:w="11906" w:h="16838"/>
      <w:pgMar w:top="2098" w:right="1474" w:bottom="1984" w:left="1587" w:header="851" w:footer="992" w:gutter="0"/>
      <w:pgNumType w:fmt="numberInDash"/>
      <w:cols w:space="720" w:num="1"/>
      <w:rtlGutter w:val="0"/>
      <w:docGrid w:type="lines" w:linePitch="31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E23BFE-009B-4788-8DAD-46DE7EBBEBE1}"/>
  </w:font>
  <w:font w:name="Arial">
    <w:panose1 w:val="020B0604020202020204"/>
    <w:charset w:val="01"/>
    <w:family w:val="swiss"/>
    <w:pitch w:val="default"/>
    <w:sig w:usb0="E0002EFF" w:usb1="C000785B" w:usb2="00000009" w:usb3="00000000" w:csb0="400001FF" w:csb1="FFFF0000"/>
    <w:embedRegular r:id="rId2" w:fontKey="{E15E2815-F56B-47DC-8FAA-BFA258E4E5B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F1D74FE-2935-4B86-8284-725C2BDAD886}"/>
  </w:font>
  <w:font w:name="Symbol">
    <w:panose1 w:val="05050102010706020507"/>
    <w:charset w:val="02"/>
    <w:family w:val="roman"/>
    <w:pitch w:val="default"/>
    <w:sig w:usb0="00000000" w:usb1="00000000" w:usb2="00000000" w:usb3="00000000" w:csb0="80000000" w:csb1="00000000"/>
    <w:embedRegular r:id="rId4" w:fontKey="{FCECCD46-9B8B-4413-B443-C08ACEA9EA95}"/>
  </w:font>
  <w:font w:name="Calibri">
    <w:panose1 w:val="020F0502020204030204"/>
    <w:charset w:val="00"/>
    <w:family w:val="swiss"/>
    <w:pitch w:val="default"/>
    <w:sig w:usb0="E4002EFF" w:usb1="C000247B" w:usb2="00000009" w:usb3="00000000" w:csb0="200001FF" w:csb1="00000000"/>
    <w:embedRegular r:id="rId5" w:fontKey="{4E184987-D18F-4190-A0E1-74703DEF6C81}"/>
  </w:font>
  <w:font w:name="方正仿宋_GBK">
    <w:panose1 w:val="02000000000000000000"/>
    <w:charset w:val="86"/>
    <w:family w:val="auto"/>
    <w:pitch w:val="default"/>
    <w:sig w:usb0="A00002BF" w:usb1="38CF7CFA" w:usb2="00082016" w:usb3="00000000" w:csb0="00040001" w:csb1="00000000"/>
    <w:embedRegular r:id="rId6" w:fontKey="{09E8BDF6-02B3-44DB-897F-CC594F7BB1F3}"/>
  </w:font>
  <w:font w:name="方正小标宋_GBK">
    <w:panose1 w:val="02000000000000000000"/>
    <w:charset w:val="86"/>
    <w:family w:val="auto"/>
    <w:pitch w:val="default"/>
    <w:sig w:usb0="A00002BF" w:usb1="38CF7CFA" w:usb2="00082016" w:usb3="00000000" w:csb0="00040001" w:csb1="00000000"/>
    <w:embedRegular r:id="rId7" w:fontKey="{A3E5D496-071A-46D4-8F96-425F627BC386}"/>
  </w:font>
  <w:font w:name="方正黑体_GBK">
    <w:panose1 w:val="02000000000000000000"/>
    <w:charset w:val="86"/>
    <w:family w:val="auto"/>
    <w:pitch w:val="default"/>
    <w:sig w:usb0="A00002BF" w:usb1="38CF7CFA" w:usb2="00082016" w:usb3="00000000" w:csb0="00040001" w:csb1="00000000"/>
    <w:embedRegular r:id="rId8" w:fontKey="{CF0078BA-0476-4DCB-AE20-F46B2893D7F6}"/>
  </w:font>
  <w:font w:name="方正楷体_GBK">
    <w:panose1 w:val="02000000000000000000"/>
    <w:charset w:val="86"/>
    <w:family w:val="auto"/>
    <w:pitch w:val="default"/>
    <w:sig w:usb0="A00002BF" w:usb1="38CF7CFA" w:usb2="00082016" w:usb3="00000000" w:csb0="00040001" w:csb1="00000000"/>
    <w:embedRegular r:id="rId9" w:fontKey="{7E7EE1D6-8B31-4C38-AEF3-5B70843AE3F6}"/>
  </w:font>
  <w:font w:name="仿宋_GB2312">
    <w:panose1 w:val="02010609030101010101"/>
    <w:charset w:val="86"/>
    <w:family w:val="modern"/>
    <w:pitch w:val="default"/>
    <w:sig w:usb0="00000001" w:usb1="080E0000" w:usb2="00000000" w:usb3="00000000" w:csb0="00040000" w:csb1="00000000"/>
    <w:embedRegular r:id="rId10" w:fontKey="{877705FD-2B91-4E32-91F0-0B68D47E1D24}"/>
  </w:font>
  <w:font w:name="方正大标宋简体">
    <w:altName w:val="微软雅黑"/>
    <w:panose1 w:val="02010601030101010101"/>
    <w:charset w:val="86"/>
    <w:family w:val="auto"/>
    <w:pitch w:val="default"/>
    <w:sig w:usb0="00000000" w:usb1="00000000" w:usb2="00000000" w:usb3="00000000" w:csb0="00040000" w:csb1="00000000"/>
    <w:embedRegular r:id="rId11" w:fontKey="{27E351D1-4C25-4139-8D6E-B97D0B5AA94A}"/>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embedRegular r:id="rId12" w:fontKey="{8FA6A06E-227C-4C87-81D9-EC315E1D59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Style w:val="14"/>
                              <w:rFonts w:hint="eastAsia" w:ascii="仿宋_GB2312" w:eastAsia="仿宋_GB2312"/>
                              <w:sz w:val="28"/>
                              <w:szCs w:val="28"/>
                            </w:rPr>
                          </w:pPr>
                          <w:r>
                            <w:rPr>
                              <w:rFonts w:hint="eastAsia" w:ascii="宋体" w:hAnsi="宋体" w:eastAsia="宋体" w:cs="宋体"/>
                              <w:sz w:val="28"/>
                              <w:szCs w:val="28"/>
                            </w:rPr>
                            <w:fldChar w:fldCharType="begin"/>
                          </w:r>
                          <w:r>
                            <w:rPr>
                              <w:rStyle w:val="14"/>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14"/>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7"/>
                      <w:rPr>
                        <w:rStyle w:val="14"/>
                        <w:rFonts w:hint="eastAsia" w:ascii="仿宋_GB2312" w:eastAsia="仿宋_GB2312"/>
                        <w:sz w:val="28"/>
                        <w:szCs w:val="28"/>
                      </w:rPr>
                    </w:pPr>
                    <w:r>
                      <w:rPr>
                        <w:rFonts w:hint="eastAsia" w:ascii="宋体" w:hAnsi="宋体" w:eastAsia="宋体" w:cs="宋体"/>
                        <w:sz w:val="28"/>
                        <w:szCs w:val="28"/>
                      </w:rPr>
                      <w:fldChar w:fldCharType="begin"/>
                    </w:r>
                    <w:r>
                      <w:rPr>
                        <w:rStyle w:val="14"/>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14"/>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documentProtection w:enforcement="0"/>
  <w:defaultTabStop w:val="420"/>
  <w:drawingGridVerticalSpacing w:val="23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E92EF1"/>
    <w:rsid w:val="00634947"/>
    <w:rsid w:val="05E55EE8"/>
    <w:rsid w:val="072739F0"/>
    <w:rsid w:val="192A67ED"/>
    <w:rsid w:val="20C03696"/>
    <w:rsid w:val="2EAB00DF"/>
    <w:rsid w:val="314863A5"/>
    <w:rsid w:val="340131D3"/>
    <w:rsid w:val="3CDE68C6"/>
    <w:rsid w:val="3FB10B13"/>
    <w:rsid w:val="4036134D"/>
    <w:rsid w:val="41EE7F98"/>
    <w:rsid w:val="44707122"/>
    <w:rsid w:val="488B31BD"/>
    <w:rsid w:val="4A5F2A46"/>
    <w:rsid w:val="4C883CFB"/>
    <w:rsid w:val="4E340C11"/>
    <w:rsid w:val="52865842"/>
    <w:rsid w:val="53262804"/>
    <w:rsid w:val="54C74449"/>
    <w:rsid w:val="56945724"/>
    <w:rsid w:val="592D1EBB"/>
    <w:rsid w:val="5BD72ED0"/>
    <w:rsid w:val="600A2B69"/>
    <w:rsid w:val="625F105D"/>
    <w:rsid w:val="65B07581"/>
    <w:rsid w:val="6643239D"/>
    <w:rsid w:val="673B0CD9"/>
    <w:rsid w:val="6878133D"/>
    <w:rsid w:val="698155BD"/>
    <w:rsid w:val="6AAC6390"/>
    <w:rsid w:val="74510011"/>
    <w:rsid w:val="75767EB6"/>
    <w:rsid w:val="76145650"/>
    <w:rsid w:val="7696789C"/>
    <w:rsid w:val="7D22609A"/>
    <w:rsid w:val="7FE92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420" w:firstLineChars="200"/>
      <w:jc w:val="both"/>
    </w:pPr>
    <w:rPr>
      <w:rFonts w:eastAsia="方正仿宋_GBK" w:asciiTheme="minorAscii" w:hAnsiTheme="minorAscii" w:cstheme="minorBidi"/>
      <w:kern w:val="2"/>
      <w:sz w:val="32"/>
      <w:szCs w:val="24"/>
      <w:lang w:val="en-US" w:eastAsia="zh-CN" w:bidi="ar-SA"/>
    </w:rPr>
  </w:style>
  <w:style w:type="paragraph" w:styleId="3">
    <w:name w:val="heading 1"/>
    <w:basedOn w:val="1"/>
    <w:next w:val="1"/>
    <w:link w:val="15"/>
    <w:qFormat/>
    <w:uiPriority w:val="0"/>
    <w:pPr>
      <w:keepNext/>
      <w:keepLines/>
      <w:spacing w:line="560" w:lineRule="exact"/>
      <w:outlineLvl w:val="0"/>
    </w:pPr>
    <w:rPr>
      <w:rFonts w:ascii="Calibri" w:hAnsi="Calibri" w:eastAsia="方正小标宋_GBK"/>
      <w:bCs/>
      <w:kern w:val="44"/>
      <w:sz w:val="44"/>
      <w:szCs w:val="44"/>
    </w:rPr>
  </w:style>
  <w:style w:type="paragraph" w:styleId="4">
    <w:name w:val="heading 2"/>
    <w:basedOn w:val="1"/>
    <w:next w:val="1"/>
    <w:semiHidden/>
    <w:unhideWhenUsed/>
    <w:qFormat/>
    <w:uiPriority w:val="0"/>
    <w:pPr>
      <w:keepNext/>
      <w:keepLines/>
      <w:spacing w:beforeLines="0" w:beforeAutospacing="0" w:afterLines="0" w:afterAutospacing="0" w:line="560" w:lineRule="exact"/>
      <w:outlineLvl w:val="1"/>
    </w:pPr>
    <w:rPr>
      <w:rFonts w:ascii="Arial" w:hAnsi="Arial" w:eastAsia="方正黑体_GBK"/>
      <w:sz w:val="32"/>
    </w:rPr>
  </w:style>
  <w:style w:type="paragraph" w:styleId="5">
    <w:name w:val="heading 3"/>
    <w:basedOn w:val="1"/>
    <w:next w:val="1"/>
    <w:semiHidden/>
    <w:unhideWhenUsed/>
    <w:qFormat/>
    <w:uiPriority w:val="0"/>
    <w:pPr>
      <w:keepNext/>
      <w:keepLines/>
      <w:spacing w:beforeLines="0" w:beforeAutospacing="0" w:afterLines="0" w:afterAutospacing="0" w:line="560" w:lineRule="exact"/>
      <w:ind w:firstLine="880" w:firstLineChars="200"/>
      <w:outlineLvl w:val="2"/>
    </w:pPr>
    <w:rPr>
      <w:rFonts w:eastAsia="方正楷体_GBK" w:asciiTheme="minorAscii" w:hAnsiTheme="minorAscii"/>
      <w:sz w:val="32"/>
    </w:rPr>
  </w:style>
  <w:style w:type="character" w:default="1" w:styleId="12">
    <w:name w:val="Default Paragraph Font"/>
    <w:link w:val="13"/>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Body Text"/>
    <w:basedOn w:val="1"/>
    <w:qFormat/>
    <w:uiPriority w:val="0"/>
    <w:rPr>
      <w:rFonts w:ascii="宋体"/>
      <w:b/>
      <w:bCs/>
      <w:sz w:val="4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Body Text First Indent"/>
    <w:basedOn w:val="6"/>
    <w:qFormat/>
    <w:uiPriority w:val="0"/>
    <w:pPr>
      <w:spacing w:line="500" w:lineRule="atLeast"/>
      <w:ind w:firstLine="567"/>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 Char"/>
    <w:basedOn w:val="1"/>
    <w:link w:val="12"/>
    <w:qFormat/>
    <w:uiPriority w:val="0"/>
    <w:pPr>
      <w:widowControl/>
      <w:ind w:left="640"/>
      <w:jc w:val="left"/>
    </w:pPr>
  </w:style>
  <w:style w:type="character" w:styleId="14">
    <w:name w:val="page number"/>
    <w:basedOn w:val="12"/>
    <w:qFormat/>
    <w:uiPriority w:val="0"/>
  </w:style>
  <w:style w:type="character" w:customStyle="1" w:styleId="15">
    <w:name w:val=" Char Char7"/>
    <w:link w:val="3"/>
    <w:qFormat/>
    <w:uiPriority w:val="0"/>
    <w:rPr>
      <w:rFonts w:ascii="Calibri" w:hAnsi="Calibri" w:eastAsia="方正小标宋_GBK"/>
      <w:bCs/>
      <w:kern w:val="44"/>
      <w:sz w:val="44"/>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2021-01-20T08:40:00Z</dcterms:created>
  <dc:creator>jishihong</dc:creator>
  <cp:lastModifiedBy>TongLiang</cp:lastModifiedBy>
  <cp:lastPrinted>2021-02-10T09:02:00Z</cp:lastPrinted>
  <dcterms:modified xsi:type="dcterms:W3CDTF">2024-12-25T03:39:44Z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KSOSaveFontToCloudKey">
    <vt:lpwstr>932334262_btnclosed</vt:lpwstr>
  </property>
  <property fmtid="{D5CDD505-2E9C-101B-9397-08002B2CF9AE}" pid="4" name="ICV">
    <vt:lpwstr>2012B030F9E04766A549B237E768782E</vt:lpwstr>
  </property>
</Properties>
</file>