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附件</w:t>
      </w:r>
      <w:r>
        <w:rPr>
          <w:rFonts w:hint="eastAsia" w:ascii="Times New Roman" w:hAnsi="Times New Roman" w:eastAsia="方正黑体_GBK" w:cs="Times New Roman"/>
          <w:color w:val="auto"/>
          <w:sz w:val="32"/>
          <w:szCs w:val="32"/>
          <w:highlight w:val="none"/>
          <w:lang w:val="en-US" w:eastAsia="zh-CN"/>
        </w:rPr>
        <w:t>1</w:t>
      </w:r>
    </w:p>
    <w:p>
      <w:pPr>
        <w:rPr>
          <w:rFonts w:hint="default" w:ascii="Times New Roman" w:hAnsi="Times New Roman" w:cs="Times New Roman"/>
          <w:color w:val="auto"/>
          <w:sz w:val="48"/>
          <w:szCs w:val="48"/>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center"/>
        <w:textAlignment w:val="auto"/>
        <w:rPr>
          <w:rFonts w:hint="default" w:ascii="Times New Roman" w:hAnsi="Times New Roman" w:eastAsia="方正小标宋_GBK" w:cs="Times New Roman"/>
          <w:color w:val="auto"/>
          <w:sz w:val="44"/>
          <w:szCs w:val="44"/>
          <w:highlight w:val="none"/>
          <w:lang w:val="en-US" w:eastAsia="zh-CN"/>
        </w:rPr>
      </w:pPr>
      <w:r>
        <w:rPr>
          <w:rFonts w:hint="default" w:ascii="Times New Roman" w:hAnsi="Times New Roman" w:eastAsia="方正小标宋_GBK" w:cs="Times New Roman"/>
          <w:color w:val="auto"/>
          <w:sz w:val="44"/>
          <w:szCs w:val="44"/>
          <w:highlight w:val="none"/>
          <w:lang w:val="en-US" w:eastAsia="zh-CN"/>
        </w:rPr>
        <w:t>重庆市铜梁区“十五五”教育、卫生、民政领域全生命周期人口服务体系建设规划</w:t>
      </w:r>
    </w:p>
    <w:p>
      <w:pPr>
        <w:pStyle w:val="2"/>
        <w:keepNext w:val="0"/>
        <w:keepLines w:val="0"/>
        <w:pageBreakBefore w:val="0"/>
        <w:widowControl w:val="0"/>
        <w:kinsoku/>
        <w:wordWrap/>
        <w:overflowPunct/>
        <w:topLinePunct w:val="0"/>
        <w:autoSpaceDE/>
        <w:autoSpaceDN/>
        <w:bidi w:val="0"/>
        <w:adjustRightInd w:val="0"/>
        <w:snapToGrid/>
        <w:spacing w:beforeLines="0" w:beforeAutospacing="0" w:afterLines="0" w:afterAutospacing="0" w:line="594" w:lineRule="exact"/>
        <w:ind w:left="0"/>
        <w:jc w:val="center"/>
        <w:textAlignment w:val="auto"/>
        <w:rPr>
          <w:rFonts w:hint="default" w:ascii="Times New Roman" w:hAnsi="Times New Roman" w:eastAsia="方正楷体_GBK" w:cs="Times New Roman"/>
          <w:b w:val="0"/>
          <w:bCs w:val="0"/>
          <w:color w:val="auto"/>
          <w:kern w:val="2"/>
          <w:sz w:val="36"/>
          <w:szCs w:val="36"/>
          <w:highlight w:val="none"/>
          <w:u w:val="none" w:color="auto"/>
          <w:lang w:val="en-US" w:eastAsia="zh-CN" w:bidi="ar-SA"/>
        </w:rPr>
      </w:pPr>
      <w:r>
        <w:rPr>
          <w:rFonts w:hint="default" w:ascii="Times New Roman" w:hAnsi="Times New Roman" w:eastAsia="方正楷体_GBK" w:cs="Times New Roman"/>
          <w:b w:val="0"/>
          <w:bCs w:val="0"/>
          <w:color w:val="auto"/>
          <w:kern w:val="2"/>
          <w:sz w:val="36"/>
          <w:szCs w:val="36"/>
          <w:highlight w:val="none"/>
          <w:u w:val="none" w:color="auto"/>
          <w:lang w:val="en-US" w:eastAsia="zh-CN" w:bidi="ar-SA"/>
        </w:rPr>
        <w:t>（征求意见稿）</w:t>
      </w: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both"/>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cs="Times New Roman"/>
          <w:color w:val="auto"/>
          <w:highlight w:val="none"/>
        </w:rPr>
      </w:pPr>
    </w:p>
    <w:p>
      <w:pPr>
        <w:ind w:left="0" w:leftChars="0" w:right="0" w:rightChars="0" w:firstLine="0" w:firstLineChars="0"/>
        <w:jc w:val="center"/>
        <w:rPr>
          <w:rFonts w:hint="default" w:ascii="Times New Roman" w:hAnsi="Times New Roman" w:eastAsia="方正黑体_GBK" w:cs="Times New Roman"/>
          <w:color w:val="auto"/>
          <w:sz w:val="32"/>
          <w:szCs w:val="40"/>
          <w:highlight w:val="none"/>
          <w:lang w:val="en-US" w:eastAsia="zh-CN"/>
        </w:rPr>
        <w:sectPr>
          <w:pgSz w:w="11906" w:h="16838"/>
          <w:pgMar w:top="1984" w:right="1446" w:bottom="1644" w:left="1446" w:header="851" w:footer="850" w:gutter="0"/>
          <w:pgBorders>
            <w:top w:val="none" w:sz="0" w:space="0"/>
            <w:left w:val="none" w:sz="0" w:space="0"/>
            <w:bottom w:val="none" w:sz="0" w:space="0"/>
            <w:right w:val="none" w:sz="0" w:space="0"/>
          </w:pgBorders>
          <w:pgNumType w:fmt="numberInDash" w:start="1"/>
          <w:cols w:space="0" w:num="1"/>
          <w:rtlGutter w:val="0"/>
          <w:docGrid w:type="lines" w:linePitch="437" w:charSpace="0"/>
        </w:sectPr>
      </w:pPr>
      <w:r>
        <w:rPr>
          <w:rFonts w:hint="default" w:ascii="Times New Roman" w:hAnsi="Times New Roman" w:eastAsia="方正黑体_GBK" w:cs="Times New Roman"/>
          <w:color w:val="auto"/>
          <w:sz w:val="32"/>
          <w:szCs w:val="40"/>
          <w:highlight w:val="none"/>
          <w:lang w:val="en-US" w:eastAsia="zh-CN"/>
        </w:rPr>
        <w:t>2026年8月</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center"/>
        <w:textAlignment w:val="auto"/>
        <w:rPr>
          <w:rFonts w:hint="default" w:ascii="Times New Roman" w:hAnsi="Times New Roman" w:eastAsia="方正黑体_GBK" w:cs="Times New Roman"/>
          <w:color w:val="auto"/>
          <w:sz w:val="44"/>
          <w:szCs w:val="44"/>
          <w:highlight w:val="none"/>
          <w:lang w:val="en-US" w:eastAsia="zh-CN"/>
        </w:rPr>
      </w:pPr>
      <w:r>
        <w:rPr>
          <w:rFonts w:hint="default" w:ascii="Times New Roman" w:hAnsi="Times New Roman" w:eastAsia="方正黑体_GBK" w:cs="Times New Roman"/>
          <w:color w:val="auto"/>
          <w:sz w:val="44"/>
          <w:szCs w:val="44"/>
          <w:highlight w:val="none"/>
          <w:lang w:val="en-US" w:eastAsia="zh-CN"/>
        </w:rPr>
        <w:t>目  录</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eastAsia="zh-CN"/>
        </w:rPr>
        <w:t>一、</w:t>
      </w:r>
      <w:r>
        <w:rPr>
          <w:rFonts w:hint="default" w:ascii="Times New Roman" w:hAnsi="Times New Roman" w:eastAsia="方正黑体_GBK" w:cs="Times New Roman"/>
          <w:color w:val="auto"/>
          <w:sz w:val="32"/>
          <w:szCs w:val="32"/>
          <w:highlight w:val="none"/>
        </w:rPr>
        <w:t>总体</w:t>
      </w:r>
      <w:r>
        <w:rPr>
          <w:rFonts w:hint="default" w:ascii="Times New Roman" w:hAnsi="Times New Roman" w:eastAsia="方正黑体_GBK" w:cs="Times New Roman"/>
          <w:color w:val="auto"/>
          <w:sz w:val="32"/>
          <w:szCs w:val="32"/>
          <w:highlight w:val="none"/>
          <w:lang w:eastAsia="zh-CN"/>
        </w:rPr>
        <w:t>思路与</w:t>
      </w:r>
      <w:r>
        <w:rPr>
          <w:rFonts w:hint="default" w:ascii="Times New Roman" w:hAnsi="Times New Roman" w:eastAsia="方正黑体_GBK" w:cs="Times New Roman"/>
          <w:color w:val="auto"/>
          <w:sz w:val="32"/>
          <w:szCs w:val="32"/>
          <w:highlight w:val="none"/>
          <w:lang w:val="en-US" w:eastAsia="zh-CN"/>
        </w:rPr>
        <w:t>目标</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（一）指导思想</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4" w:lineRule="exact"/>
        <w:ind w:left="0" w:righ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kern w:val="2"/>
          <w:sz w:val="32"/>
          <w:szCs w:val="32"/>
          <w:lang w:val="en-US" w:eastAsia="zh-CN" w:bidi="ar"/>
        </w:rPr>
        <w:t>（二）基本原则</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（三）发展目标</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黑体_GBK" w:cs="Times New Roman"/>
          <w:color w:val="auto"/>
          <w:sz w:val="32"/>
          <w:szCs w:val="32"/>
          <w:highlight w:val="none"/>
          <w:lang w:eastAsia="zh-CN"/>
        </w:rPr>
      </w:pPr>
      <w:r>
        <w:rPr>
          <w:rFonts w:hint="default" w:ascii="Times New Roman" w:hAnsi="Times New Roman" w:eastAsia="方正黑体_GBK" w:cs="Times New Roman"/>
          <w:color w:val="auto"/>
          <w:sz w:val="32"/>
          <w:szCs w:val="32"/>
          <w:highlight w:val="none"/>
          <w:lang w:eastAsia="zh-CN"/>
        </w:rPr>
        <w:t>二、主要任务</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（一）幼有所育：完善生育支持与儿童早期发展服务体系</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（二）学有所教：构建服务全民终身学习的教育体系</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（三）老有所养：构建普惠多元养老服务体系</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（四）弱有所扶：完善特殊人群精准帮扶体系</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（五）病有所医：健全医疗卫生服务体系</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（六）逝有所安：建立健全基本殡葬服务保障体系</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黑体_GBK" w:cs="Times New Roman"/>
          <w:color w:val="auto"/>
          <w:sz w:val="32"/>
          <w:szCs w:val="32"/>
          <w:highlight w:val="none"/>
        </w:rPr>
      </w:pPr>
      <w:r>
        <w:rPr>
          <w:rFonts w:hint="default" w:ascii="Times New Roman" w:hAnsi="Times New Roman" w:eastAsia="方正楷体_GBK" w:cs="Times New Roman"/>
          <w:b w:val="0"/>
          <w:bCs w:val="0"/>
          <w:color w:val="auto"/>
          <w:sz w:val="32"/>
          <w:szCs w:val="32"/>
          <w:highlight w:val="none"/>
          <w:lang w:val="en-US" w:eastAsia="zh-CN"/>
        </w:rPr>
        <w:t>（七）推动服务供给改革创新</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（八）推进服务数智化转型</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eastAsia="zh-CN"/>
        </w:rPr>
        <w:t>三、实施</w:t>
      </w:r>
      <w:r>
        <w:rPr>
          <w:rFonts w:hint="default" w:ascii="Times New Roman" w:hAnsi="Times New Roman" w:eastAsia="方正黑体_GBK" w:cs="Times New Roman"/>
          <w:color w:val="auto"/>
          <w:sz w:val="32"/>
          <w:szCs w:val="32"/>
          <w:highlight w:val="none"/>
        </w:rPr>
        <w:t>保障</w:t>
      </w:r>
    </w:p>
    <w:p>
      <w:pPr>
        <w:keepNext w:val="0"/>
        <w:keepLines w:val="0"/>
        <w:widowControl w:val="0"/>
        <w:suppressLineNumbers w:val="0"/>
        <w:autoSpaceDE w:val="0"/>
        <w:autoSpaceDN/>
        <w:spacing w:before="0" w:beforeAutospacing="0" w:after="0" w:afterAutospacing="0" w:line="594" w:lineRule="exact"/>
        <w:ind w:left="0" w:right="0"/>
        <w:jc w:val="left"/>
        <w:rPr>
          <w:rFonts w:hint="default" w:ascii="Times New Roman" w:hAnsi="Times New Roman" w:eastAsia="方正楷体_GBK" w:cs="Times New Roman"/>
          <w:b w:val="0"/>
          <w:bCs w:val="0"/>
          <w:kern w:val="2"/>
          <w:sz w:val="32"/>
          <w:szCs w:val="32"/>
        </w:rPr>
      </w:pPr>
      <w:r>
        <w:rPr>
          <w:rFonts w:hint="default" w:ascii="Times New Roman" w:hAnsi="Times New Roman" w:eastAsia="方正楷体_GBK" w:cs="Times New Roman"/>
          <w:b w:val="0"/>
          <w:bCs w:val="0"/>
          <w:kern w:val="2"/>
          <w:sz w:val="32"/>
          <w:szCs w:val="32"/>
          <w:lang w:val="en-US" w:eastAsia="zh-CN" w:bidi="ar"/>
        </w:rPr>
        <w:t>（一）加强组织领导与统筹协调</w:t>
      </w:r>
    </w:p>
    <w:p>
      <w:pPr>
        <w:keepNext w:val="0"/>
        <w:keepLines w:val="0"/>
        <w:widowControl w:val="0"/>
        <w:suppressLineNumbers w:val="0"/>
        <w:autoSpaceDE w:val="0"/>
        <w:autoSpaceDN/>
        <w:spacing w:before="0" w:beforeAutospacing="0" w:after="0" w:afterAutospacing="0" w:line="594" w:lineRule="exact"/>
        <w:ind w:left="0" w:right="0"/>
        <w:jc w:val="left"/>
        <w:rPr>
          <w:rFonts w:hint="default" w:ascii="Times New Roman" w:hAnsi="Times New Roman" w:eastAsia="方正楷体_GBK" w:cs="Times New Roman"/>
          <w:b w:val="0"/>
          <w:bCs w:val="0"/>
          <w:kern w:val="2"/>
          <w:sz w:val="32"/>
          <w:szCs w:val="32"/>
        </w:rPr>
      </w:pPr>
      <w:r>
        <w:rPr>
          <w:rFonts w:hint="default" w:ascii="Times New Roman" w:hAnsi="Times New Roman" w:eastAsia="方正楷体_GBK" w:cs="Times New Roman"/>
          <w:b w:val="0"/>
          <w:bCs w:val="0"/>
          <w:kern w:val="2"/>
          <w:sz w:val="32"/>
          <w:szCs w:val="32"/>
          <w:lang w:val="en-US" w:eastAsia="zh-CN" w:bidi="ar"/>
        </w:rPr>
        <w:t>（二）强化要素支撑与投入保障</w:t>
      </w:r>
    </w:p>
    <w:p>
      <w:pPr>
        <w:keepNext w:val="0"/>
        <w:keepLines w:val="0"/>
        <w:widowControl w:val="0"/>
        <w:suppressLineNumbers w:val="0"/>
        <w:autoSpaceDE w:val="0"/>
        <w:autoSpaceDN/>
        <w:spacing w:before="0" w:beforeAutospacing="0" w:after="0" w:afterAutospacing="0" w:line="594" w:lineRule="exact"/>
        <w:ind w:left="0" w:right="0"/>
        <w:jc w:val="left"/>
        <w:rPr>
          <w:rFonts w:hint="default" w:ascii="Times New Roman" w:hAnsi="Times New Roman" w:eastAsia="方正楷体_GBK" w:cs="Times New Roman"/>
          <w:b w:val="0"/>
          <w:bCs w:val="0"/>
          <w:kern w:val="2"/>
          <w:sz w:val="32"/>
          <w:szCs w:val="32"/>
        </w:rPr>
      </w:pPr>
      <w:r>
        <w:rPr>
          <w:rFonts w:hint="default" w:ascii="Times New Roman" w:hAnsi="Times New Roman" w:eastAsia="方正楷体_GBK" w:cs="Times New Roman"/>
          <w:b w:val="0"/>
          <w:bCs w:val="0"/>
          <w:kern w:val="2"/>
          <w:sz w:val="32"/>
          <w:szCs w:val="32"/>
          <w:lang w:val="en-US" w:eastAsia="zh-CN" w:bidi="ar"/>
        </w:rPr>
        <w:t>（三）健全监测评估与动态调整</w:t>
      </w:r>
    </w:p>
    <w:p>
      <w:pPr>
        <w:keepNext w:val="0"/>
        <w:keepLines w:val="0"/>
        <w:widowControl w:val="0"/>
        <w:suppressLineNumbers w:val="0"/>
        <w:autoSpaceDE w:val="0"/>
        <w:autoSpaceDN/>
        <w:spacing w:before="0" w:beforeAutospacing="0" w:after="0" w:afterAutospacing="0" w:line="594" w:lineRule="exact"/>
        <w:ind w:left="0" w:right="0"/>
        <w:jc w:val="left"/>
        <w:rPr>
          <w:rFonts w:hint="default" w:ascii="Times New Roman" w:hAnsi="Times New Roman" w:eastAsia="方正楷体_GBK" w:cs="Times New Roman"/>
          <w:b w:val="0"/>
          <w:bCs w:val="0"/>
          <w:kern w:val="2"/>
          <w:sz w:val="32"/>
          <w:szCs w:val="32"/>
        </w:rPr>
      </w:pPr>
      <w:r>
        <w:rPr>
          <w:rFonts w:hint="default" w:ascii="Times New Roman" w:hAnsi="Times New Roman" w:eastAsia="方正楷体_GBK" w:cs="Times New Roman"/>
          <w:b w:val="0"/>
          <w:bCs w:val="0"/>
          <w:kern w:val="2"/>
          <w:sz w:val="32"/>
          <w:szCs w:val="32"/>
          <w:lang w:val="en-US" w:eastAsia="zh-CN" w:bidi="ar"/>
        </w:rPr>
        <w:t>（四）营造良好氛围与社会参与</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jc w:val="left"/>
        <w:textAlignment w:val="auto"/>
        <w:rPr>
          <w:rFonts w:hint="default" w:ascii="Times New Roman" w:hAnsi="Times New Roman" w:eastAsia="方正楷体_GBK" w:cs="Times New Roman"/>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rPr>
          <w:rFonts w:hint="default" w:ascii="Times New Roman" w:hAnsi="Times New Roman" w:eastAsia="方正仿宋_GBK" w:cs="Times New Roman"/>
          <w:b w:val="0"/>
          <w:bCs w:val="0"/>
          <w:color w:val="auto"/>
          <w:kern w:val="44"/>
          <w:sz w:val="32"/>
          <w:szCs w:val="32"/>
          <w:highlight w:val="none"/>
          <w:u w:val="none" w:color="auto"/>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rPr>
          <w:rFonts w:hint="default" w:ascii="Times New Roman" w:hAnsi="Times New Roman" w:eastAsia="方正仿宋_GBK" w:cs="Times New Roman"/>
          <w:b w:val="0"/>
          <w:bCs w:val="0"/>
          <w:color w:val="auto"/>
          <w:kern w:val="44"/>
          <w:sz w:val="32"/>
          <w:szCs w:val="32"/>
          <w:highlight w:val="none"/>
          <w:u w:val="none" w:color="auto"/>
          <w:lang w:val="en-US" w:eastAsia="zh-CN" w:bidi="ar-SA"/>
        </w:rPr>
        <w:sectPr>
          <w:footerReference r:id="rId3" w:type="default"/>
          <w:pgSz w:w="11906" w:h="16838"/>
          <w:pgMar w:top="1984" w:right="1446" w:bottom="1644" w:left="1446" w:header="851" w:footer="992" w:gutter="0"/>
          <w:pgNumType w:fmt="numberInDash" w:start="1"/>
          <w:cols w:space="0" w:num="1"/>
          <w:rtlGutter w:val="0"/>
          <w:docGrid w:type="lines" w:linePitch="321" w:charSpace="0"/>
        </w:sectPr>
      </w:pP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rPr>
          <w:rFonts w:hint="default" w:ascii="Times New Roman" w:hAnsi="Times New Roman" w:eastAsia="方正仿宋_GBK" w:cs="Times New Roman"/>
          <w:b w:val="0"/>
          <w:bCs w:val="0"/>
          <w:color w:val="auto"/>
          <w:kern w:val="44"/>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44"/>
          <w:sz w:val="32"/>
          <w:szCs w:val="32"/>
          <w:highlight w:val="none"/>
          <w:u w:val="none" w:color="auto"/>
          <w:lang w:val="en-US" w:eastAsia="zh-CN" w:bidi="ar-SA"/>
        </w:rPr>
        <w:t>本规划是铜梁区“十五五”规划纲要民生专项规划，立足教育、卫生健康、民政三大核心民生领域，聚焦老年人、未成年人及特殊困难群体全生命周期服务需求，着力破解民生服务痛点短板，统筹优化公共服务供给，持续增进民生福祉，为全区经济社会高质量发展筑牢坚实民生保障。</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eastAsia="zh-CN"/>
        </w:rPr>
        <w:t>一、</w:t>
      </w:r>
      <w:r>
        <w:rPr>
          <w:rFonts w:hint="default" w:ascii="Times New Roman" w:hAnsi="Times New Roman" w:eastAsia="方正黑体_GBK" w:cs="Times New Roman"/>
          <w:color w:val="auto"/>
          <w:sz w:val="32"/>
          <w:szCs w:val="32"/>
          <w:highlight w:val="none"/>
        </w:rPr>
        <w:t>总体</w:t>
      </w:r>
      <w:r>
        <w:rPr>
          <w:rFonts w:hint="default" w:ascii="Times New Roman" w:hAnsi="Times New Roman" w:eastAsia="方正黑体_GBK" w:cs="Times New Roman"/>
          <w:color w:val="auto"/>
          <w:sz w:val="32"/>
          <w:szCs w:val="32"/>
          <w:highlight w:val="none"/>
          <w:lang w:eastAsia="zh-CN"/>
        </w:rPr>
        <w:t>思路</w:t>
      </w:r>
      <w:r>
        <w:rPr>
          <w:rFonts w:hint="default" w:ascii="Times New Roman" w:hAnsi="Times New Roman" w:eastAsia="方正黑体_GBK" w:cs="Times New Roman"/>
          <w:color w:val="auto"/>
          <w:sz w:val="32"/>
          <w:szCs w:val="32"/>
          <w:highlight w:val="none"/>
          <w:lang w:val="en-US" w:eastAsia="zh-CN"/>
        </w:rPr>
        <w:t>与目标</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eastAsia="zh-CN"/>
        </w:rPr>
        <w:t>（一）</w:t>
      </w:r>
      <w:r>
        <w:rPr>
          <w:rFonts w:hint="default" w:ascii="Times New Roman" w:hAnsi="Times New Roman" w:eastAsia="方正楷体_GBK" w:cs="Times New Roman"/>
          <w:b w:val="0"/>
          <w:bCs w:val="0"/>
          <w:color w:val="auto"/>
          <w:sz w:val="32"/>
          <w:szCs w:val="32"/>
          <w:highlight w:val="none"/>
        </w:rPr>
        <w:t>指导思想</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94" w:lineRule="exact"/>
        <w:ind w:left="0" w:right="0" w:firstLine="640" w:firstLineChars="200"/>
        <w:jc w:val="both"/>
        <w:textAlignment w:val="auto"/>
        <w:rPr>
          <w:rFonts w:hint="default" w:ascii="Times New Roman" w:hAnsi="Times New Roman" w:eastAsia="方正仿宋_GBK" w:cs="Times New Roman"/>
          <w:b w:val="0"/>
          <w:bCs w:val="0"/>
          <w:color w:val="auto"/>
          <w:kern w:val="2"/>
          <w:sz w:val="32"/>
          <w:szCs w:val="32"/>
          <w:highlight w:val="none"/>
          <w:u w:val="none"/>
          <w:lang w:val="en-US" w:eastAsia="zh-CN" w:bidi="ar"/>
        </w:rPr>
      </w:pPr>
      <w:r>
        <w:rPr>
          <w:rFonts w:hint="default" w:ascii="Times New Roman" w:hAnsi="Times New Roman" w:eastAsia="方正仿宋_GBK" w:cs="Times New Roman"/>
          <w:b w:val="0"/>
          <w:bCs w:val="0"/>
          <w:color w:val="auto"/>
          <w:kern w:val="2"/>
          <w:sz w:val="32"/>
          <w:szCs w:val="32"/>
          <w:highlight w:val="none"/>
          <w:u w:val="none"/>
          <w:lang w:val="en-US" w:eastAsia="zh-CN" w:bidi="ar"/>
        </w:rPr>
        <w:t>坚持以习近平新时代中国特色社会主义思想为指导，深入贯彻落实党的二十届四中全会关于“健全覆盖全人群、全生命周期的人口服务体系”的战略部署，始终坚持以人民为中心的发展思想，严格对标国家、重庆市及铜梁区“十五五”规划纲要，锚定铜梁建设“三高五新”发展目标，以建成教育强区、健康铜梁与</w:t>
      </w:r>
      <w:r>
        <w:rPr>
          <w:rFonts w:hint="default" w:ascii="Times New Roman" w:hAnsi="Times New Roman" w:eastAsia="方正仿宋_GBK" w:cs="Times New Roman"/>
          <w:b w:val="0"/>
          <w:bCs w:val="0"/>
          <w:color w:val="auto"/>
          <w:kern w:val="2"/>
          <w:sz w:val="32"/>
          <w:szCs w:val="32"/>
          <w:highlight w:val="none"/>
          <w:lang w:val="en-US" w:eastAsia="zh-CN" w:bidi="ar"/>
        </w:rPr>
        <w:t>暖心</w:t>
      </w:r>
      <w:r>
        <w:rPr>
          <w:rFonts w:hint="default" w:ascii="Times New Roman" w:hAnsi="Times New Roman" w:eastAsia="方正仿宋_GBK" w:cs="Times New Roman"/>
          <w:color w:val="auto"/>
          <w:kern w:val="2"/>
          <w:sz w:val="32"/>
          <w:szCs w:val="32"/>
          <w:highlight w:val="none"/>
          <w:lang w:val="en-US" w:eastAsia="zh-CN" w:bidi="ar"/>
        </w:rPr>
        <w:t>民政</w:t>
      </w:r>
      <w:r>
        <w:rPr>
          <w:rFonts w:hint="default" w:ascii="Times New Roman" w:hAnsi="Times New Roman" w:eastAsia="方正仿宋_GBK" w:cs="Times New Roman"/>
          <w:b w:val="0"/>
          <w:bCs w:val="0"/>
          <w:color w:val="auto"/>
          <w:kern w:val="2"/>
          <w:sz w:val="32"/>
          <w:szCs w:val="32"/>
          <w:highlight w:val="none"/>
          <w:u w:val="none"/>
          <w:lang w:val="en-US" w:eastAsia="zh-CN" w:bidi="ar"/>
        </w:rPr>
        <w:t>为支撑，聚焦重点群体与全生命周期人口服务体系需求，统筹教育公平托举、卫生健康守护、民政兜底保障三大领域服务协同，着力构建普惠均等、便捷可及、优质高效、温情友好的全生命周期人口服务体系，推动“产城人”融合发展，持续增进民生福祉、激发城市发展活力，为加快</w:t>
      </w:r>
      <w:r>
        <w:rPr>
          <w:rFonts w:hint="default" w:ascii="Times New Roman" w:hAnsi="Times New Roman" w:eastAsia="方正仿宋_GBK" w:cs="Times New Roman"/>
          <w:b w:val="0"/>
          <w:bCs w:val="0"/>
          <w:color w:val="000000" w:themeColor="text1"/>
          <w:sz w:val="32"/>
          <w:szCs w:val="32"/>
          <w:highlight w:val="none"/>
          <w:u w:val="none" w:color="auto"/>
          <w:lang w:val="en-US" w:eastAsia="zh-CN"/>
          <w14:textFill>
            <w14:solidFill>
              <w14:schemeClr w14:val="tx1"/>
            </w14:solidFill>
          </w14:textFill>
        </w:rPr>
        <w:t>现代化新重庆建设铜梁实践</w:t>
      </w:r>
      <w:r>
        <w:rPr>
          <w:rFonts w:hint="default" w:ascii="Times New Roman" w:hAnsi="Times New Roman" w:eastAsia="方正仿宋_GBK" w:cs="Times New Roman"/>
          <w:b w:val="0"/>
          <w:bCs w:val="0"/>
          <w:color w:val="auto"/>
          <w:kern w:val="2"/>
          <w:sz w:val="32"/>
          <w:szCs w:val="32"/>
          <w:highlight w:val="none"/>
          <w:u w:val="none"/>
          <w:lang w:val="en-US" w:eastAsia="zh-CN" w:bidi="ar"/>
        </w:rPr>
        <w:t>筑牢民生保障根基。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
        </w:rPr>
      </w:pPr>
      <w:r>
        <w:rPr>
          <w:rFonts w:hint="default" w:ascii="Times New Roman" w:hAnsi="Times New Roman" w:eastAsia="方正楷体_GBK" w:cs="Times New Roman"/>
          <w:b w:val="0"/>
          <w:bCs w:val="0"/>
          <w:color w:val="auto"/>
          <w:kern w:val="2"/>
          <w:sz w:val="32"/>
          <w:szCs w:val="32"/>
          <w:lang w:val="en-US" w:eastAsia="zh-CN" w:bidi="ar"/>
        </w:rPr>
        <w:t>（二）基本原则</w:t>
      </w:r>
    </w:p>
    <w:p>
      <w:pPr>
        <w:keepNext w:val="0"/>
        <w:keepLines w:val="0"/>
        <w:widowControl/>
        <w:suppressLineNumbers w:val="0"/>
        <w:autoSpaceDE w:val="0"/>
        <w:autoSpaceDN/>
        <w:spacing w:before="0" w:beforeAutospacing="0" w:after="0" w:afterAutospacing="0" w:line="594" w:lineRule="exact"/>
        <w:ind w:left="0" w:right="0" w:firstLine="642" w:firstLineChars="200"/>
        <w:jc w:val="both"/>
        <w:rPr>
          <w:rFonts w:hint="default" w:ascii="Times New Roman" w:hAnsi="Times New Roman" w:eastAsia="方正仿宋_GBK" w:cs="Times New Roman"/>
          <w:i w:val="0"/>
          <w:iCs w:val="0"/>
          <w:caps w:val="0"/>
          <w:spacing w:val="0"/>
          <w:kern w:val="0"/>
          <w:sz w:val="32"/>
          <w:szCs w:val="32"/>
          <w:shd w:val="clear" w:fill="FFFFFF"/>
        </w:rPr>
      </w:pPr>
      <w:r>
        <w:rPr>
          <w:rFonts w:hint="default" w:ascii="Times New Roman" w:hAnsi="Times New Roman" w:eastAsia="方正仿宋_GBK" w:cs="Times New Roman"/>
          <w:b/>
          <w:bCs/>
          <w:i w:val="0"/>
          <w:iCs w:val="0"/>
          <w:caps w:val="0"/>
          <w:spacing w:val="0"/>
          <w:kern w:val="0"/>
          <w:sz w:val="32"/>
          <w:szCs w:val="32"/>
          <w:shd w:val="clear" w:fill="FFFFFF"/>
          <w:lang w:val="en-US" w:eastAsia="zh-CN" w:bidi="ar"/>
        </w:rPr>
        <w:t>1.坚持民生为本、普惠共享。</w:t>
      </w:r>
      <w:r>
        <w:rPr>
          <w:rFonts w:hint="default" w:ascii="Times New Roman" w:hAnsi="Times New Roman" w:eastAsia="方正仿宋_GBK" w:cs="Times New Roman"/>
          <w:i w:val="0"/>
          <w:iCs w:val="0"/>
          <w:caps w:val="0"/>
          <w:spacing w:val="0"/>
          <w:kern w:val="0"/>
          <w:sz w:val="32"/>
          <w:szCs w:val="32"/>
          <w:shd w:val="clear" w:fill="FFFFFF"/>
          <w:lang w:val="en-US" w:eastAsia="zh-CN" w:bidi="ar"/>
        </w:rPr>
        <w:t xml:space="preserve">立足铜梁实际，聚焦群众全生命周期需求，扩大普惠公共服务供给，推动服务均衡可及，促进发展成果更多更公平惠及全体人民。 </w:t>
      </w:r>
    </w:p>
    <w:p>
      <w:pPr>
        <w:keepNext w:val="0"/>
        <w:keepLines w:val="0"/>
        <w:widowControl/>
        <w:suppressLineNumbers w:val="0"/>
        <w:autoSpaceDE w:val="0"/>
        <w:autoSpaceDN/>
        <w:spacing w:before="0" w:beforeAutospacing="0" w:after="0" w:afterAutospacing="0" w:line="594" w:lineRule="exact"/>
        <w:ind w:left="0" w:right="0" w:firstLine="642" w:firstLineChars="200"/>
        <w:jc w:val="both"/>
        <w:rPr>
          <w:rFonts w:hint="default" w:ascii="Times New Roman" w:hAnsi="Times New Roman" w:eastAsia="方正仿宋_GBK" w:cs="Times New Roman"/>
          <w:i w:val="0"/>
          <w:iCs w:val="0"/>
          <w:caps w:val="0"/>
          <w:spacing w:val="0"/>
          <w:kern w:val="0"/>
          <w:sz w:val="32"/>
          <w:szCs w:val="32"/>
          <w:shd w:val="clear" w:fill="FFFFFF"/>
        </w:rPr>
      </w:pPr>
      <w:r>
        <w:rPr>
          <w:rFonts w:hint="default" w:ascii="Times New Roman" w:hAnsi="Times New Roman" w:eastAsia="方正仿宋_GBK" w:cs="Times New Roman"/>
          <w:b/>
          <w:bCs/>
          <w:i w:val="0"/>
          <w:iCs w:val="0"/>
          <w:caps w:val="0"/>
          <w:spacing w:val="0"/>
          <w:kern w:val="0"/>
          <w:sz w:val="32"/>
          <w:szCs w:val="32"/>
          <w:shd w:val="clear" w:fill="FFFFFF"/>
          <w:lang w:val="en-US" w:eastAsia="zh-CN" w:bidi="ar"/>
        </w:rPr>
        <w:t>2.坚持政府主导、多元联动。</w:t>
      </w:r>
      <w:r>
        <w:rPr>
          <w:rFonts w:hint="default" w:ascii="Times New Roman" w:hAnsi="Times New Roman" w:eastAsia="方正仿宋_GBK" w:cs="Times New Roman"/>
          <w:i w:val="0"/>
          <w:iCs w:val="0"/>
          <w:caps w:val="0"/>
          <w:spacing w:val="0"/>
          <w:kern w:val="0"/>
          <w:sz w:val="32"/>
          <w:szCs w:val="32"/>
          <w:shd w:val="clear" w:fill="FFFFFF"/>
          <w:lang w:val="en-US" w:eastAsia="zh-CN" w:bidi="ar"/>
        </w:rPr>
        <w:t xml:space="preserve">强化政府在政策、资源、兜底保障等方面主导作用，积极引导市场、社会力量参与，构建多方协同、共建共治的服务供给格局。 </w:t>
      </w:r>
    </w:p>
    <w:p>
      <w:pPr>
        <w:keepNext w:val="0"/>
        <w:keepLines w:val="0"/>
        <w:widowControl/>
        <w:suppressLineNumbers w:val="0"/>
        <w:autoSpaceDE w:val="0"/>
        <w:autoSpaceDN/>
        <w:spacing w:before="0" w:beforeAutospacing="0" w:after="0" w:afterAutospacing="0" w:line="594" w:lineRule="exact"/>
        <w:ind w:left="0" w:right="0" w:firstLine="642" w:firstLineChars="200"/>
        <w:jc w:val="both"/>
        <w:rPr>
          <w:rFonts w:hint="default" w:ascii="Times New Roman" w:hAnsi="Times New Roman" w:eastAsia="方正仿宋_GBK" w:cs="Times New Roman"/>
          <w:i w:val="0"/>
          <w:iCs w:val="0"/>
          <w:caps w:val="0"/>
          <w:spacing w:val="0"/>
          <w:kern w:val="0"/>
          <w:sz w:val="32"/>
          <w:szCs w:val="32"/>
          <w:shd w:val="clear" w:fill="FFFFFF"/>
          <w:lang w:val="en-US" w:eastAsia="zh-CN" w:bidi="ar"/>
        </w:rPr>
      </w:pPr>
      <w:r>
        <w:rPr>
          <w:rFonts w:hint="default" w:ascii="Times New Roman" w:hAnsi="Times New Roman" w:eastAsia="方正仿宋_GBK" w:cs="Times New Roman"/>
          <w:b/>
          <w:bCs/>
          <w:i w:val="0"/>
          <w:iCs w:val="0"/>
          <w:caps w:val="0"/>
          <w:spacing w:val="0"/>
          <w:kern w:val="0"/>
          <w:sz w:val="32"/>
          <w:szCs w:val="32"/>
          <w:shd w:val="clear" w:fill="FFFFFF"/>
          <w:lang w:val="en-US" w:eastAsia="zh-CN" w:bidi="ar"/>
        </w:rPr>
        <w:t>3.坚持供需匹配、动态适配。</w:t>
      </w:r>
      <w:r>
        <w:rPr>
          <w:rFonts w:hint="default" w:ascii="Times New Roman" w:hAnsi="Times New Roman" w:eastAsia="方正仿宋_GBK" w:cs="Times New Roman"/>
          <w:i w:val="0"/>
          <w:iCs w:val="0"/>
          <w:caps w:val="0"/>
          <w:spacing w:val="0"/>
          <w:kern w:val="0"/>
          <w:sz w:val="32"/>
          <w:szCs w:val="32"/>
          <w:shd w:val="clear" w:fill="FFFFFF"/>
          <w:lang w:val="en-US" w:eastAsia="zh-CN" w:bidi="ar"/>
        </w:rPr>
        <w:t xml:space="preserve">紧扣人口结构变化与需求升级，优化资源配置，健全需求响应机制，推动服务供给与城乡发展、人群需求精准适配、动态调整。 </w:t>
      </w:r>
    </w:p>
    <w:p>
      <w:pPr>
        <w:keepNext w:val="0"/>
        <w:keepLines w:val="0"/>
        <w:widowControl/>
        <w:suppressLineNumbers w:val="0"/>
        <w:autoSpaceDE w:val="0"/>
        <w:autoSpaceDN/>
        <w:spacing w:before="0" w:beforeAutospacing="0" w:after="0" w:afterAutospacing="0" w:line="594" w:lineRule="exact"/>
        <w:ind w:left="0" w:right="0" w:firstLine="642" w:firstLineChars="200"/>
        <w:jc w:val="both"/>
        <w:rPr>
          <w:rFonts w:hint="default" w:ascii="Times New Roman" w:hAnsi="Times New Roman" w:eastAsia="方正仿宋_GBK" w:cs="Times New Roman"/>
          <w:b w:val="0"/>
          <w:bCs w:val="0"/>
          <w:color w:val="auto"/>
          <w:kern w:val="2"/>
          <w:sz w:val="32"/>
          <w:szCs w:val="32"/>
          <w:highlight w:val="none"/>
          <w:u w:val="none"/>
          <w:lang w:val="en-US" w:eastAsia="zh-CN" w:bidi="ar"/>
        </w:rPr>
      </w:pPr>
      <w:r>
        <w:rPr>
          <w:rFonts w:hint="default" w:ascii="Times New Roman" w:hAnsi="Times New Roman" w:eastAsia="方正仿宋_GBK" w:cs="Times New Roman"/>
          <w:b/>
          <w:bCs/>
          <w:i w:val="0"/>
          <w:iCs w:val="0"/>
          <w:caps w:val="0"/>
          <w:spacing w:val="0"/>
          <w:kern w:val="0"/>
          <w:sz w:val="32"/>
          <w:szCs w:val="32"/>
          <w:shd w:val="clear" w:fill="FFFFFF"/>
          <w:lang w:val="en-US" w:eastAsia="zh-CN" w:bidi="ar"/>
        </w:rPr>
        <w:t>4.坚持数字赋能、创新驱动。</w:t>
      </w:r>
      <w:r>
        <w:rPr>
          <w:rFonts w:hint="default" w:ascii="Times New Roman" w:hAnsi="Times New Roman" w:eastAsia="方正仿宋_GBK" w:cs="Times New Roman"/>
          <w:i w:val="0"/>
          <w:iCs w:val="0"/>
          <w:caps w:val="0"/>
          <w:spacing w:val="0"/>
          <w:kern w:val="0"/>
          <w:sz w:val="32"/>
          <w:szCs w:val="32"/>
          <w:shd w:val="clear" w:fill="FFFFFF"/>
          <w:lang w:val="en-US" w:eastAsia="zh-CN" w:bidi="ar"/>
        </w:rPr>
        <w:t>抢抓数字重庆建设机遇，运用数字化、智能化技术赋能服务提质，以改革创新破解体制机制短板，提升服务效能与现代化水平。</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lang w:eastAsia="zh-CN"/>
        </w:rPr>
        <w:t>（三）</w:t>
      </w:r>
      <w:r>
        <w:rPr>
          <w:rFonts w:hint="default" w:ascii="Times New Roman" w:hAnsi="Times New Roman" w:eastAsia="方正楷体_GBK" w:cs="Times New Roman"/>
          <w:b w:val="0"/>
          <w:bCs w:val="0"/>
          <w:color w:val="auto"/>
          <w:sz w:val="32"/>
          <w:szCs w:val="32"/>
          <w:highlight w:val="none"/>
        </w:rPr>
        <w:t>发展目标</w:t>
      </w:r>
    </w:p>
    <w:p>
      <w:pPr>
        <w:keepNext w:val="0"/>
        <w:keepLines w:val="0"/>
        <w:widowControl w:val="0"/>
        <w:suppressLineNumbers w:val="0"/>
        <w:autoSpaceDE w:val="0"/>
        <w:autoSpaceDN/>
        <w:spacing w:before="0" w:beforeAutospacing="0" w:after="0" w:afterAutospacing="0" w:line="594" w:lineRule="exact"/>
        <w:ind w:left="0" w:right="0" w:firstLine="640"/>
        <w:jc w:val="both"/>
        <w:rPr>
          <w:rFonts w:hint="default" w:ascii="Times New Roman" w:hAnsi="Times New Roman" w:eastAsia="方正仿宋_GBK" w:cs="Times New Roman"/>
          <w:color w:val="auto"/>
          <w:kern w:val="2"/>
          <w:sz w:val="32"/>
          <w:szCs w:val="32"/>
          <w:highlight w:val="none"/>
          <w:lang w:val="en-US" w:eastAsia="zh" w:bidi="ar-SA"/>
        </w:rPr>
      </w:pPr>
      <w:r>
        <w:rPr>
          <w:rFonts w:hint="default" w:ascii="Times New Roman" w:hAnsi="Times New Roman" w:eastAsia="方正仿宋_GBK" w:cs="Times New Roman"/>
          <w:kern w:val="2"/>
          <w:sz w:val="32"/>
          <w:szCs w:val="32"/>
          <w:lang w:val="en-US" w:eastAsia="zh-CN" w:bidi="ar"/>
        </w:rPr>
        <w:t>围绕国家投资导向从“物”向“人”转变的战略部署，坚持有效市场和有为政府相结合，以“产城人有机融合，搞好服务促发展”为靶向，聚焦群众急难愁盼问题，立足立德树人根本任务，健全覆盖成长全阶段的高质量教育服务体系；坚持健康第一发展战略，建设整合型医疗卫生服务体系；践行老有颐养、弱有众扶使命，完善普惠性基础性兜底性民生保障体系。到2030年，教育、卫生、民政三部门协同联动机制高效运转，建成覆盖全民、贯穿终身、公平可及、优质高效、韧性智慧且独具铜梁辨识度的人口服务体系，推动三领域服务无缝衔接、资源高效配置，争创西部领先、具有示范影响力的全生命周期人口服务改革先行区。</w:t>
      </w:r>
    </w:p>
    <w:p>
      <w:pPr>
        <w:keepNext w:val="0"/>
        <w:keepLines w:val="0"/>
        <w:widowControl w:val="0"/>
        <w:suppressLineNumbers w:val="0"/>
        <w:autoSpaceDE w:val="0"/>
        <w:autoSpaceDN/>
        <w:spacing w:before="0" w:beforeAutospacing="0" w:after="0" w:afterAutospacing="0" w:line="594" w:lineRule="exact"/>
        <w:ind w:left="0" w:right="0" w:firstLine="642"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b/>
          <w:bCs/>
          <w:kern w:val="2"/>
          <w:sz w:val="32"/>
          <w:szCs w:val="32"/>
          <w:lang w:val="en-US" w:eastAsia="zh-CN" w:bidi="ar"/>
        </w:rPr>
        <w:t>1.生育支持更加有力。</w:t>
      </w:r>
      <w:r>
        <w:rPr>
          <w:rFonts w:hint="default" w:ascii="Times New Roman" w:hAnsi="Times New Roman" w:eastAsia="方正仿宋_GBK" w:cs="Times New Roman"/>
          <w:kern w:val="2"/>
          <w:sz w:val="32"/>
          <w:szCs w:val="32"/>
          <w:lang w:val="en-US" w:eastAsia="zh-CN" w:bidi="ar"/>
        </w:rPr>
        <w:t>全周期生育支持政策体系全面建立，生育、养育、教育成本显著降低。城区15分钟托育圈全面建成，社区普惠托育点覆盖率超60%，每千人口托位数稳定达4.5个以上，普惠托育供给充足优质。产假、育儿假等配套制度有效落实，公共场所母婴设施全覆盖，构建起政府引导、社会参与、家庭支持的生育友好型社会，切实缓解家庭育儿压力。</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lang w:val="en-US" w:eastAsia="zh-CN" w:bidi="ar"/>
        </w:rPr>
        <w:t>教育供给优质均衡。</w:t>
      </w:r>
      <w:r>
        <w:rPr>
          <w:rFonts w:hint="default" w:ascii="Times New Roman" w:hAnsi="Times New Roman" w:eastAsia="方正仿宋_GBK" w:cs="Times New Roman"/>
          <w:kern w:val="2"/>
          <w:sz w:val="32"/>
          <w:szCs w:val="32"/>
          <w:lang w:val="en-US" w:eastAsia="zh-CN" w:bidi="ar"/>
        </w:rPr>
        <w:t>学前教育普及普惠安全优质发展，普惠率达95%，公办园在园幼儿占比超60%。义务教育优质均衡发展扎实推进，城乡一体化水平显著提升，教育资源实现均衡配置。职业教育与区域重点产业深度融合，技术技能人才供给精准匹配产业升级需求。服务全民终身学习的教育体系基本建成，劳动年龄人口平均受教育年限达到12.6年。</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lang w:val="en-US" w:eastAsia="zh-CN" w:bidi="ar"/>
        </w:rPr>
        <w:t>养老服务便捷多元。</w:t>
      </w:r>
      <w:r>
        <w:rPr>
          <w:rFonts w:hint="default" w:ascii="Times New Roman" w:hAnsi="Times New Roman" w:eastAsia="方正仿宋_GBK" w:cs="Times New Roman"/>
          <w:kern w:val="2"/>
          <w:sz w:val="32"/>
          <w:szCs w:val="32"/>
          <w:lang w:val="en-US" w:eastAsia="zh-CN" w:bidi="ar"/>
        </w:rPr>
        <w:t>城乡三级养老服务网络全面建成，新建4所特困供养设施、2个社区养老服务综合体，打造城区15分钟养老服务圈。居家社区养老服务提质增效，特殊困难老年人探访关爱实现100%全覆盖。优质养老市场主体加快培育，银发经济健康发展，构建起兜底有保障、普惠能满足、高端可选择的养老服务体系。</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 xml:space="preserve"> 4.</w:t>
      </w:r>
      <w:r>
        <w:rPr>
          <w:rFonts w:hint="default" w:ascii="Times New Roman" w:hAnsi="Times New Roman" w:eastAsia="方正仿宋_GBK" w:cs="Times New Roman"/>
          <w:b/>
          <w:bCs/>
          <w:kern w:val="2"/>
          <w:sz w:val="32"/>
          <w:szCs w:val="32"/>
          <w:lang w:val="en-US" w:eastAsia="zh-CN" w:bidi="ar"/>
        </w:rPr>
        <w:t>健康水平稳步提升。</w:t>
      </w:r>
      <w:r>
        <w:rPr>
          <w:rFonts w:hint="default" w:ascii="Times New Roman" w:hAnsi="Times New Roman" w:eastAsia="方正仿宋_GBK" w:cs="Times New Roman"/>
          <w:kern w:val="2"/>
          <w:sz w:val="32"/>
          <w:szCs w:val="32"/>
          <w:lang w:val="en-US" w:eastAsia="zh-CN" w:bidi="ar"/>
        </w:rPr>
        <w:t>整合型医疗卫生服务体系高效运行，公共卫生防护、医疗服务提质、中医药创新三大功能片区协同发展，优质医疗资源均衡布局。居民健康素养水平持续提升，人均预期寿命达到80.5岁，主要健康指标保持全市前列，实现从“以治病为中心”向“以健康为中心”的根本转变。</w:t>
      </w:r>
    </w:p>
    <w:p>
      <w:pPr>
        <w:keepNext w:val="0"/>
        <w:keepLines w:val="0"/>
        <w:widowControl w:val="0"/>
        <w:suppressLineNumbers w:val="0"/>
        <w:autoSpaceDE w:val="0"/>
        <w:autoSpaceDN/>
        <w:spacing w:before="0" w:beforeAutospacing="0" w:after="0" w:afterAutospacing="0" w:line="594" w:lineRule="exact"/>
        <w:ind w:left="0" w:right="0" w:firstLine="642" w:firstLineChars="200"/>
        <w:jc w:val="both"/>
        <w:rPr>
          <w:rFonts w:hint="default" w:ascii="Times New Roman" w:hAnsi="Times New Roman" w:cs="Times New Roman"/>
        </w:rPr>
      </w:pPr>
      <w:r>
        <w:rPr>
          <w:rFonts w:hint="default" w:ascii="Times New Roman" w:hAnsi="Times New Roman" w:eastAsia="方正仿宋_GBK" w:cs="Times New Roman"/>
          <w:b/>
          <w:bCs/>
          <w:kern w:val="2"/>
          <w:sz w:val="32"/>
          <w:szCs w:val="32"/>
          <w:lang w:val="en-US" w:eastAsia="zh-CN" w:bidi="ar"/>
        </w:rPr>
        <w:t>5.民生保障坚实兜底。</w:t>
      </w:r>
      <w:r>
        <w:rPr>
          <w:rFonts w:hint="default" w:ascii="Times New Roman" w:hAnsi="Times New Roman" w:eastAsia="方正仿宋_GBK" w:cs="Times New Roman"/>
          <w:kern w:val="2"/>
          <w:sz w:val="32"/>
          <w:szCs w:val="32"/>
          <w:lang w:val="en-US" w:eastAsia="zh-CN" w:bidi="ar"/>
        </w:rPr>
        <w:t>殡葬服务城乡均等化水平显著提高，落地应用“渝逝有安”数字化平台，节地生态安葬比例稳步提升。依托“渝悦救助通”实现救助业务线上办理高比例覆盖，构建政府主导、社会参与的多元协同救助格局。重点群体民生保障底线兜牢织密，民生服务实现集成化、一站式办理，社会公平正义更加彰显。</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2" w:firstLineChars="200"/>
        <w:jc w:val="both"/>
        <w:textAlignment w:val="auto"/>
        <w:rPr>
          <w:rFonts w:hint="default" w:ascii="Times New Roman" w:hAnsi="Times New Roman" w:eastAsia="方正仿宋_GBK" w:cs="Times New Roman"/>
          <w:b/>
          <w:bCs/>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铜梁区</w:t>
      </w:r>
      <w:r>
        <w:rPr>
          <w:rFonts w:hint="default" w:ascii="Times New Roman" w:hAnsi="Times New Roman" w:eastAsia="方正仿宋_GBK" w:cs="Times New Roman"/>
          <w:b/>
          <w:bCs/>
          <w:color w:val="auto"/>
          <w:sz w:val="32"/>
          <w:szCs w:val="32"/>
          <w:highlight w:val="none"/>
        </w:rPr>
        <w:t>“十五五”时期</w:t>
      </w:r>
      <w:r>
        <w:rPr>
          <w:rFonts w:hint="default" w:ascii="Times New Roman" w:hAnsi="Times New Roman" w:eastAsia="方正仿宋_GBK" w:cs="Times New Roman"/>
          <w:b/>
          <w:bCs/>
          <w:color w:val="auto"/>
          <w:sz w:val="32"/>
          <w:szCs w:val="32"/>
          <w:highlight w:val="none"/>
          <w:lang w:eastAsia="zh-CN"/>
        </w:rPr>
        <w:t>教育、卫生、民政领域全生命周期</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1606" w:leftChars="0" w:hanging="1606" w:hangingChars="500"/>
        <w:jc w:val="center"/>
        <w:textAlignment w:val="auto"/>
        <w:rPr>
          <w:rFonts w:hint="default" w:ascii="Times New Roman" w:hAnsi="Times New Roman" w:eastAsia="方正黑体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lang w:eastAsia="zh-CN"/>
        </w:rPr>
        <w:t>人口服务体系</w:t>
      </w:r>
      <w:r>
        <w:rPr>
          <w:rFonts w:hint="default" w:ascii="Times New Roman" w:hAnsi="Times New Roman" w:eastAsia="方正仿宋_GBK" w:cs="Times New Roman"/>
          <w:b/>
          <w:bCs/>
          <w:color w:val="auto"/>
          <w:sz w:val="32"/>
          <w:szCs w:val="32"/>
          <w:highlight w:val="none"/>
        </w:rPr>
        <w:t>建设主要指标</w:t>
      </w:r>
    </w:p>
    <w:tbl>
      <w:tblPr>
        <w:tblStyle w:val="14"/>
        <w:tblpPr w:leftFromText="180" w:rightFromText="180" w:vertAnchor="text" w:horzAnchor="page" w:tblpXSpec="center" w:tblpY="305"/>
        <w:tblOverlap w:val="never"/>
        <w:tblW w:w="9105" w:type="dxa"/>
        <w:jc w:val="center"/>
        <w:tblLayout w:type="fixed"/>
        <w:tblCellMar>
          <w:top w:w="0" w:type="dxa"/>
          <w:left w:w="0" w:type="dxa"/>
          <w:bottom w:w="0" w:type="dxa"/>
          <w:right w:w="0" w:type="dxa"/>
        </w:tblCellMar>
      </w:tblPr>
      <w:tblGrid>
        <w:gridCol w:w="654"/>
        <w:gridCol w:w="3081"/>
        <w:gridCol w:w="1140"/>
        <w:gridCol w:w="1110"/>
        <w:gridCol w:w="1080"/>
        <w:gridCol w:w="1110"/>
        <w:gridCol w:w="930"/>
      </w:tblGrid>
      <w:tr>
        <w:tblPrEx>
          <w:tblCellMar>
            <w:top w:w="0" w:type="dxa"/>
            <w:left w:w="0" w:type="dxa"/>
            <w:bottom w:w="0" w:type="dxa"/>
            <w:right w:w="0" w:type="dxa"/>
          </w:tblCellMar>
        </w:tblPrEx>
        <w:trPr>
          <w:trHeight w:val="36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rPr>
            </w:pPr>
            <w:r>
              <w:rPr>
                <w:rFonts w:hint="default" w:ascii="Times New Roman" w:hAnsi="Times New Roman" w:eastAsia="方正黑体_GBK" w:cs="Times New Roman"/>
                <w:b/>
                <w:bCs/>
                <w:color w:val="auto"/>
                <w:sz w:val="24"/>
                <w:szCs w:val="24"/>
                <w:highlight w:val="none"/>
              </w:rPr>
              <w:t>序号</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rPr>
            </w:pPr>
            <w:r>
              <w:rPr>
                <w:rFonts w:hint="default" w:ascii="Times New Roman" w:hAnsi="Times New Roman" w:eastAsia="方正黑体_GBK" w:cs="Times New Roman"/>
                <w:b/>
                <w:bCs/>
                <w:color w:val="auto"/>
                <w:sz w:val="24"/>
                <w:szCs w:val="24"/>
                <w:highlight w:val="none"/>
              </w:rPr>
              <w:t>主要指标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rPr>
            </w:pPr>
            <w:r>
              <w:rPr>
                <w:rFonts w:hint="default" w:ascii="Times New Roman" w:hAnsi="Times New Roman" w:eastAsia="方正黑体_GBK" w:cs="Times New Roman"/>
                <w:b/>
                <w:bCs/>
                <w:color w:val="auto"/>
                <w:sz w:val="24"/>
                <w:szCs w:val="24"/>
                <w:highlight w:val="none"/>
              </w:rPr>
              <w:t>2025年</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lang w:eastAsia="zh-CN"/>
              </w:rPr>
            </w:pPr>
            <w:r>
              <w:rPr>
                <w:rFonts w:hint="default" w:ascii="Times New Roman" w:hAnsi="Times New Roman" w:eastAsia="方正黑体_GBK" w:cs="Times New Roman"/>
                <w:b/>
                <w:bCs/>
                <w:color w:val="auto"/>
                <w:sz w:val="24"/>
                <w:szCs w:val="24"/>
                <w:highlight w:val="none"/>
                <w:lang w:eastAsia="zh-CN"/>
              </w:rPr>
              <w:t>（区级）</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lang w:val="en-US" w:eastAsia="zh-CN"/>
              </w:rPr>
            </w:pPr>
            <w:r>
              <w:rPr>
                <w:rFonts w:hint="default" w:ascii="Times New Roman" w:hAnsi="Times New Roman" w:eastAsia="方正黑体_GBK" w:cs="Times New Roman"/>
                <w:b/>
                <w:bCs/>
                <w:color w:val="auto"/>
                <w:sz w:val="24"/>
                <w:szCs w:val="24"/>
                <w:highlight w:val="none"/>
                <w:lang w:val="en-US" w:eastAsia="zh-CN"/>
              </w:rPr>
              <w:t>2025年</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lang w:val="en-US" w:eastAsia="zh-CN"/>
              </w:rPr>
            </w:pPr>
            <w:r>
              <w:rPr>
                <w:rFonts w:hint="default" w:ascii="Times New Roman" w:hAnsi="Times New Roman" w:eastAsia="方正黑体_GBK" w:cs="Times New Roman"/>
                <w:b/>
                <w:bCs/>
                <w:color w:val="auto"/>
                <w:sz w:val="24"/>
                <w:szCs w:val="24"/>
                <w:highlight w:val="none"/>
                <w:lang w:val="en-US" w:eastAsia="zh-CN"/>
              </w:rPr>
              <w:t>（市级）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rPr>
            </w:pPr>
            <w:r>
              <w:rPr>
                <w:rFonts w:hint="default" w:ascii="Times New Roman" w:hAnsi="Times New Roman" w:eastAsia="方正黑体_GBK" w:cs="Times New Roman"/>
                <w:b/>
                <w:bCs/>
                <w:color w:val="auto"/>
                <w:sz w:val="24"/>
                <w:szCs w:val="24"/>
                <w:highlight w:val="none"/>
              </w:rPr>
              <w:t>2030年</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lang w:eastAsia="zh-CN"/>
              </w:rPr>
            </w:pPr>
            <w:r>
              <w:rPr>
                <w:rFonts w:hint="default" w:ascii="Times New Roman" w:hAnsi="Times New Roman" w:eastAsia="方正黑体_GBK" w:cs="Times New Roman"/>
                <w:b/>
                <w:bCs/>
                <w:color w:val="auto"/>
                <w:sz w:val="24"/>
                <w:szCs w:val="24"/>
                <w:highlight w:val="none"/>
                <w:lang w:eastAsia="zh-CN"/>
              </w:rPr>
              <w:t>（区级）</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黑体_GBK" w:cs="Times New Roman"/>
                <w:b/>
                <w:bCs/>
                <w:color w:val="auto"/>
                <w:sz w:val="24"/>
                <w:szCs w:val="24"/>
                <w:highlight w:val="none"/>
                <w:lang w:val="en-US" w:eastAsia="zh-CN"/>
              </w:rPr>
            </w:pPr>
            <w:r>
              <w:rPr>
                <w:rFonts w:hint="default" w:ascii="Times New Roman" w:hAnsi="Times New Roman" w:eastAsia="方正黑体_GBK" w:cs="Times New Roman"/>
                <w:b/>
                <w:bCs/>
                <w:color w:val="auto"/>
                <w:sz w:val="24"/>
                <w:szCs w:val="24"/>
                <w:highlight w:val="none"/>
                <w:lang w:val="en-US" w:eastAsia="zh-CN"/>
              </w:rPr>
              <w:t>2030年</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黑体_GBK" w:cs="Times New Roman"/>
                <w:b/>
                <w:bCs/>
                <w:color w:val="auto"/>
                <w:sz w:val="24"/>
                <w:szCs w:val="24"/>
                <w:highlight w:val="none"/>
              </w:rPr>
            </w:pPr>
            <w:r>
              <w:rPr>
                <w:rFonts w:hint="default" w:ascii="Times New Roman" w:hAnsi="Times New Roman" w:eastAsia="方正黑体_GBK" w:cs="Times New Roman"/>
                <w:b/>
                <w:bCs/>
                <w:color w:val="auto"/>
                <w:sz w:val="24"/>
                <w:szCs w:val="24"/>
                <w:highlight w:val="none"/>
                <w:lang w:val="en-US" w:eastAsia="zh-CN"/>
              </w:rPr>
              <w:t>（市级）</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lang w:eastAsia="zh-CN"/>
              </w:rPr>
            </w:pPr>
            <w:r>
              <w:rPr>
                <w:rFonts w:hint="default" w:ascii="Times New Roman" w:hAnsi="Times New Roman" w:eastAsia="方正黑体_GBK" w:cs="Times New Roman"/>
                <w:b/>
                <w:bCs/>
                <w:color w:val="auto"/>
                <w:sz w:val="24"/>
                <w:szCs w:val="24"/>
                <w:highlight w:val="none"/>
                <w:lang w:eastAsia="zh-CN"/>
              </w:rPr>
              <w:t>指标</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黑体_GBK" w:cs="Times New Roman"/>
                <w:b/>
                <w:bCs/>
                <w:color w:val="auto"/>
                <w:sz w:val="24"/>
                <w:szCs w:val="24"/>
                <w:highlight w:val="none"/>
                <w:lang w:eastAsia="zh-CN"/>
              </w:rPr>
            </w:pPr>
            <w:r>
              <w:rPr>
                <w:rFonts w:hint="default" w:ascii="Times New Roman" w:hAnsi="Times New Roman" w:eastAsia="方正黑体_GBK" w:cs="Times New Roman"/>
                <w:b/>
                <w:bCs/>
                <w:color w:val="auto"/>
                <w:sz w:val="24"/>
                <w:szCs w:val="24"/>
                <w:highlight w:val="none"/>
                <w:lang w:eastAsia="zh-CN"/>
              </w:rPr>
              <w:t>性质</w:t>
            </w:r>
          </w:p>
        </w:tc>
      </w:tr>
      <w:tr>
        <w:tblPrEx>
          <w:tblCellMar>
            <w:top w:w="0" w:type="dxa"/>
            <w:left w:w="0" w:type="dxa"/>
            <w:bottom w:w="0" w:type="dxa"/>
            <w:right w:w="0" w:type="dxa"/>
          </w:tblCellMar>
        </w:tblPrEx>
        <w:trPr>
          <w:trHeight w:val="338"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both"/>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学前教育普惠率</w:t>
            </w:r>
            <w:r>
              <w:rPr>
                <w:rFonts w:hint="default" w:ascii="Times New Roman" w:hAnsi="Times New Roman" w:eastAsia="方正仿宋_GBK" w:cs="Times New Roman"/>
                <w:color w:val="auto"/>
                <w:kern w:val="2"/>
                <w:sz w:val="24"/>
                <w:szCs w:val="24"/>
                <w:highlight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92.9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95.1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95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≥96</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约束性</w:t>
            </w:r>
          </w:p>
        </w:tc>
      </w:tr>
      <w:tr>
        <w:tblPrEx>
          <w:tblCellMar>
            <w:top w:w="0" w:type="dxa"/>
            <w:left w:w="0" w:type="dxa"/>
            <w:bottom w:w="0" w:type="dxa"/>
            <w:right w:w="0" w:type="dxa"/>
          </w:tblCellMar>
        </w:tblPrEx>
        <w:trPr>
          <w:trHeight w:val="338"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2</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kern w:val="0"/>
                <w:sz w:val="24"/>
                <w:szCs w:val="24"/>
                <w:highlight w:val="none"/>
                <w:lang w:val="en-US" w:eastAsia="zh-CN" w:bidi="ar"/>
              </w:rPr>
              <w:t>公办园在园幼儿占比</w:t>
            </w:r>
            <w:r>
              <w:rPr>
                <w:rFonts w:hint="default" w:ascii="Times New Roman" w:hAnsi="Times New Roman" w:eastAsia="方正仿宋_GBK" w:cs="Times New Roman"/>
                <w:color w:val="auto"/>
                <w:kern w:val="2"/>
                <w:sz w:val="24"/>
                <w:szCs w:val="24"/>
                <w:highlight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52.3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57.03</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60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44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lang w:val="en-US" w:eastAsia="zh-CN"/>
              </w:rPr>
              <w:t>3</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b w:val="0"/>
                <w:bCs w:val="0"/>
                <w:color w:val="auto"/>
                <w:kern w:val="0"/>
                <w:sz w:val="24"/>
                <w:szCs w:val="24"/>
                <w:highlight w:val="none"/>
                <w:lang w:val="en-US" w:eastAsia="zh-CN" w:bidi="ar"/>
              </w:rPr>
            </w:pPr>
            <w:r>
              <w:rPr>
                <w:rFonts w:hint="default" w:ascii="Times New Roman" w:hAnsi="Times New Roman" w:eastAsia="方正仿宋_GBK" w:cs="Times New Roman"/>
                <w:b w:val="0"/>
                <w:bCs w:val="0"/>
                <w:color w:val="auto"/>
                <w:sz w:val="24"/>
                <w:szCs w:val="24"/>
                <w:highlight w:val="none"/>
              </w:rPr>
              <w:t>高中阶段</w:t>
            </w:r>
            <w:r>
              <w:rPr>
                <w:rFonts w:hint="default" w:ascii="Times New Roman" w:hAnsi="Times New Roman" w:eastAsia="方正仿宋_GBK" w:cs="Times New Roman"/>
                <w:b w:val="0"/>
                <w:bCs w:val="0"/>
                <w:color w:val="auto"/>
                <w:sz w:val="24"/>
                <w:szCs w:val="24"/>
                <w:highlight w:val="none"/>
                <w:lang w:val="en-US" w:eastAsia="zh-CN"/>
              </w:rPr>
              <w:t>教育完成率</w:t>
            </w:r>
            <w:r>
              <w:rPr>
                <w:rFonts w:hint="default" w:ascii="Times New Roman" w:hAnsi="Times New Roman" w:eastAsia="方正仿宋_GBK" w:cs="Times New Roman"/>
                <w:color w:val="auto"/>
                <w:kern w:val="2"/>
                <w:sz w:val="24"/>
                <w:szCs w:val="24"/>
                <w:highlight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sz w:val="24"/>
                <w:szCs w:val="24"/>
                <w:highlight w:val="none"/>
                <w:lang w:val="en-US" w:eastAsia="zh-CN"/>
              </w:rPr>
              <w:t>90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2"/>
                <w:sz w:val="24"/>
                <w:szCs w:val="24"/>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sz w:val="24"/>
                <w:szCs w:val="24"/>
                <w:highlight w:val="none"/>
                <w:lang w:val="en-US" w:eastAsia="zh-CN"/>
              </w:rPr>
              <w:t>95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≥88</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lang w:val="en-US" w:eastAsia="zh-CN"/>
              </w:rPr>
              <w:t>4</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b w:val="0"/>
                <w:bCs w:val="0"/>
                <w:color w:val="auto"/>
                <w:kern w:val="0"/>
                <w:sz w:val="24"/>
                <w:szCs w:val="24"/>
                <w:highlight w:val="none"/>
                <w:lang w:val="en-US" w:eastAsia="zh-CN" w:bidi="ar"/>
              </w:rPr>
            </w:pPr>
            <w:r>
              <w:rPr>
                <w:rFonts w:hint="default" w:ascii="Times New Roman" w:hAnsi="Times New Roman" w:eastAsia="方正仿宋_GBK" w:cs="Times New Roman"/>
                <w:b w:val="0"/>
                <w:bCs w:val="0"/>
                <w:color w:val="auto"/>
                <w:sz w:val="24"/>
                <w:szCs w:val="24"/>
                <w:highlight w:val="none"/>
                <w:lang w:val="en-US" w:eastAsia="zh-CN"/>
              </w:rPr>
              <w:t>学生体质健康优良率</w:t>
            </w:r>
            <w:r>
              <w:rPr>
                <w:rFonts w:hint="default" w:ascii="Times New Roman" w:hAnsi="Times New Roman" w:eastAsia="方正仿宋_GBK" w:cs="Times New Roman"/>
                <w:color w:val="auto"/>
                <w:kern w:val="2"/>
                <w:sz w:val="24"/>
                <w:szCs w:val="24"/>
                <w:highlight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sz w:val="24"/>
                <w:szCs w:val="24"/>
                <w:highlight w:val="none"/>
                <w:lang w:val="en-US" w:eastAsia="zh-CN"/>
              </w:rPr>
              <w:t>60.7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51.23</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63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b w:val="0"/>
                <w:bCs w:val="0"/>
                <w:color w:val="auto"/>
                <w:kern w:val="0"/>
                <w:sz w:val="24"/>
                <w:szCs w:val="24"/>
                <w:highlight w:val="none"/>
                <w:lang w:val="en-US" w:eastAsia="zh-CN" w:bidi="ar"/>
              </w:rPr>
            </w:pPr>
            <w:r>
              <w:rPr>
                <w:rFonts w:hint="default" w:ascii="Times New Roman" w:hAnsi="Times New Roman" w:eastAsia="方正仿宋_GBK" w:cs="Times New Roman"/>
                <w:b w:val="0"/>
                <w:bCs w:val="0"/>
                <w:color w:val="auto"/>
                <w:sz w:val="24"/>
                <w:szCs w:val="24"/>
                <w:highlight w:val="none"/>
                <w:lang w:val="en-US" w:eastAsia="zh-CN"/>
              </w:rPr>
              <w:t>街道（社区）级老年大学教学点覆盖率</w:t>
            </w:r>
            <w:r>
              <w:rPr>
                <w:rFonts w:hint="default" w:ascii="Times New Roman" w:hAnsi="Times New Roman" w:eastAsia="方正仿宋_GBK" w:cs="Times New Roman"/>
                <w:color w:val="auto"/>
                <w:kern w:val="2"/>
                <w:sz w:val="24"/>
                <w:szCs w:val="24"/>
                <w:highlight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70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lang w:val="en-US" w:eastAsia="zh-CN" w:bidi="ar"/>
              </w:rPr>
              <w:t>＞</w:t>
            </w:r>
            <w:r>
              <w:rPr>
                <w:rFonts w:hint="default" w:ascii="Times New Roman" w:hAnsi="Times New Roman" w:eastAsia="方正仿宋_GBK" w:cs="Times New Roman"/>
                <w:color w:val="auto"/>
                <w:kern w:val="0"/>
                <w:sz w:val="24"/>
                <w:szCs w:val="24"/>
                <w:highlight w:val="none"/>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6</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b w:val="0"/>
                <w:bCs w:val="0"/>
                <w:color w:val="auto"/>
                <w:kern w:val="0"/>
                <w:sz w:val="24"/>
                <w:szCs w:val="24"/>
                <w:highlight w:val="none"/>
                <w:lang w:val="en-US" w:eastAsia="zh-CN" w:bidi="ar"/>
              </w:rPr>
            </w:pPr>
            <w:r>
              <w:rPr>
                <w:rFonts w:hint="default" w:ascii="Times New Roman" w:hAnsi="Times New Roman" w:eastAsia="方正仿宋_GBK" w:cs="Times New Roman"/>
                <w:b w:val="0"/>
                <w:bCs w:val="0"/>
                <w:color w:val="auto"/>
                <w:sz w:val="24"/>
                <w:szCs w:val="24"/>
                <w:highlight w:val="none"/>
                <w:lang w:val="en-US" w:eastAsia="zh-CN"/>
              </w:rPr>
              <w:t>劳动年龄人口</w:t>
            </w:r>
            <w:r>
              <w:rPr>
                <w:rFonts w:hint="default" w:ascii="Times New Roman" w:hAnsi="Times New Roman" w:eastAsia="方正仿宋_GBK" w:cs="Times New Roman"/>
                <w:b w:val="0"/>
                <w:bCs w:val="0"/>
                <w:color w:val="auto"/>
                <w:sz w:val="24"/>
                <w:szCs w:val="24"/>
                <w:highlight w:val="none"/>
              </w:rPr>
              <w:t>平均受教育年限</w:t>
            </w:r>
            <w:r>
              <w:rPr>
                <w:rFonts w:hint="default" w:ascii="Times New Roman" w:hAnsi="Times New Roman" w:eastAsia="方正仿宋_GBK" w:cs="Times New Roman"/>
                <w:b w:val="0"/>
                <w:bCs w:val="0"/>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lang w:val="en-US" w:eastAsia="zh-CN"/>
              </w:rPr>
              <w:t>年</w:t>
            </w:r>
            <w:r>
              <w:rPr>
                <w:rFonts w:hint="default" w:ascii="Times New Roman" w:hAnsi="Times New Roman" w:eastAsia="方正仿宋_GBK" w:cs="Times New Roman"/>
                <w:b w:val="0"/>
                <w:bCs w:val="0"/>
                <w:color w:val="auto"/>
                <w:sz w:val="24"/>
                <w:szCs w:val="24"/>
                <w:highlight w:val="none"/>
                <w:lang w:eastAsia="zh-CN"/>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11.59</w:t>
            </w:r>
            <w:r>
              <w:rPr>
                <w:rFonts w:hint="default" w:ascii="Times New Roman" w:hAnsi="Times New Roman" w:eastAsia="方正仿宋_GBK" w:cs="Times New Roman"/>
                <w:kern w:val="2"/>
                <w:sz w:val="24"/>
                <w:szCs w:val="24"/>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12.6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lang w:val="en-US" w:eastAsia="zh-CN" w:bidi="ar"/>
              </w:rPr>
              <w:t>≥12</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约束性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7</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both"/>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color w:val="auto"/>
                <w:sz w:val="24"/>
                <w:szCs w:val="24"/>
                <w:highlight w:val="none"/>
              </w:rPr>
              <w:t>人均预期寿命</w:t>
            </w:r>
            <w:r>
              <w:rPr>
                <w:rFonts w:hint="default" w:ascii="Times New Roman" w:hAnsi="Times New Roman" w:eastAsia="方正仿宋_GBK" w:cs="Times New Roman"/>
                <w:color w:val="auto"/>
                <w:kern w:val="2"/>
                <w:sz w:val="24"/>
                <w:szCs w:val="24"/>
                <w:highlight w:val="none"/>
                <w:lang w:val="en-US" w:eastAsia="zh-CN" w:bidi="ar"/>
              </w:rPr>
              <w:t>（岁）</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2"/>
                <w:sz w:val="24"/>
                <w:szCs w:val="24"/>
                <w:highlight w:val="none"/>
                <w:lang w:val="en-US" w:eastAsia="zh-CN" w:bidi="ar"/>
              </w:rPr>
              <w:t>80.02*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79.85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80.5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0"/>
                <w:sz w:val="24"/>
                <w:szCs w:val="24"/>
                <w:highlight w:val="none"/>
                <w:lang w:val="en-US" w:eastAsia="zh-CN" w:bidi="ar"/>
              </w:rPr>
              <w:t>80.5</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8</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孕产妇死亡率</w:t>
            </w:r>
            <w:r>
              <w:rPr>
                <w:rFonts w:hint="default" w:ascii="Times New Roman" w:hAnsi="Times New Roman" w:eastAsia="方正仿宋_GBK" w:cs="Times New Roman"/>
                <w:strike w:val="0"/>
                <w:dstrike w:val="0"/>
                <w:color w:val="auto"/>
                <w:sz w:val="24"/>
                <w:szCs w:val="24"/>
                <w:highlight w:val="none"/>
                <w:lang w:eastAsia="zh-CN"/>
              </w:rPr>
              <w:t>（</w:t>
            </w:r>
            <w:r>
              <w:rPr>
                <w:rFonts w:hint="default" w:ascii="Times New Roman" w:hAnsi="Times New Roman" w:eastAsia="方正仿宋_GBK" w:cs="Times New Roman"/>
                <w:strike w:val="0"/>
                <w:dstrike w:val="0"/>
                <w:color w:val="auto"/>
                <w:sz w:val="24"/>
                <w:szCs w:val="24"/>
                <w:highlight w:val="none"/>
              </w:rPr>
              <w:t>10 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5.71</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0"/>
                <w:sz w:val="24"/>
                <w:szCs w:val="24"/>
                <w:lang w:val="en-US" w:eastAsia="zh-CN" w:bidi="ar"/>
              </w:rPr>
              <w:t>≤</w:t>
            </w:r>
            <w:r>
              <w:rPr>
                <w:rFonts w:hint="default" w:ascii="Times New Roman" w:hAnsi="Times New Roman" w:eastAsia="方正仿宋_GBK" w:cs="Times New Roman"/>
                <w:color w:val="auto"/>
                <w:sz w:val="24"/>
                <w:szCs w:val="24"/>
                <w:highlight w:val="none"/>
                <w:lang w:val="en-US" w:eastAsia="zh-CN"/>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w:t>
            </w:r>
            <w:r>
              <w:rPr>
                <w:rFonts w:hint="default" w:ascii="Times New Roman" w:hAnsi="Times New Roman" w:eastAsia="方正仿宋_GBK" w:cs="Times New Roman"/>
                <w:kern w:val="0"/>
                <w:sz w:val="24"/>
                <w:szCs w:val="24"/>
                <w:highlight w:val="none"/>
                <w:lang w:val="en-US" w:eastAsia="zh-CN" w:bidi="ar"/>
              </w:rPr>
              <w:t>8</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9</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strike w:val="0"/>
                <w:dstrike w:val="0"/>
                <w:color w:val="auto"/>
                <w:sz w:val="24"/>
                <w:szCs w:val="24"/>
                <w:highlight w:val="none"/>
              </w:rPr>
              <w:t>居民健康素养水平（%）</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2"/>
                <w:sz w:val="24"/>
                <w:szCs w:val="24"/>
                <w:highlight w:val="none"/>
                <w:lang w:val="en-US" w:eastAsia="zh-CN" w:bidi="ar"/>
              </w:rPr>
              <w:t>37.26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34.3</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0"/>
                <w:sz w:val="24"/>
                <w:szCs w:val="24"/>
                <w:lang w:val="en-US" w:eastAsia="zh-CN" w:bidi="ar"/>
              </w:rPr>
              <w:t>≥</w:t>
            </w:r>
            <w:r>
              <w:rPr>
                <w:rFonts w:hint="default" w:ascii="Times New Roman" w:hAnsi="Times New Roman" w:eastAsia="方正仿宋_GBK" w:cs="Times New Roman"/>
                <w:color w:val="auto"/>
                <w:sz w:val="24"/>
                <w:szCs w:val="24"/>
                <w:highlight w:val="none"/>
                <w:lang w:val="en-US" w:eastAsia="zh-CN"/>
              </w:rPr>
              <w:t>43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w:t>
            </w:r>
            <w:r>
              <w:rPr>
                <w:rFonts w:hint="default" w:ascii="Times New Roman" w:hAnsi="Times New Roman" w:eastAsia="方正仿宋_GBK" w:cs="Times New Roman"/>
                <w:kern w:val="0"/>
                <w:sz w:val="24"/>
                <w:szCs w:val="24"/>
                <w:highlight w:val="none"/>
                <w:lang w:val="en-US" w:eastAsia="zh-CN" w:bidi="ar"/>
              </w:rPr>
              <w:t>43</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10</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both"/>
              <w:textAlignment w:val="auto"/>
              <w:rPr>
                <w:rFonts w:hint="default" w:ascii="Times New Roman" w:hAnsi="Times New Roman" w:eastAsia="方正仿宋_GBK" w:cs="Times New Roman"/>
                <w:strike w:val="0"/>
                <w:dstrike w:val="0"/>
                <w:color w:val="auto"/>
                <w:sz w:val="24"/>
                <w:szCs w:val="24"/>
                <w:highlight w:val="none"/>
              </w:rPr>
            </w:pPr>
            <w:r>
              <w:rPr>
                <w:rFonts w:hint="default" w:ascii="Times New Roman" w:hAnsi="Times New Roman" w:eastAsia="方正仿宋_GBK" w:cs="Times New Roman"/>
                <w:color w:val="auto"/>
                <w:sz w:val="24"/>
                <w:szCs w:val="24"/>
                <w:highlight w:val="none"/>
              </w:rPr>
              <w:t>以镇（街道）为单位适龄儿童国家免疫规划疫苗接种率（%）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eastAsia="zh-CN"/>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2"/>
                <w:sz w:val="24"/>
                <w:szCs w:val="24"/>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0"/>
                <w:sz w:val="24"/>
                <w:szCs w:val="24"/>
                <w:lang w:val="en-US" w:eastAsia="zh-CN" w:bidi="ar"/>
              </w:rPr>
              <w:t>＞</w:t>
            </w:r>
            <w:r>
              <w:rPr>
                <w:rFonts w:hint="default" w:ascii="Times New Roman" w:hAnsi="Times New Roman" w:eastAsia="方正仿宋_GBK" w:cs="Times New Roman"/>
                <w:color w:val="auto"/>
                <w:sz w:val="24"/>
                <w:szCs w:val="24"/>
                <w:highlight w:val="none"/>
              </w:rPr>
              <w:t>90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w:t>
            </w:r>
            <w:r>
              <w:rPr>
                <w:rFonts w:hint="default" w:ascii="Times New Roman" w:hAnsi="Times New Roman" w:eastAsia="方正仿宋_GBK" w:cs="Times New Roman"/>
                <w:kern w:val="2"/>
                <w:sz w:val="24"/>
                <w:szCs w:val="24"/>
                <w:highlight w:val="none"/>
                <w:lang w:val="en-US" w:eastAsia="zh-CN" w:bidi="ar"/>
              </w:rPr>
              <w:t>90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约束性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11</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strike w:val="0"/>
                <w:dstrike w:val="0"/>
                <w:color w:val="auto"/>
                <w:sz w:val="24"/>
                <w:szCs w:val="24"/>
                <w:highlight w:val="none"/>
              </w:rPr>
            </w:pPr>
            <w:r>
              <w:rPr>
                <w:rFonts w:hint="default" w:ascii="Times New Roman" w:hAnsi="Times New Roman" w:eastAsia="方正仿宋_GBK" w:cs="Times New Roman"/>
                <w:color w:val="auto"/>
                <w:kern w:val="0"/>
                <w:sz w:val="24"/>
                <w:szCs w:val="24"/>
                <w:highlight w:val="none"/>
                <w:lang w:val="en-US" w:eastAsia="zh-CN" w:bidi="ar"/>
              </w:rPr>
              <w:t>基层医疗机构开展精神卫生或心理健康服务覆盖率（%）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2"/>
                <w:sz w:val="24"/>
                <w:szCs w:val="24"/>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highlight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strike/>
                <w:dstrike w:val="0"/>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12</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strike/>
                <w:dstrike w:val="0"/>
                <w:color w:val="auto"/>
                <w:sz w:val="24"/>
                <w:szCs w:val="24"/>
                <w:highlight w:val="none"/>
              </w:rPr>
            </w:pPr>
            <w:r>
              <w:rPr>
                <w:rFonts w:hint="default" w:ascii="Times New Roman" w:hAnsi="Times New Roman" w:eastAsia="方正仿宋_GBK" w:cs="Times New Roman"/>
                <w:color w:val="auto"/>
                <w:kern w:val="0"/>
                <w:sz w:val="24"/>
                <w:szCs w:val="24"/>
                <w:highlight w:val="none"/>
                <w:lang w:val="en-US" w:eastAsia="zh-CN" w:bidi="ar"/>
              </w:rPr>
              <w:t>重大慢性病过早死亡率（%）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12.5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10.94</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kern w:val="0"/>
                <w:sz w:val="24"/>
                <w:szCs w:val="24"/>
                <w:lang w:val="en-US" w:eastAsia="zh-CN" w:bidi="ar"/>
              </w:rPr>
              <w:t>≤</w:t>
            </w:r>
            <w:r>
              <w:rPr>
                <w:rFonts w:hint="default" w:ascii="Times New Roman" w:hAnsi="Times New Roman" w:eastAsia="方正仿宋_GBK" w:cs="Times New Roman"/>
                <w:color w:val="auto"/>
                <w:kern w:val="0"/>
                <w:sz w:val="24"/>
                <w:szCs w:val="24"/>
                <w:highlight w:val="none"/>
                <w:lang w:val="en-US" w:eastAsia="zh-CN" w:bidi="ar"/>
              </w:rPr>
              <w:t>10.5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w:t>
            </w:r>
            <w:r>
              <w:rPr>
                <w:rFonts w:hint="default" w:ascii="Times New Roman" w:hAnsi="Times New Roman" w:eastAsia="方正仿宋_GBK" w:cs="Times New Roman"/>
                <w:kern w:val="0"/>
                <w:sz w:val="24"/>
                <w:szCs w:val="24"/>
                <w:highlight w:val="none"/>
                <w:lang w:val="en-US" w:eastAsia="zh-CN" w:bidi="ar"/>
              </w:rPr>
              <w:t>10.5</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415"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color w:val="auto"/>
                <w:kern w:val="0"/>
                <w:sz w:val="24"/>
                <w:szCs w:val="24"/>
                <w:highlight w:val="none"/>
                <w:lang w:val="en-US" w:eastAsia="zh-CN" w:bidi="ar"/>
              </w:rPr>
              <w:t>养老机构护理型床位占比（%）</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60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lang w:val="en-US" w:eastAsia="zh-CN" w:bidi="ar"/>
              </w:rPr>
              <w:t>71.4</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80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80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约束性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14</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建设家庭养老床位（张）</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157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500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50000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15</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基层老年协会覆盖率（%）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16</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城镇公益性公墓服务覆盖率（%）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32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highlight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预期性</w:t>
            </w:r>
          </w:p>
        </w:tc>
      </w:tr>
      <w:tr>
        <w:tblPrEx>
          <w:tblCellMar>
            <w:top w:w="0" w:type="dxa"/>
            <w:left w:w="0" w:type="dxa"/>
            <w:bottom w:w="0" w:type="dxa"/>
            <w:right w:w="0" w:type="dxa"/>
          </w:tblCellMar>
        </w:tblPrEx>
        <w:trPr>
          <w:trHeight w:val="320"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kern w:val="0"/>
                <w:sz w:val="24"/>
                <w:szCs w:val="24"/>
                <w:highlight w:val="none"/>
                <w:lang w:val="en-US" w:eastAsia="zh-CN" w:bidi="ar"/>
              </w:rPr>
              <w:t>17</w:t>
            </w:r>
          </w:p>
        </w:tc>
        <w:tc>
          <w:tcPr>
            <w:tcW w:w="308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农村公益性墓地规范服务行政村覆盖率（%）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kern w:val="0"/>
                <w:sz w:val="24"/>
                <w:szCs w:val="24"/>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50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50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预期性</w:t>
            </w:r>
          </w:p>
        </w:tc>
      </w:tr>
    </w:tbl>
    <w:p>
      <w:pPr>
        <w:pStyle w:val="12"/>
        <w:keepNext w:val="0"/>
        <w:keepLines w:val="0"/>
        <w:widowControl/>
        <w:suppressLineNumbers w:val="0"/>
        <w:autoSpaceDE w:val="0"/>
        <w:autoSpaceDN/>
        <w:spacing w:before="0" w:beforeAutospacing="0" w:after="0" w:afterAutospacing="0" w:line="440" w:lineRule="exact"/>
        <w:ind w:left="0" w:leftChars="0" w:right="0" w:rightChars="0" w:firstLine="560" w:firstLineChars="200"/>
        <w:jc w:val="left"/>
        <w:rPr>
          <w:rFonts w:hint="default" w:ascii="Times New Roman" w:hAnsi="Times New Roman" w:eastAsia="方正仿宋_GBK" w:cs="Times New Roman"/>
          <w:color w:val="auto"/>
          <w:kern w:val="0"/>
          <w:sz w:val="28"/>
          <w:szCs w:val="28"/>
          <w:highlight w:val="none"/>
          <w:lang w:val="en-US" w:eastAsia="zh-CN" w:bidi="ar"/>
        </w:rPr>
      </w:pPr>
      <w:r>
        <w:rPr>
          <w:rFonts w:hint="default" w:ascii="Times New Roman" w:hAnsi="Times New Roman" w:eastAsia="方正仿宋_GBK" w:cs="Times New Roman"/>
          <w:color w:val="auto"/>
          <w:kern w:val="0"/>
          <w:sz w:val="28"/>
          <w:szCs w:val="28"/>
          <w:highlight w:val="none"/>
          <w:lang w:val="en-US" w:eastAsia="zh-CN" w:bidi="ar"/>
        </w:rPr>
        <w:t>说明：按上位文件要求，有新的指标可以随时加入。带*系2024年数据，与《重庆市铜梁区国民经济和社会发展第十五个五年规划纲要》衔接一致。</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outlineLvl w:val="9"/>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lang w:eastAsia="zh-CN"/>
        </w:rPr>
        <w:t>二、</w:t>
      </w:r>
      <w:r>
        <w:rPr>
          <w:rFonts w:hint="default" w:ascii="Times New Roman" w:hAnsi="Times New Roman" w:eastAsia="方正黑体_GBK" w:cs="Times New Roman"/>
          <w:color w:val="auto"/>
          <w:sz w:val="32"/>
          <w:szCs w:val="32"/>
          <w:highlight w:val="none"/>
        </w:rPr>
        <w:t>构建全</w:t>
      </w:r>
      <w:r>
        <w:rPr>
          <w:rFonts w:hint="default" w:ascii="Times New Roman" w:hAnsi="Times New Roman" w:eastAsia="方正黑体_GBK" w:cs="Times New Roman"/>
          <w:color w:val="auto"/>
          <w:sz w:val="32"/>
          <w:szCs w:val="32"/>
          <w:highlight w:val="none"/>
          <w:lang w:val="en-US" w:eastAsia="zh-CN"/>
        </w:rPr>
        <w:t>生命</w:t>
      </w:r>
      <w:r>
        <w:rPr>
          <w:rFonts w:hint="default" w:ascii="Times New Roman" w:hAnsi="Times New Roman" w:eastAsia="方正黑体_GBK" w:cs="Times New Roman"/>
          <w:color w:val="auto"/>
          <w:sz w:val="32"/>
          <w:szCs w:val="32"/>
          <w:highlight w:val="none"/>
        </w:rPr>
        <w:t>周期的高质量服务链</w:t>
      </w:r>
    </w:p>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outlineLvl w:val="9"/>
        <w:rPr>
          <w:rFonts w:hint="default" w:ascii="Times New Roman" w:hAnsi="Times New Roman" w:eastAsia="方正仿宋_GBK" w:cs="Times New Roman"/>
          <w:b/>
          <w:bCs/>
          <w:color w:val="auto"/>
          <w:sz w:val="32"/>
          <w:szCs w:val="32"/>
          <w:highlight w:val="none"/>
          <w:lang w:eastAsia="zh-CN"/>
        </w:rPr>
      </w:pPr>
      <w:r>
        <w:rPr>
          <w:rFonts w:hint="default" w:ascii="Times New Roman" w:hAnsi="Times New Roman" w:eastAsia="方正楷体_GBK" w:cs="Times New Roman"/>
          <w:b w:val="0"/>
          <w:bCs w:val="0"/>
          <w:color w:val="auto"/>
          <w:sz w:val="32"/>
          <w:szCs w:val="32"/>
          <w:highlight w:val="none"/>
          <w:lang w:eastAsia="zh-CN"/>
        </w:rPr>
        <w:t>（一）幼有所育</w:t>
      </w:r>
      <w:r>
        <w:rPr>
          <w:rFonts w:hint="default" w:ascii="Times New Roman" w:hAnsi="Times New Roman" w:eastAsia="方正楷体_GBK" w:cs="Times New Roman"/>
          <w:b w:val="0"/>
          <w:bCs w:val="0"/>
          <w:color w:val="auto"/>
          <w:sz w:val="32"/>
          <w:szCs w:val="32"/>
          <w:highlight w:val="none"/>
        </w:rPr>
        <w:t>：完善生育支持与儿童早期发展服务</w:t>
      </w:r>
      <w:r>
        <w:rPr>
          <w:rFonts w:hint="default" w:ascii="Times New Roman" w:hAnsi="Times New Roman" w:eastAsia="方正楷体_GBK" w:cs="Times New Roman"/>
          <w:b w:val="0"/>
          <w:bCs w:val="0"/>
          <w:color w:val="auto"/>
          <w:sz w:val="32"/>
          <w:szCs w:val="32"/>
          <w:highlight w:val="none"/>
          <w:lang w:eastAsia="zh-CN"/>
        </w:rPr>
        <w:t>体系</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优化婚姻家庭辅导服务</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val="0"/>
          <w:i w:val="0"/>
          <w:color w:val="auto"/>
          <w:kern w:val="2"/>
          <w:sz w:val="32"/>
          <w:szCs w:val="32"/>
          <w:highlight w:val="none"/>
        </w:rPr>
      </w:pPr>
      <w:r>
        <w:rPr>
          <w:rFonts w:hint="default" w:ascii="Times New Roman" w:hAnsi="Times New Roman" w:eastAsia="方正仿宋_GBK" w:cs="Times New Roman"/>
          <w:b w:val="0"/>
          <w:i w:val="0"/>
          <w:kern w:val="2"/>
          <w:sz w:val="32"/>
          <w:szCs w:val="32"/>
          <w:highlight w:val="none"/>
          <w:lang w:val="en-US" w:eastAsia="zh-CN" w:bidi="ar"/>
        </w:rPr>
        <w:t>深化“家和计划”项目，开设婚前必修课、新婚课堂，抓实婚后跟踪回访，做细离婚辅导、情绪疏导、矛盾调解及冷静期暖心服务。加强专业队伍建设，推动婚姻家庭辅导服务向村社延伸、线上拓展。促进“婚登+”创新融合发展，深化“铜”（同）你结“梁”（良）缘特色婚姻服务品牌创建，培育新型婚育文化，倡导积极婚育观，推动构建婚育友好型社会。</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yellow"/>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color w:val="auto"/>
          <w:kern w:val="2"/>
          <w:sz w:val="32"/>
          <w:szCs w:val="32"/>
          <w:highlight w:val="none"/>
          <w:lang w:val="en-US" w:eastAsia="zh-CN" w:bidi="ar"/>
        </w:rPr>
        <w:t>完善家庭发展政策和生育友好环境建设</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cs="Times New Roman"/>
          <w:color w:val="auto"/>
        </w:rPr>
      </w:pPr>
      <w:r>
        <w:rPr>
          <w:rFonts w:hint="default" w:ascii="Times New Roman" w:hAnsi="Times New Roman" w:eastAsia="方正仿宋_GBK" w:cs="Times New Roman"/>
          <w:color w:val="auto"/>
          <w:kern w:val="0"/>
          <w:sz w:val="32"/>
          <w:szCs w:val="32"/>
          <w:lang w:val="en-US" w:eastAsia="zh-CN" w:bidi="ar"/>
        </w:rPr>
        <w:t>扎实推动两纲两规落地实施，搭建孕产保健、优生筛查与生育指导协同体系，多措并举降低生育、养育、教育成本。开展早孕关爱、孕育能力提升行动，打造示范阵地，健全激励机制；推进生育友好、儿童友好医院建设，推广便民医疗服务，落实儿童健康管护工作。完善育儿补贴、休假保障、医保生育保险等配套政策，探索婴幼儿医保资助。深化人口发展与新型婚育文化宣传教育，融入校园、干部培</w:t>
      </w:r>
      <w:bookmarkStart w:id="0" w:name="_GoBack"/>
      <w:bookmarkEnd w:id="0"/>
      <w:r>
        <w:rPr>
          <w:rFonts w:hint="default" w:ascii="Times New Roman" w:hAnsi="Times New Roman" w:eastAsia="方正仿宋_GBK" w:cs="Times New Roman"/>
          <w:color w:val="auto"/>
          <w:kern w:val="0"/>
          <w:sz w:val="32"/>
          <w:szCs w:val="32"/>
          <w:lang w:val="en-US" w:eastAsia="zh-CN" w:bidi="ar"/>
        </w:rPr>
        <w:t>训及基层治理。配齐公共场所母婴设施，优化妇女就业支持政策，全面营造生育友好、家庭友好的社会环境。</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color w:val="auto"/>
          <w:kern w:val="2"/>
          <w:sz w:val="32"/>
          <w:szCs w:val="32"/>
          <w:highlight w:val="none"/>
          <w:lang w:val="en-US" w:eastAsia="zh-CN" w:bidi="ar"/>
        </w:rPr>
        <w:t>健全普惠安全的托育服务体系</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加大普惠安全托育服务供给，着力构建以托育综合服务中心为枢纽，以托育机构、社区“嵌入式”托育、托幼一体化、用人单位办托、家庭托育点等为网络的“1+N”托育服务体系。健全普惠托位支持政策，减轻托育机构的运营风险。打造医育发展“联盟”，构建“医疗—养育—教育”一体化服务体系。到2030年，3岁以下婴幼儿入托率提高6个百分点，社区普惠性托育点覆盖率达60%以上，基本建成城区“15分钟托育圈”。</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spacing w:before="0" w:beforeAutospacing="0" w:after="0" w:afterAutospacing="0" w:line="594" w:lineRule="exact"/>
              <w:ind w:left="0" w:right="0"/>
              <w:jc w:val="center"/>
              <w:rPr>
                <w:rFonts w:hint="default" w:ascii="Times New Roman" w:hAnsi="Times New Roman" w:eastAsia="方正黑体_GBK" w:cs="Times New Roman"/>
                <w:kern w:val="2"/>
                <w:sz w:val="21"/>
                <w:szCs w:val="21"/>
                <w:highlight w:val="none"/>
                <w:lang w:val="en-US"/>
              </w:rPr>
            </w:pPr>
            <w:r>
              <w:rPr>
                <w:rFonts w:hint="default" w:ascii="Times New Roman" w:hAnsi="Times New Roman" w:eastAsia="方正黑体_GBK" w:cs="Times New Roman"/>
                <w:kern w:val="2"/>
                <w:sz w:val="28"/>
                <w:szCs w:val="28"/>
                <w:highlight w:val="none"/>
                <w:lang w:val="en-US" w:eastAsia="zh-CN" w:bidi="ar"/>
              </w:rPr>
              <w:t>专栏1：</w:t>
            </w:r>
            <w:r>
              <w:rPr>
                <w:rFonts w:hint="default" w:ascii="Times New Roman" w:hAnsi="Times New Roman" w:eastAsia="方正黑体_GBK" w:cs="Times New Roman"/>
                <w:kern w:val="2"/>
                <w:sz w:val="32"/>
                <w:szCs w:val="32"/>
                <w:highlight w:val="none"/>
                <w:lang w:val="en-US" w:eastAsia="zh-CN" w:bidi="ar"/>
              </w:rPr>
              <w:t>普惠托育与儿童早期发展促进重点事项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color w:val="000000"/>
                <w:kern w:val="2"/>
                <w:sz w:val="24"/>
                <w:szCs w:val="24"/>
                <w:lang w:val="en-US" w:eastAsia="zh-CN" w:bidi="ar"/>
              </w:rPr>
            </w:pPr>
            <w:r>
              <w:rPr>
                <w:rFonts w:hint="default" w:ascii="Times New Roman" w:hAnsi="Times New Roman" w:eastAsia="方正黑体_GBK" w:cs="Times New Roman"/>
                <w:color w:val="000000"/>
                <w:kern w:val="2"/>
                <w:sz w:val="24"/>
                <w:szCs w:val="24"/>
                <w:lang w:val="en-US" w:eastAsia="zh-CN" w:bidi="ar"/>
              </w:rPr>
              <w:t>1.规范普惠托育服务收费管理。</w:t>
            </w:r>
            <w:r>
              <w:rPr>
                <w:rFonts w:hint="default" w:ascii="Times New Roman" w:hAnsi="Times New Roman" w:eastAsia="方正仿宋_GBK" w:cs="Times New Roman"/>
                <w:color w:val="000000"/>
                <w:kern w:val="2"/>
                <w:sz w:val="24"/>
                <w:szCs w:val="24"/>
                <w:lang w:val="en-US" w:eastAsia="zh-CN" w:bidi="ar"/>
              </w:rPr>
              <w:t>构建全区普惠托育服务收费政府指导价格管理体系，制定托育服务基准收费标准和浮动幅度，定期评估、及时调整优化收费政策。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宋体" w:cs="Times New Roman"/>
                <w:kern w:val="2"/>
                <w:sz w:val="28"/>
                <w:szCs w:val="28"/>
                <w:highlight w:val="none"/>
              </w:rPr>
            </w:pPr>
            <w:r>
              <w:rPr>
                <w:rFonts w:hint="default" w:ascii="Times New Roman" w:hAnsi="Times New Roman" w:eastAsia="方正黑体_GBK" w:cs="Times New Roman"/>
                <w:color w:val="000000"/>
                <w:kern w:val="2"/>
                <w:sz w:val="24"/>
                <w:szCs w:val="24"/>
                <w:lang w:val="en-US" w:eastAsia="zh-CN" w:bidi="ar"/>
              </w:rPr>
              <w:t>2.公办园装修。</w:t>
            </w:r>
            <w:r>
              <w:rPr>
                <w:rFonts w:hint="default" w:ascii="Times New Roman" w:hAnsi="Times New Roman" w:eastAsia="方正仿宋_GBK" w:cs="Times New Roman"/>
                <w:color w:val="000000"/>
                <w:kern w:val="2"/>
                <w:sz w:val="24"/>
                <w:szCs w:val="24"/>
                <w:lang w:val="en-US" w:eastAsia="zh-CN" w:bidi="ar"/>
              </w:rPr>
              <w:t>第四实验幼儿园2号楼（1100㎡/12室/90学位）进行建筑装修、设备采购及安装，增设托育服务。</w:t>
            </w:r>
          </w:p>
        </w:tc>
      </w:tr>
    </w:tbl>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right="0"/>
        <w:jc w:val="center"/>
        <w:textAlignment w:val="auto"/>
        <w:outlineLvl w:val="9"/>
        <w:rPr>
          <w:rFonts w:hint="default" w:ascii="Times New Roman" w:hAnsi="Times New Roman" w:eastAsia="方正楷体_GBK" w:cs="Times New Roman"/>
          <w:b w:val="0"/>
          <w:bCs w:val="0"/>
          <w:color w:val="auto"/>
          <w:sz w:val="32"/>
          <w:szCs w:val="32"/>
          <w:highlight w:val="none"/>
          <w:u w:val="none"/>
          <w:lang w:eastAsia="zh-CN"/>
        </w:rPr>
      </w:pPr>
      <w:r>
        <w:rPr>
          <w:rFonts w:hint="default" w:ascii="Times New Roman" w:hAnsi="Times New Roman" w:eastAsia="方正楷体_GBK" w:cs="Times New Roman"/>
          <w:b w:val="0"/>
          <w:bCs w:val="0"/>
          <w:color w:val="auto"/>
          <w:sz w:val="32"/>
          <w:szCs w:val="32"/>
          <w:highlight w:val="none"/>
          <w:lang w:eastAsia="zh-CN"/>
        </w:rPr>
        <w:t>（二）学有所教</w:t>
      </w:r>
      <w:r>
        <w:rPr>
          <w:rFonts w:hint="default" w:ascii="Times New Roman" w:hAnsi="Times New Roman" w:eastAsia="方正楷体_GBK" w:cs="Times New Roman"/>
          <w:b w:val="0"/>
          <w:bCs w:val="0"/>
          <w:color w:val="auto"/>
          <w:sz w:val="32"/>
          <w:szCs w:val="32"/>
          <w:highlight w:val="none"/>
        </w:rPr>
        <w:t>：</w:t>
      </w:r>
      <w:r>
        <w:rPr>
          <w:rFonts w:hint="default" w:ascii="Times New Roman" w:hAnsi="Times New Roman" w:eastAsia="方正楷体_GBK" w:cs="Times New Roman"/>
          <w:b w:val="0"/>
          <w:bCs w:val="0"/>
          <w:kern w:val="2"/>
          <w:sz w:val="32"/>
          <w:szCs w:val="32"/>
          <w:lang w:val="en-US" w:eastAsia="zh-CN" w:bidi="ar"/>
        </w:rPr>
        <w:t>构建服务全民终身学习的教育体系</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color w:val="auto"/>
          <w:kern w:val="2"/>
          <w:sz w:val="32"/>
          <w:szCs w:val="32"/>
          <w:highlight w:val="none"/>
          <w:lang w:val="en-US" w:eastAsia="zh-CN" w:bidi="ar"/>
        </w:rPr>
        <w:t>建立适应学龄人口变动的教育资源动态配置机制</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建立基础教育各学段学龄人口变化监测预警机制，精准预测学龄人口变动趋势，科学动态调整学校布局规划。创新学校规划建设理念，探索建设模块化构建、功能可转换的小规模学校，提升教育资源复用弹性和使用效率。有序推进学前教育和义务教育阶段学校新建、改扩建工程，重点保障淮远新区、科创新城、龙腾新区等人口集聚区域的学位需求。全力改善安居、旧县、平滩等中心镇街学校办学条件。</w:t>
      </w:r>
      <w:r>
        <w:rPr>
          <w:rFonts w:hint="default" w:ascii="Times New Roman" w:hAnsi="Times New Roman" w:eastAsia="方正仿宋_GBK" w:cs="Times New Roman"/>
          <w:b w:val="0"/>
          <w:bCs w:val="0"/>
          <w:kern w:val="2"/>
          <w:sz w:val="32"/>
          <w:szCs w:val="32"/>
          <w:lang w:val="en-US" w:eastAsia="zh-CN" w:bidi="ar"/>
        </w:rPr>
        <w:t>深化“龙乡同心”教共体建设，</w:t>
      </w:r>
      <w:r>
        <w:rPr>
          <w:rFonts w:hint="default" w:ascii="Times New Roman" w:hAnsi="Times New Roman" w:eastAsia="方正仿宋_GBK" w:cs="Times New Roman"/>
          <w:kern w:val="2"/>
          <w:sz w:val="32"/>
          <w:szCs w:val="32"/>
          <w:lang w:val="en-US" w:eastAsia="zh-CN" w:bidi="ar"/>
        </w:rPr>
        <w:t>健全区、教共体两级治理机制，实现全区中小学教共体全覆盖。主动对接成渝地区优质教育资源，组建跨区域教共体并常态化开展交流活动。实施“新卓越”教育工程。</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color w:val="auto"/>
          <w:kern w:val="2"/>
          <w:sz w:val="32"/>
          <w:szCs w:val="32"/>
          <w:highlight w:val="none"/>
          <w:lang w:val="en-US" w:eastAsia="zh-CN" w:bidi="ar"/>
        </w:rPr>
        <w:t>推进基础教育优质均衡内涵提升</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cs="Times New Roman"/>
          <w:sz w:val="32"/>
          <w:szCs w:val="32"/>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color w:val="auto"/>
          <w:kern w:val="2"/>
          <w:sz w:val="32"/>
          <w:szCs w:val="32"/>
          <w:highlight w:val="none"/>
          <w:lang w:val="en-US" w:eastAsia="zh-CN" w:bidi="ar"/>
        </w:rPr>
        <w:t>统筹推进学前教育普及普惠安全优质发展。</w:t>
      </w:r>
      <w:r>
        <w:rPr>
          <w:rFonts w:hint="default" w:ascii="Times New Roman" w:hAnsi="Times New Roman" w:eastAsia="方正仿宋_GBK" w:cs="Times New Roman"/>
          <w:kern w:val="2"/>
          <w:sz w:val="32"/>
          <w:szCs w:val="32"/>
          <w:lang w:val="en-US" w:eastAsia="zh-CN" w:bidi="ar"/>
        </w:rPr>
        <w:t>全面推进全国义务教育优质均衡发展区创建工作。持续推进义务教育薄弱环节改善与能力提升工程，全面提升农村教育质量。制定实施“新卓越学校”“新卓越课堂”建设实施方案，坚持素养导向、学科实践、综合学习、因材施教，探索实践数智赋能的单元整体教学模式。鼓励各校将龙舞、龙灯、龙舟等非遗文化融入学校教育教学，建设“龙乡文化”特色学校，传承本土优秀传统文化。健全区级教育质量监测体系，增强核心素养导向的“教—学—评”一致性。深入落实“双减”政策，优化作业设计与管理，严格控制作业总量，鼓励布置探究性、实践性作业。提升课后服务水平，丰富科技、体育、艺术等社团活动，打造“一校一品”课后服务特色。强化校外培训监管，持续开展专项整治，严厉打击违规培训行为，切实减轻学生校外培训负担。加强特殊学生群体关爱帮扶。</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color w:val="auto"/>
          <w:kern w:val="2"/>
          <w:sz w:val="32"/>
          <w:szCs w:val="32"/>
          <w:highlight w:val="none"/>
          <w:lang w:val="en-US" w:eastAsia="zh-CN" w:bidi="ar"/>
        </w:rPr>
        <w:t>持续推进义务教育优质均衡发展。</w:t>
      </w:r>
      <w:r>
        <w:rPr>
          <w:rFonts w:hint="default" w:ascii="Times New Roman" w:hAnsi="Times New Roman" w:eastAsia="方正仿宋_GBK" w:cs="Times New Roman"/>
          <w:kern w:val="2"/>
          <w:sz w:val="32"/>
          <w:szCs w:val="32"/>
          <w:lang w:val="en-US" w:eastAsia="zh-CN" w:bidi="ar"/>
        </w:rPr>
        <w:t>全面推进全国义务教育优质均衡发展区创建工作。持续推进义务教育薄弱环节改善与能力提升工程，全面提升农村教育质量。制定实施“新卓越学校”“新卓越课堂”建设实施方案，坚持素养导向、学科实践、综合学习、因材施教，探索实践数智赋能的单元整体教学模式。鼓励各校将龙舞、龙灯、龙舟等非遗文化融入学校教育教学，建设“龙乡文化”特色学校，传承本土优秀传统文化。健全区级教育质量监测体系，增强核心素养导向的“教—学—评”一致性。深入落实“双减”政策，优化作业设计与管理，严格控制作业总量，鼓励布置探究性、实践性作业。提升课后服务水平，丰富科技、体育、艺术等社团活动，打造“一校一品”课后服务特色。强化校外培训监管，持续开展专项整治，严厉打击违规培训行为，切实减轻学生校外培训负担。加强特殊学生群体关爱帮扶。</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cs="Times New Roman"/>
          <w:sz w:val="32"/>
          <w:szCs w:val="32"/>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color w:val="auto"/>
          <w:kern w:val="2"/>
          <w:sz w:val="32"/>
          <w:szCs w:val="32"/>
          <w:highlight w:val="none"/>
          <w:lang w:val="en-US" w:eastAsia="zh-CN" w:bidi="ar"/>
        </w:rPr>
        <w:t>全力推进普通高中优质特色发展。</w:t>
      </w:r>
      <w:r>
        <w:rPr>
          <w:rFonts w:hint="default" w:ascii="Times New Roman" w:hAnsi="Times New Roman" w:eastAsia="方正仿宋_GBK" w:cs="Times New Roman"/>
          <w:kern w:val="2"/>
          <w:sz w:val="32"/>
          <w:szCs w:val="32"/>
          <w:lang w:val="en-US" w:eastAsia="zh-CN" w:bidi="ar"/>
        </w:rPr>
        <w:t>稳步扩大普通高中教育资源供给，探索与市内外知名高中联合育人模式，加强合作办学，建设普通高中教共体，实现优质资源共建共享。重点支持铜梁中学率先建成重庆市“新卓越”普通高中。做优铜梁中学教共体，深化小初高贯通人才培养，推动建立以学科为导向的“名师贯通培养”与“学生全面成长”双通道。推动科学、体育、艺术等特色高中建设，构建多元特色的普通高中发展格局。争创普通高中新课程新教材实施国家级示范区、示范校，以课程创新基地建设为抓手，构建多层次、立体化的特色课程体系。</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方正仿宋_GBK" w:cs="Times New Roman"/>
          <w:kern w:val="2"/>
          <w:sz w:val="32"/>
          <w:szCs w:val="32"/>
          <w:lang w:val="en-US" w:eastAsia="zh-CN" w:bidi="ar"/>
        </w:rPr>
        <w:t>（4）</w:t>
      </w:r>
      <w:r>
        <w:rPr>
          <w:rFonts w:hint="default" w:ascii="Times New Roman" w:hAnsi="Times New Roman" w:eastAsia="方正仿宋_GBK" w:cs="Times New Roman"/>
          <w:b/>
          <w:bCs/>
          <w:kern w:val="2"/>
          <w:sz w:val="32"/>
          <w:szCs w:val="32"/>
          <w:lang w:val="en-US" w:eastAsia="zh-CN" w:bidi="ar"/>
        </w:rPr>
        <w:t>持续推进特殊教育优质融合发展。</w:t>
      </w:r>
      <w:r>
        <w:rPr>
          <w:rFonts w:hint="default" w:ascii="Times New Roman" w:hAnsi="Times New Roman" w:eastAsia="方正仿宋_GBK" w:cs="Times New Roman"/>
          <w:kern w:val="2"/>
          <w:sz w:val="32"/>
          <w:szCs w:val="32"/>
          <w:lang w:val="en-US" w:eastAsia="zh-CN" w:bidi="ar"/>
        </w:rPr>
        <w:t>健全特殊教育保障机制，完善以随班就读为主体、特殊教育学校为骨干、送教上门为补充的特殊教育安置体系。推进特殊教育学校标准化建设，配齐配足特殊教育教师和康复设备。加强医教结合，推动特殊教育学校与医疗机构、康复机构深度合作，提升特殊教育保障能力。深化特殊教育课程教学改革，提高特殊教育质量，到2030年，适龄残疾儿童少年义务教育入学率持续保持100%。</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none"/>
          <w:lang w:val="en-US" w:eastAsia="zh-CN" w:bidi="ar"/>
        </w:rPr>
      </w:pPr>
      <w:r>
        <w:rPr>
          <w:rFonts w:hint="default" w:ascii="Times New Roman" w:hAnsi="Times New Roman" w:eastAsia="方正仿宋_GBK" w:cs="Times New Roman"/>
          <w:color w:val="auto"/>
          <w:kern w:val="2"/>
          <w:sz w:val="32"/>
          <w:szCs w:val="32"/>
          <w:lang w:val="en-US" w:eastAsia="zh-CN" w:bidi="ar"/>
        </w:rPr>
        <w:t>3.</w:t>
      </w:r>
      <w:r>
        <w:rPr>
          <w:rFonts w:hint="default" w:ascii="Times New Roman" w:hAnsi="Times New Roman" w:eastAsia="方正仿宋_GBK" w:cs="Times New Roman"/>
          <w:b/>
          <w:bCs/>
          <w:color w:val="auto"/>
          <w:kern w:val="2"/>
          <w:sz w:val="32"/>
          <w:szCs w:val="32"/>
          <w:highlight w:val="none"/>
          <w:lang w:val="en-US" w:eastAsia="zh-CN" w:bidi="ar"/>
        </w:rPr>
        <w:t>增强职业教育适应性与服务发展能力</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lang w:val="en-US" w:eastAsia="zh-CN" w:bidi="ar"/>
        </w:rPr>
        <w:t>办精办特中等职业学校。</w:t>
      </w:r>
      <w:r>
        <w:rPr>
          <w:rFonts w:hint="default" w:ascii="Times New Roman" w:hAnsi="Times New Roman" w:eastAsia="方正仿宋_GBK" w:cs="Times New Roman"/>
          <w:kern w:val="2"/>
          <w:sz w:val="32"/>
          <w:szCs w:val="32"/>
          <w:lang w:val="en-US" w:eastAsia="zh-CN" w:bidi="ar"/>
        </w:rPr>
        <w:t>支持铜梁职教中心创建办学能力高水平、产教融合高质量的国家级优质中职学校和优质专业群，持续巩固第二批重庆市优质中职学校和优质专业群建设成果。运用大数据、人工智能精准预测区域人才供需趋势，建立专业动态调整与快速响应机制，严格落实专业设置“红黄牌”提示制度。重点建设面向区域主导产业、战略性新兴产业和现代服务业的专业（群），撤并淘汰供给过剩、就业率低、办学条件薄弱的专业点，推动专业设置与区域重点产业匹配度达到90%以上。稳步推进“3+2”“3+4”中高本贯通培养，探索与合作高校开展专业建设共同体试点。</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lang w:val="en-US" w:eastAsia="zh-CN" w:bidi="ar"/>
        </w:rPr>
        <w:t>加快推进综合高中建设。</w:t>
      </w:r>
      <w:r>
        <w:rPr>
          <w:rFonts w:hint="default" w:ascii="Times New Roman" w:hAnsi="Times New Roman" w:eastAsia="方正仿宋_GBK" w:cs="Times New Roman"/>
          <w:kern w:val="2"/>
          <w:sz w:val="32"/>
          <w:szCs w:val="32"/>
          <w:lang w:val="en-US" w:eastAsia="zh-CN" w:bidi="ar"/>
        </w:rPr>
        <w:t>依托职教中心与普通高中优质资源，探索综合高中办学模式，构建“文化基础+职业技能+综合素质”三位一体的课程体系，建立普职课程互选、学分互认、资源互通机制，为学生提供多元化成长路径。稳步扩大综合高中招生规模，优化生源结构，持续改善办学条件。纵深推进普职融通育人改革，培养兼具扎实文化功底与过硬专业技能的复合型人才，促进职业教育与普通教育相互融通、协调发展。</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cs="Times New Roman"/>
          <w:sz w:val="32"/>
          <w:szCs w:val="32"/>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lang w:val="en-US" w:eastAsia="zh-CN" w:bidi="ar"/>
        </w:rPr>
        <w:t>高质量推进产教深度融合。</w:t>
      </w:r>
      <w:r>
        <w:rPr>
          <w:rFonts w:hint="default" w:ascii="Times New Roman" w:hAnsi="Times New Roman" w:eastAsia="方正仿宋_GBK" w:cs="Times New Roman"/>
          <w:kern w:val="2"/>
          <w:sz w:val="32"/>
          <w:szCs w:val="32"/>
          <w:lang w:val="en-US" w:eastAsia="zh-CN" w:bidi="ar"/>
        </w:rPr>
        <w:t>高标准建好渝西片区储能产业产教联合体，探索“政府建、企业投、学校办、园区用”的市场化运行模式，推动校企合作完成技术成果转化50项以上，实现课程内容与职业标准、教学过程与生产流程深度对接。打造集实践教学、社会培训、真实生产、技术服务于一体的高水平产教融合实训基地，推动企业设备、技术、标准、人员向学校育人环节全面开放。依托海辰储能、鹿客科技等龙头企业打造跨区域产教融合平台，培育市级产教融合型企业5家以上，共建开放型区域产教融合实践中心3—5个。依托铜梁高新区产业集群，推动职业院校与龙头企业共建现代产业学院和企业工程技术人员、高技能人才与学校教师双向流动、双向聘用，全面实施“双导师制”培养，每年为区域产业发展定向输送高素质技能型人才。</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4.</w:t>
      </w:r>
      <w:r>
        <w:rPr>
          <w:rFonts w:hint="default" w:ascii="Times New Roman" w:hAnsi="Times New Roman" w:eastAsia="方正仿宋_GBK" w:cs="Times New Roman"/>
          <w:b/>
          <w:bCs/>
          <w:color w:val="auto"/>
          <w:kern w:val="2"/>
          <w:sz w:val="32"/>
          <w:szCs w:val="32"/>
          <w:highlight w:val="none"/>
          <w:lang w:val="en-US" w:eastAsia="zh-CN" w:bidi="ar"/>
        </w:rPr>
        <w:t>构建环大学创新创业生态圈</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b w:val="0"/>
          <w:bCs w:val="0"/>
          <w:kern w:val="2"/>
          <w:sz w:val="32"/>
          <w:szCs w:val="32"/>
          <w:lang w:val="en-US" w:eastAsia="zh-CN" w:bidi="ar"/>
        </w:rPr>
        <w:t>（1）</w:t>
      </w:r>
      <w:r>
        <w:rPr>
          <w:rFonts w:hint="default" w:ascii="Times New Roman" w:hAnsi="Times New Roman" w:eastAsia="方正仿宋_GBK" w:cs="Times New Roman"/>
          <w:b/>
          <w:bCs/>
          <w:kern w:val="2"/>
          <w:sz w:val="32"/>
          <w:szCs w:val="32"/>
          <w:lang w:val="en-US" w:eastAsia="zh-CN" w:bidi="ar"/>
        </w:rPr>
        <w:t>积极引育优质高教资源。</w:t>
      </w:r>
      <w:r>
        <w:rPr>
          <w:rFonts w:hint="default" w:ascii="Times New Roman" w:hAnsi="Times New Roman" w:eastAsia="方正仿宋_GBK" w:cs="Times New Roman"/>
          <w:kern w:val="2"/>
          <w:sz w:val="32"/>
          <w:szCs w:val="32"/>
          <w:lang w:val="en-US" w:eastAsia="zh-CN" w:bidi="ar"/>
        </w:rPr>
        <w:t>围绕产城人深度融合发展导向，以完善城市公共教育服务、优化人口发展配套为目标，持续优化高等教育营商环境和配套保障。主动对接市属优质公办高校及国内外知名院校，积极引进优质高等教育资源落地办学。依托在地高校资源，深化校地战略合作，搭建产业学院、联合实验室等协同平台，推动高等教育与区域产业、城市发展深度耦合。力争2030年驻区高校达4至5所，形成布局合理、特色鲜明的高等教育格局。</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b w:val="0"/>
          <w:bCs w:val="0"/>
          <w:kern w:val="2"/>
          <w:sz w:val="32"/>
          <w:szCs w:val="32"/>
          <w:lang w:val="en-US" w:eastAsia="zh-CN" w:bidi="ar"/>
        </w:rPr>
        <w:t>（2）</w:t>
      </w:r>
      <w:r>
        <w:rPr>
          <w:rFonts w:hint="default" w:ascii="Times New Roman" w:hAnsi="Times New Roman" w:eastAsia="方正仿宋_GBK" w:cs="Times New Roman"/>
          <w:b/>
          <w:bCs/>
          <w:kern w:val="2"/>
          <w:sz w:val="32"/>
          <w:szCs w:val="32"/>
          <w:lang w:val="en-US" w:eastAsia="zh-CN" w:bidi="ar"/>
        </w:rPr>
        <w:t>提升高校服务支撑能力。</w:t>
      </w:r>
      <w:r>
        <w:rPr>
          <w:rFonts w:hint="default" w:ascii="Times New Roman" w:hAnsi="Times New Roman" w:eastAsia="方正仿宋_GBK" w:cs="Times New Roman"/>
          <w:b w:val="0"/>
          <w:bCs w:val="0"/>
          <w:kern w:val="2"/>
          <w:sz w:val="32"/>
          <w:szCs w:val="32"/>
          <w:lang w:val="en-US" w:eastAsia="zh-CN" w:bidi="ar"/>
        </w:rPr>
        <w:t>一体</w:t>
      </w:r>
      <w:r>
        <w:rPr>
          <w:rFonts w:hint="default" w:ascii="Times New Roman" w:hAnsi="Times New Roman" w:eastAsia="方正仿宋_GBK" w:cs="Times New Roman"/>
          <w:kern w:val="2"/>
          <w:sz w:val="32"/>
          <w:szCs w:val="32"/>
          <w:lang w:val="en-US" w:eastAsia="zh-CN" w:bidi="ar"/>
        </w:rPr>
        <w:t>推进教育科技人才发展，建立“教育链—创新链—产业链”精准对接机制，推动高校优质资源与区域产业发展深度融合，形成“高校+平台+产业”的创新发展格局。建设市级以上产教融合实训基地，开发“数字孪生工厂”教学系统，提升高校人才培养与产业需求的匹配度。盘活在铜高校公共服务资源，统筹开放文体、科教设施，支持在铜高校共建产业学院、实训基地、创新创业孵化器等共享平台，实现资源效益最大化。</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color w:val="auto"/>
          <w:kern w:val="2"/>
          <w:sz w:val="32"/>
          <w:szCs w:val="32"/>
          <w:lang w:val="en-US" w:eastAsia="zh-CN" w:bidi="ar"/>
        </w:rPr>
      </w:pPr>
      <w:r>
        <w:rPr>
          <w:rFonts w:hint="default" w:ascii="Times New Roman" w:hAnsi="Times New Roman" w:eastAsia="方正仿宋_GBK" w:cs="Times New Roman"/>
          <w:b w:val="0"/>
          <w:bCs w:val="0"/>
          <w:kern w:val="2"/>
          <w:sz w:val="32"/>
          <w:szCs w:val="32"/>
          <w:lang w:val="en-US" w:eastAsia="zh-CN" w:bidi="ar"/>
        </w:rPr>
        <w:t>（3）</w:t>
      </w:r>
      <w:r>
        <w:rPr>
          <w:rFonts w:hint="default" w:ascii="Times New Roman" w:hAnsi="Times New Roman" w:eastAsia="方正仿宋_GBK" w:cs="Times New Roman"/>
          <w:b/>
          <w:bCs/>
          <w:color w:val="auto"/>
          <w:kern w:val="2"/>
          <w:sz w:val="32"/>
          <w:szCs w:val="32"/>
          <w:lang w:val="en-US" w:eastAsia="zh-CN" w:bidi="ar"/>
        </w:rPr>
        <w:t>高标准推进大学科技园区建设。</w:t>
      </w:r>
      <w:r>
        <w:rPr>
          <w:rFonts w:hint="default" w:ascii="Times New Roman" w:hAnsi="Times New Roman" w:eastAsia="方正仿宋_GBK" w:cs="Times New Roman"/>
          <w:kern w:val="2"/>
          <w:sz w:val="32"/>
          <w:szCs w:val="32"/>
          <w:lang w:val="en-US" w:eastAsia="zh-CN" w:bidi="ar"/>
        </w:rPr>
        <w:t>持续对接重庆大学城，搭建常态化校地协作渠道，引入高校优势学科团队，联合布局产业创新园、研究院与中试基地，构建产学研协同育人创新体系。联动两江协同创新区，共建铜梁科创园，联合引进高校研发机构，同步开展高端人才联合培养。依托小北海区位与院校集聚优势，打造创客数字基地，吸纳研发、设计主体入驻，拓展科技人才培育场景。打通科研成果转化与人才培养通道，依托校地联动拓展高校实践阵地，提升区域创新育人承载能力。</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none"/>
          <w:lang w:val="en-US" w:eastAsia="zh-CN" w:bidi="ar"/>
        </w:rPr>
      </w:pPr>
      <w:r>
        <w:rPr>
          <w:rFonts w:hint="default" w:ascii="Times New Roman" w:hAnsi="Times New Roman" w:eastAsia="方正仿宋_GBK" w:cs="Times New Roman"/>
          <w:color w:val="auto"/>
          <w:kern w:val="2"/>
          <w:sz w:val="32"/>
          <w:szCs w:val="32"/>
          <w:lang w:val="en-US" w:eastAsia="zh-CN" w:bidi="ar"/>
        </w:rPr>
        <w:t>5.</w:t>
      </w:r>
      <w:r>
        <w:rPr>
          <w:rFonts w:hint="default" w:ascii="Times New Roman" w:hAnsi="Times New Roman" w:eastAsia="方正仿宋_GBK" w:cs="Times New Roman"/>
          <w:b/>
          <w:bCs/>
          <w:color w:val="auto"/>
          <w:kern w:val="2"/>
          <w:sz w:val="32"/>
          <w:szCs w:val="32"/>
          <w:highlight w:val="none"/>
          <w:lang w:val="en-US" w:eastAsia="zh-CN" w:bidi="ar"/>
        </w:rPr>
        <w:t>完善全民终身学习服务机制</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auto"/>
          <w:kern w:val="2"/>
          <w:sz w:val="32"/>
          <w:szCs w:val="32"/>
          <w:lang w:val="en-US" w:eastAsia="zh-CN" w:bidi="ar"/>
        </w:rPr>
        <w:t>（1）</w:t>
      </w:r>
      <w:r>
        <w:rPr>
          <w:rFonts w:hint="default" w:ascii="Times New Roman" w:hAnsi="Times New Roman" w:eastAsia="方正仿宋_GBK" w:cs="Times New Roman"/>
          <w:b/>
          <w:bCs/>
          <w:kern w:val="2"/>
          <w:sz w:val="32"/>
          <w:szCs w:val="32"/>
          <w:lang w:val="en-US" w:eastAsia="zh-CN" w:bidi="ar"/>
        </w:rPr>
        <w:t>建立健全终身教育公共服务体系。</w:t>
      </w:r>
      <w:r>
        <w:rPr>
          <w:rFonts w:hint="default" w:ascii="Times New Roman" w:hAnsi="Times New Roman" w:eastAsia="方正仿宋_GBK" w:cs="Times New Roman"/>
          <w:kern w:val="2"/>
          <w:sz w:val="32"/>
          <w:szCs w:val="32"/>
          <w:lang w:val="en-US" w:eastAsia="zh-CN" w:bidi="ar"/>
        </w:rPr>
        <w:t>整合教育、人社、文旅等部门优质资源，建设铜梁区终身学习“一网通办”平台，集成课程预约、学分查询、培训登记、就业对接等功能，实现学习资源“一站式”获取，打通终身学习服务“最后一公里”。创新学分银行激励机制，推动职业技能证书与学历教育学分互认，探索“学习积分兑换”政策，激发全民自主学习动力。建立终身学习激励机制，将学习成果纳入个人信用体系，探索“学习积分”兑换公共服务、文化消费等政策。推动党政机关、企事业单位将终身学习纳入职工继续教育体系，打造学习型组织。建立终身学习统计监测制度，定期发布铜梁区终身教育发展报告。推行“政府补贴+企业赞助+个人付费”的多元化投入模式，加大社区教育公益项目投入，推进终身教育泛在可及、便捷普惠。</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color w:val="auto"/>
          <w:kern w:val="2"/>
          <w:sz w:val="32"/>
          <w:szCs w:val="32"/>
          <w:lang w:val="en-US" w:eastAsia="zh-CN" w:bidi="ar"/>
        </w:rPr>
        <w:t>（2）</w:t>
      </w:r>
      <w:r>
        <w:rPr>
          <w:rFonts w:hint="default" w:ascii="Times New Roman" w:hAnsi="Times New Roman" w:eastAsia="方正仿宋_GBK" w:cs="Times New Roman"/>
          <w:b/>
          <w:bCs/>
          <w:kern w:val="2"/>
          <w:sz w:val="32"/>
          <w:szCs w:val="32"/>
          <w:lang w:val="en-US" w:eastAsia="zh-CN" w:bidi="ar"/>
        </w:rPr>
        <w:t>办好社区教育与老年教育。</w:t>
      </w:r>
      <w:r>
        <w:rPr>
          <w:rFonts w:hint="default" w:ascii="Times New Roman" w:hAnsi="Times New Roman" w:eastAsia="方正仿宋_GBK" w:cs="Times New Roman"/>
          <w:kern w:val="2"/>
          <w:sz w:val="32"/>
          <w:szCs w:val="32"/>
          <w:lang w:val="en-US" w:eastAsia="zh-CN" w:bidi="ar"/>
        </w:rPr>
        <w:t xml:space="preserve">广泛开展继续教育、社区教育、老年教育及非学历职业技能培训，衔接“龙乡工匠”终身职业技能培训项目，精准开设智能制造、现代服务、家政护理、现代农业等市场急需课程，满足全民多样化学习需求。组建“大学生+社区导师”双元志愿服务团队，吸纳高校师生、行业能手、非遗传承人参与社区教育教学。丰富社区教育内容，开设亲子教育、健康养生、非遗体验、法治科普等特色课程，打造“一社区一品牌”的社区教育特色。推动各镇街设立“乡村振兴学院”分校，开展电商直播、现代农业技术等培训，助力乡村产业发展。构建“智慧养老学堂”，推动社区设立“学习驿站”，配置适老化数字教学设备，提升老年教育覆盖面与参与度。 </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color w:val="auto"/>
          <w:kern w:val="2"/>
          <w:sz w:val="32"/>
          <w:szCs w:val="32"/>
          <w:lang w:val="en-US" w:eastAsia="zh-CN" w:bidi="ar"/>
        </w:rPr>
        <w:t>（3）</w:t>
      </w:r>
      <w:r>
        <w:rPr>
          <w:rFonts w:hint="default" w:ascii="Times New Roman" w:hAnsi="Times New Roman" w:eastAsia="方正仿宋_GBK" w:cs="Times New Roman"/>
          <w:b/>
          <w:bCs/>
          <w:kern w:val="2"/>
          <w:sz w:val="32"/>
          <w:szCs w:val="32"/>
          <w:lang w:val="en-US" w:eastAsia="zh-CN" w:bidi="ar"/>
        </w:rPr>
        <w:t>培育学习型城区特色品牌。</w:t>
      </w:r>
      <w:r>
        <w:rPr>
          <w:rFonts w:hint="default" w:ascii="Times New Roman" w:hAnsi="Times New Roman" w:eastAsia="方正仿宋_GBK" w:cs="Times New Roman"/>
          <w:kern w:val="2"/>
          <w:sz w:val="32"/>
          <w:szCs w:val="32"/>
          <w:lang w:val="en-US" w:eastAsia="zh-CN" w:bidi="ar"/>
        </w:rPr>
        <w:t>加快建设便捷高效、包容普惠、特色鲜明的重庆市学习型城市建设先行区。打造“龙乡·学苑”终身教育特色品牌，依托铜梁龙舞、彩扎非遗等优秀传统文化资源，开发“龙文化传承”“少云精神”“龙乡工匠”等特色课程体系，争创全国终身学习活动品牌1—2个。构建“15分钟学习圈”，整合各镇街文化站、中小学闲置教育资源，提档升级镇街社区学校和村（社区）学习中心，推出“周末文化学堂”“企业职工技能夜校”等特色学习项目。推动数字化学习资源下沉，保障农村居民与城市居民同等享有优质数字学习资源。</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4" w:lineRule="exact"/>
              <w:ind w:left="0" w:right="0"/>
              <w:jc w:val="center"/>
              <w:textAlignment w:val="auto"/>
              <w:rPr>
                <w:rFonts w:hint="default" w:ascii="Times New Roman" w:hAnsi="Times New Roman" w:eastAsia="方正黑体_GBK" w:cs="Times New Roman"/>
                <w:kern w:val="2"/>
                <w:sz w:val="21"/>
                <w:szCs w:val="21"/>
                <w:highlight w:val="none"/>
              </w:rPr>
            </w:pPr>
            <w:r>
              <w:rPr>
                <w:rFonts w:hint="default" w:ascii="Times New Roman" w:hAnsi="Times New Roman" w:eastAsia="方正黑体_GBK" w:cs="Times New Roman"/>
                <w:kern w:val="2"/>
                <w:sz w:val="32"/>
                <w:szCs w:val="32"/>
                <w:highlight w:val="none"/>
                <w:lang w:val="en-US" w:eastAsia="zh-CN" w:bidi="ar"/>
              </w:rPr>
              <w:t>专栏2：基础教育资源优化与质量提升建设项目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1.“强基”学校建设计划。</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建成投用昕晖璟尚、龙城首府、集美东方、邦泰颐和上院等小区配套幼儿园。完成一批农村新优质学校提档升级、铜梁中学淮远校区新建、铜梁中学龙山校区改建、重庆昌都完全中学新建、重庆艺术工程学院扩建等项目。启动龙腾新区中学新建、铜梁区教师进修学校（含重庆开放大学铜梁分院）新建、特殊教育学校迁建等项目。研究论证：金川小学、储能产业学院、智联电动车产业学院、高技能人才培训基地及研学营地等建设工程。</w:t>
            </w:r>
          </w:p>
          <w:p>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2.“同心”教共体扩优计划。</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中小学教共体覆盖率达到100%，组建教共体不少于20个。教共体覆盖率、生师比达标率、资源配置校际差异率、学生学业水平达标率实现“4个100%”。培育城乡新优质学校10所以上。形成可复制、可推广的“六同五共五协”教共体管理模式。组建跨区域教共体，力争每年开展交流活动不少于20场次。人民群众对基础教育满意度持续保持在95%以上。</w:t>
            </w:r>
          </w:p>
          <w:p>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3.“新卓越”教育创建计划。</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铜梁中学成功创建重庆市第一批“新卓越”普通高中。建成市级“新卓越”学校3—5所，建成市级以上教研示范基地3—5个，培育市级以上优秀教研成果10项以上。成功创建全国义务教育优质均衡发展区、全国学前教育普及普惠区。累计新增中小学、幼儿园学位25000个以上。适龄残疾儿童少年义务教育入学率持续保持100%。</w:t>
            </w:r>
          </w:p>
          <w:p>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4.“储能之谷”产教融合计划。</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新增3-5个产业急需专业，专业与产业契合度提升10%以上，联合开发产教融合课程10门，共建实训基地5个，中职毕业生升学率保持在75%以上，就业率（含升学）保持在95%以上，高职分类考试本科上线人数不低于全市平均水平，高技能人才占技能人才比例累计提升15%。</w:t>
            </w:r>
          </w:p>
        </w:tc>
      </w:tr>
    </w:tbl>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
        </w:rPr>
      </w:pPr>
      <w:r>
        <w:rPr>
          <w:rFonts w:hint="default" w:ascii="Times New Roman" w:hAnsi="Times New Roman" w:eastAsia="方正楷体_GBK" w:cs="Times New Roman"/>
          <w:b w:val="0"/>
          <w:bCs w:val="0"/>
          <w:color w:val="auto"/>
          <w:sz w:val="32"/>
          <w:szCs w:val="32"/>
          <w:highlight w:val="none"/>
          <w:lang w:val="en-US" w:eastAsia="zh-CN"/>
        </w:rPr>
        <w:t>（三）老有所养：</w:t>
      </w:r>
      <w:r>
        <w:rPr>
          <w:rFonts w:hint="default" w:ascii="Times New Roman" w:hAnsi="Times New Roman" w:eastAsia="方正楷体_GBK" w:cs="Times New Roman"/>
          <w:b w:val="0"/>
          <w:bCs w:val="0"/>
          <w:color w:val="auto"/>
          <w:kern w:val="2"/>
          <w:sz w:val="32"/>
          <w:szCs w:val="32"/>
          <w:highlight w:val="none"/>
          <w:lang w:val="en-US" w:eastAsia="zh-CN" w:bidi="ar"/>
        </w:rPr>
        <w:t>构建普惠多元养老服务体系</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lang w:val="en-US" w:eastAsia="zh-CN" w:bidi="ar"/>
        </w:rPr>
        <w:t>优化养老服务设施布局</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完善三级养老服务网络。</w:t>
      </w:r>
      <w:r>
        <w:rPr>
          <w:rFonts w:hint="default" w:ascii="Times New Roman" w:hAnsi="Times New Roman" w:eastAsia="方正仿宋_GBK" w:cs="Times New Roman"/>
          <w:kern w:val="2"/>
          <w:sz w:val="32"/>
          <w:szCs w:val="32"/>
          <w:highlight w:val="none"/>
          <w:lang w:val="en-US" w:eastAsia="zh-CN" w:bidi="ar"/>
        </w:rPr>
        <w:t xml:space="preserve">优化完善定位清晰、功能互补、运转高效的区、镇街、村社三级养老服务网络。推动镇街养老服务机构承担属地区域内养老服务对下指导与供给，促进各级养老服务网络互联互通、服务转介、资源共享和人才流动。  </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推动养老服务设施建设。</w:t>
      </w:r>
      <w:r>
        <w:rPr>
          <w:rFonts w:hint="default" w:ascii="Times New Roman" w:hAnsi="Times New Roman" w:eastAsia="方正仿宋_GBK" w:cs="Times New Roman"/>
          <w:kern w:val="2"/>
          <w:sz w:val="32"/>
          <w:szCs w:val="32"/>
          <w:highlight w:val="none"/>
          <w:lang w:val="en-US" w:eastAsia="zh-CN" w:bidi="ar"/>
        </w:rPr>
        <w:t>设立区域性养老服务中心，发展嵌入式社区养老服务机构和社区养老服务综合体，深化“机构建中心带站点进家庭”社会化运营模式。强化养老机构设施设备更新，重点增配护理型床。新建第十一、十三特困供养设施（安居、维新镇），建设失能、失智老年人关爱照护中心（旧县、巴川街道）。优化整合农村养老服务设施，打造一批规范化农村互助养老示范点。</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highlight w:val="none"/>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推动养老服务提质增效</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优化养老服务供给格局。</w:t>
      </w:r>
      <w:r>
        <w:rPr>
          <w:rFonts w:hint="default" w:ascii="Times New Roman" w:hAnsi="Times New Roman" w:eastAsia="方正仿宋_GBK" w:cs="Times New Roman"/>
          <w:kern w:val="2"/>
          <w:sz w:val="32"/>
          <w:szCs w:val="32"/>
          <w:highlight w:val="none"/>
          <w:lang w:val="en-US" w:eastAsia="zh-CN" w:bidi="ar"/>
        </w:rPr>
        <w:t>发展智慧型家庭养老床位，开展家庭适老化改造。常态化开展特殊困难老年人探访关爱服务。加快打造一批“15分钟养老服务圈”，丰富社区助餐、助浴、助洁、助行、助医、助急等“六助”服务功能。培育专业社区养老服务机构，增加短期托养服务供给。做强机构养老专业照护服务。优化完善老年食堂可持续运营机制，积极发展送餐服务。加大农村养老服务投入，补齐农村养老服务短板。积极开发老年资源，发展互助性养老服务。</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加强养老服务人才队伍建设。</w:t>
      </w:r>
      <w:r>
        <w:rPr>
          <w:rFonts w:hint="default" w:ascii="Times New Roman" w:hAnsi="Times New Roman" w:eastAsia="方正仿宋_GBK" w:cs="Times New Roman"/>
          <w:kern w:val="2"/>
          <w:sz w:val="32"/>
          <w:szCs w:val="32"/>
          <w:highlight w:val="none"/>
          <w:lang w:val="en-US" w:eastAsia="zh-CN" w:bidi="ar"/>
        </w:rPr>
        <w:t>深化产教融合，支持院校企共建养老服务实训基地，开展“订单式”培养。抓好养老护理员职业技能培训，提升养老服务护理员专业技能与综合素养。到2030年，养老机构中取得职业技能等级证书的养老护理员占比达80%。</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highlight w:val="none"/>
          <w:lang w:val="en-US" w:eastAsia="zh-CN" w:bidi="ar"/>
        </w:rPr>
        <w:t>强化养老服务综合监管。</w:t>
      </w:r>
      <w:r>
        <w:rPr>
          <w:rFonts w:hint="default" w:ascii="Times New Roman" w:hAnsi="Times New Roman" w:eastAsia="方正仿宋_GBK" w:cs="Times New Roman"/>
          <w:kern w:val="2"/>
          <w:sz w:val="32"/>
          <w:szCs w:val="32"/>
          <w:highlight w:val="none"/>
          <w:lang w:val="en-US" w:eastAsia="zh-CN" w:bidi="ar"/>
        </w:rPr>
        <w:t>健全跨部门常态化联合检查机制，持续丰富监管手段。建立居家社区、医养结合、老年助餐等新兴领域监管机制，开展养老服务领域全流程服务评价和信用监管。健全养老服务应急管理体系，全面落实安全生产责任制，推进养老机构安全融入“141”基层智治体系。加强养老服务标准化建设。完善养老服务机构登记备案管理机制。规范养老机构预收费管理，推广“合同网签、提存公证”监管模式。</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highlight w:val="none"/>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highlight w:val="none"/>
          <w:lang w:val="en-US" w:eastAsia="zh-CN" w:bidi="ar"/>
        </w:rPr>
        <w:t>大力发展养老产业</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促进医康养融合发展。</w:t>
      </w:r>
      <w:r>
        <w:rPr>
          <w:rFonts w:hint="default" w:ascii="Times New Roman" w:hAnsi="Times New Roman" w:eastAsia="方正仿宋_GBK" w:cs="Times New Roman"/>
          <w:kern w:val="2"/>
          <w:sz w:val="32"/>
          <w:szCs w:val="32"/>
          <w:highlight w:val="none"/>
          <w:lang w:val="en-US" w:eastAsia="zh-CN" w:bidi="ar"/>
        </w:rPr>
        <w:t>以“医”为支撑、“康”为目标、“养”为基础，统筹养老、医疗和康复护理资源，构建覆盖全生命周期的医康养服务体系。整合“3+28”（3家区级医院、28家基层医疗卫生机构）公立医疗资源，打造医养融合联合体。加快建设医养结合型康养社区，丰富中高端养老服务供给。支持养老机构内设医疗机构、医疗机构开展养老服务，发展中医药康养、安宁疗护、健康管理等一体化服务，形成“医中有养、养中有医”模式。支持养老机构与周边医疗卫生机构开展签约合作，开通老年人就诊绿色通道。</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加快发展银发经济。</w:t>
      </w:r>
      <w:r>
        <w:rPr>
          <w:rFonts w:hint="default" w:ascii="Times New Roman" w:hAnsi="Times New Roman" w:eastAsia="方正仿宋_GBK" w:cs="Times New Roman"/>
          <w:kern w:val="2"/>
          <w:sz w:val="32"/>
          <w:szCs w:val="32"/>
          <w:highlight w:val="none"/>
          <w:lang w:val="en-US" w:eastAsia="zh-CN" w:bidi="ar"/>
        </w:rPr>
        <w:t>开发旅居养老市场，依托安居古城、小北海、巴岳山玄天湖等优质自然资源，积极探索候鸟式、田园式旅居康养，提供省心游和“子女亲情付”等服务。深化适老化产品展销、养老服务、康复理疗等一体发展，打造具有铜梁特色的银发综合体。支持推广“以老助老”服务模式，开发适合大龄劳动者的多样化工作岗位。引导文化、旅游、餐饮、体育、家政、教育、养生、健康、金融、地产等行业与养老服务业融合发展，丰富养老服务产业新业态。</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highlight w:val="none"/>
        </w:rPr>
      </w:pPr>
      <w:r>
        <w:rPr>
          <w:rFonts w:hint="default" w:ascii="Times New Roman" w:hAnsi="Times New Roman" w:eastAsia="方正仿宋_GBK" w:cs="Times New Roman"/>
          <w:kern w:val="2"/>
          <w:sz w:val="32"/>
          <w:szCs w:val="32"/>
          <w:lang w:val="en-US" w:eastAsia="zh-CN" w:bidi="ar"/>
        </w:rPr>
        <w:t>4.</w:t>
      </w:r>
      <w:r>
        <w:rPr>
          <w:rFonts w:hint="default" w:ascii="Times New Roman" w:hAnsi="Times New Roman" w:eastAsia="方正仿宋_GBK" w:cs="Times New Roman"/>
          <w:b/>
          <w:bCs/>
          <w:kern w:val="2"/>
          <w:sz w:val="32"/>
          <w:szCs w:val="32"/>
          <w:highlight w:val="none"/>
          <w:lang w:val="en-US" w:eastAsia="zh-CN" w:bidi="ar"/>
        </w:rPr>
        <w:t>打造老年友好社会环境</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lang w:val="en-US" w:eastAsia="zh-CN" w:bidi="ar"/>
        </w:rPr>
      </w:pPr>
      <w:r>
        <w:rPr>
          <w:rFonts w:hint="default" w:ascii="Times New Roman" w:hAnsi="Times New Roman" w:eastAsia="方正仿宋_GBK" w:cs="Times New Roman"/>
          <w:kern w:val="2"/>
          <w:sz w:val="32"/>
          <w:szCs w:val="32"/>
          <w:highlight w:val="none"/>
          <w:lang w:val="en-US" w:eastAsia="zh-CN" w:bidi="ar"/>
        </w:rPr>
        <w:t>加强基层老年协会建设，落实老年人社会优待政策，开展“智慧助老”行动。深化“铜怡家”银龄行动品牌建设，弘扬孝亲敬老文化，持续开展“敬老月”活动，选树宣传敬老爱老助老典型。促进老年友好型社会建设。</w:t>
      </w:r>
    </w:p>
    <w:tbl>
      <w:tblPr>
        <w:tblStyle w:val="1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spacing w:before="0" w:beforeAutospacing="0" w:after="0" w:afterAutospacing="0" w:line="594" w:lineRule="exact"/>
              <w:ind w:left="0" w:right="0"/>
              <w:jc w:val="center"/>
              <w:rPr>
                <w:rFonts w:hint="default" w:ascii="Times New Roman" w:hAnsi="Times New Roman" w:eastAsia="方正黑体_GBK" w:cs="Times New Roman"/>
                <w:color w:val="FF0000"/>
                <w:kern w:val="2"/>
                <w:sz w:val="21"/>
                <w:szCs w:val="21"/>
                <w:highlight w:val="none"/>
                <w:lang w:val="en-US"/>
              </w:rPr>
            </w:pPr>
            <w:r>
              <w:rPr>
                <w:rFonts w:hint="default" w:ascii="Times New Roman" w:hAnsi="Times New Roman" w:eastAsia="方正黑体_GBK" w:cs="Times New Roman"/>
                <w:kern w:val="2"/>
                <w:sz w:val="32"/>
                <w:szCs w:val="32"/>
                <w:highlight w:val="none"/>
                <w:lang w:val="en-US" w:eastAsia="zh-CN" w:bidi="ar"/>
              </w:rPr>
              <w:t>专栏3：养老服务体系提升举措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default" w:ascii="Times New Roman" w:hAnsi="Times New Roman" w:eastAsia="方正仿宋_GBK" w:cs="Times New Roman"/>
                <w:b w:val="0"/>
                <w:bCs w:val="0"/>
                <w:kern w:val="2"/>
                <w:sz w:val="24"/>
                <w:szCs w:val="24"/>
                <w:highlight w:val="none"/>
              </w:rPr>
            </w:pPr>
            <w:r>
              <w:rPr>
                <w:rFonts w:hint="default" w:ascii="Times New Roman" w:hAnsi="Times New Roman" w:eastAsia="方正黑体_GBK" w:cs="Times New Roman"/>
                <w:b w:val="0"/>
                <w:bCs w:val="0"/>
                <w:kern w:val="2"/>
                <w:sz w:val="24"/>
                <w:szCs w:val="24"/>
                <w:highlight w:val="none"/>
                <w:lang w:val="en-US" w:eastAsia="zh-CN" w:bidi="ar"/>
              </w:rPr>
              <w:t>1.提升镇街养老服务能力。</w:t>
            </w:r>
            <w:r>
              <w:rPr>
                <w:rFonts w:hint="default" w:ascii="Times New Roman" w:hAnsi="Times New Roman" w:eastAsia="方正仿宋_GBK" w:cs="Times New Roman"/>
                <w:b w:val="0"/>
                <w:bCs w:val="0"/>
                <w:kern w:val="2"/>
                <w:sz w:val="24"/>
                <w:szCs w:val="24"/>
                <w:highlight w:val="none"/>
                <w:lang w:val="en-US" w:eastAsia="zh-CN" w:bidi="ar"/>
              </w:rPr>
              <w:t>建设3-5家区域性养老服务中心。建设1-2个银发综合体。力争城区15分钟养老服务圈覆盖率达到100%。老年助餐服务覆盖100%的街道、50%的镇。</w:t>
            </w:r>
          </w:p>
          <w:p>
            <w:pPr>
              <w:pStyle w:val="12"/>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default" w:ascii="Times New Roman" w:hAnsi="Times New Roman" w:eastAsia="方正仿宋_GBK" w:cs="Times New Roman"/>
                <w:b/>
                <w:bCs/>
                <w:kern w:val="2"/>
                <w:sz w:val="24"/>
                <w:szCs w:val="24"/>
                <w:highlight w:val="none"/>
              </w:rPr>
            </w:pPr>
            <w:r>
              <w:rPr>
                <w:rFonts w:hint="default" w:ascii="Times New Roman" w:hAnsi="Times New Roman" w:eastAsia="方正黑体_GBK" w:cs="Times New Roman"/>
                <w:b w:val="0"/>
                <w:bCs w:val="0"/>
                <w:kern w:val="2"/>
                <w:sz w:val="24"/>
                <w:szCs w:val="24"/>
                <w:highlight w:val="none"/>
                <w:lang w:val="en-US" w:eastAsia="zh-CN" w:bidi="ar"/>
              </w:rPr>
              <w:t>2.补齐农村养老服务短板。</w:t>
            </w:r>
            <w:r>
              <w:rPr>
                <w:rFonts w:hint="default" w:ascii="Times New Roman" w:hAnsi="Times New Roman" w:eastAsia="方正仿宋_GBK" w:cs="Times New Roman"/>
                <w:b w:val="0"/>
                <w:bCs w:val="0"/>
                <w:kern w:val="2"/>
                <w:sz w:val="24"/>
                <w:szCs w:val="24"/>
                <w:highlight w:val="none"/>
                <w:lang w:val="en-US" w:eastAsia="zh-CN" w:bidi="ar"/>
              </w:rPr>
              <w:t>新建新建第十一特困供养设施（安居镇）和第十三特困供养设施（维新镇）。打造一批规范化农村互助养老示范点。</w:t>
            </w:r>
          </w:p>
          <w:p>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default" w:ascii="Times New Roman" w:hAnsi="Times New Roman" w:eastAsia="方正仿宋_GBK" w:cs="Times New Roman"/>
                <w:kern w:val="2"/>
                <w:sz w:val="24"/>
                <w:szCs w:val="24"/>
                <w:highlight w:val="none"/>
              </w:rPr>
            </w:pPr>
            <w:r>
              <w:rPr>
                <w:rFonts w:hint="default" w:ascii="Times New Roman" w:hAnsi="Times New Roman" w:eastAsia="方正黑体_GBK" w:cs="Times New Roman"/>
                <w:b w:val="0"/>
                <w:bCs w:val="0"/>
                <w:kern w:val="2"/>
                <w:sz w:val="24"/>
                <w:szCs w:val="24"/>
                <w:highlight w:val="none"/>
                <w:lang w:val="en-US" w:eastAsia="zh-CN" w:bidi="ar"/>
              </w:rPr>
              <w:t>3.健全失能老年人照护体系。</w:t>
            </w:r>
            <w:r>
              <w:rPr>
                <w:rFonts w:hint="default" w:ascii="Times New Roman" w:hAnsi="Times New Roman" w:eastAsia="方正仿宋_GBK" w:cs="Times New Roman"/>
                <w:kern w:val="2"/>
                <w:sz w:val="24"/>
                <w:szCs w:val="24"/>
                <w:highlight w:val="none"/>
                <w:lang w:val="en-US" w:eastAsia="zh-CN" w:bidi="ar"/>
              </w:rPr>
              <w:t>全区养老机构护理型床位占比达80%。建设农村失能特困人员集中照护中心（旧县街道）和失智老年人关爱照护中心（巴川街道）。</w:t>
            </w:r>
          </w:p>
          <w:p>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default" w:ascii="Times New Roman" w:hAnsi="Times New Roman" w:eastAsia="方正仿宋_GBK" w:cs="Times New Roman"/>
                <w:kern w:val="2"/>
                <w:sz w:val="24"/>
                <w:szCs w:val="24"/>
                <w:highlight w:val="none"/>
              </w:rPr>
            </w:pPr>
            <w:r>
              <w:rPr>
                <w:rFonts w:hint="default" w:ascii="Times New Roman" w:hAnsi="Times New Roman" w:eastAsia="方正黑体_GBK" w:cs="Times New Roman"/>
                <w:b w:val="0"/>
                <w:bCs w:val="0"/>
                <w:kern w:val="2"/>
                <w:sz w:val="24"/>
                <w:szCs w:val="24"/>
                <w:highlight w:val="none"/>
                <w:lang w:val="en-US" w:eastAsia="zh-CN" w:bidi="ar"/>
              </w:rPr>
              <w:t>4.扩大养老服务供给能力。</w:t>
            </w:r>
            <w:r>
              <w:rPr>
                <w:rFonts w:hint="default" w:ascii="Times New Roman" w:hAnsi="Times New Roman" w:eastAsia="方正仿宋_GBK" w:cs="Times New Roman"/>
                <w:kern w:val="2"/>
                <w:sz w:val="24"/>
                <w:szCs w:val="24"/>
                <w:highlight w:val="none"/>
                <w:lang w:val="en-US" w:eastAsia="zh-CN" w:bidi="ar"/>
              </w:rPr>
              <w:t>建设家庭养老床位500张。打造1个具有铜梁特色的“养老+”业态示范区。</w:t>
            </w:r>
          </w:p>
          <w:p>
            <w:pPr>
              <w:pStyle w:val="12"/>
              <w:keepNext w:val="0"/>
              <w:keepLines w:val="0"/>
              <w:widowControl w:val="0"/>
              <w:suppressLineNumbers w:val="0"/>
              <w:shd w:val="clear" w:fill="FFFFFF"/>
              <w:autoSpaceDE w:val="0"/>
              <w:autoSpaceDN/>
              <w:spacing w:before="0" w:beforeAutospacing="0" w:after="0" w:afterAutospacing="0" w:line="400" w:lineRule="exact"/>
              <w:ind w:left="0" w:leftChars="0" w:right="0" w:firstLine="480" w:firstLineChars="200"/>
              <w:jc w:val="both"/>
              <w:rPr>
                <w:rFonts w:hint="default" w:ascii="Times New Roman" w:hAnsi="Times New Roman" w:eastAsia="方正仿宋_GBK" w:cs="Times New Roman"/>
                <w:b w:val="0"/>
                <w:bCs w:val="0"/>
                <w:kern w:val="2"/>
                <w:sz w:val="24"/>
                <w:szCs w:val="24"/>
                <w:highlight w:val="none"/>
              </w:rPr>
            </w:pPr>
            <w:r>
              <w:rPr>
                <w:rFonts w:hint="default" w:ascii="Times New Roman" w:hAnsi="Times New Roman" w:eastAsia="方正黑体_GBK" w:cs="Times New Roman"/>
                <w:b w:val="0"/>
                <w:bCs w:val="0"/>
                <w:kern w:val="2"/>
                <w:sz w:val="24"/>
                <w:szCs w:val="24"/>
                <w:highlight w:val="none"/>
                <w:lang w:val="en-US" w:eastAsia="zh-CN" w:bidi="ar"/>
              </w:rPr>
              <w:t>5.深化养老服务改革。</w:t>
            </w:r>
            <w:r>
              <w:rPr>
                <w:rFonts w:hint="default" w:ascii="Times New Roman" w:hAnsi="Times New Roman" w:eastAsia="方正仿宋_GBK" w:cs="Times New Roman"/>
                <w:b w:val="0"/>
                <w:bCs w:val="0"/>
                <w:kern w:val="2"/>
                <w:sz w:val="24"/>
                <w:szCs w:val="24"/>
                <w:highlight w:val="none"/>
                <w:lang w:val="en-US" w:eastAsia="zh-CN" w:bidi="ar"/>
              </w:rPr>
              <w:t>推行开办养老机构“一件事”改革。推动公办养老机构向社会开放富余床位，开展“兜底+普惠”融合服务。迭代升级养老机构食堂“三必三亮晒”安全监管机制。</w:t>
            </w:r>
          </w:p>
          <w:p>
            <w:pPr>
              <w:pStyle w:val="12"/>
              <w:keepNext w:val="0"/>
              <w:keepLines w:val="0"/>
              <w:widowControl w:val="0"/>
              <w:suppressLineNumbers w:val="0"/>
              <w:shd w:val="clear" w:fill="FFFFFF"/>
              <w:autoSpaceDE w:val="0"/>
              <w:autoSpaceDN/>
              <w:spacing w:before="0" w:beforeAutospacing="0" w:after="0" w:afterAutospacing="0" w:line="400" w:lineRule="exact"/>
              <w:ind w:left="0" w:leftChars="0" w:right="0" w:firstLine="480" w:firstLineChars="200"/>
              <w:jc w:val="both"/>
              <w:rPr>
                <w:rFonts w:hint="default" w:ascii="Times New Roman" w:hAnsi="Times New Roman" w:eastAsia="方正仿宋_GBK" w:cs="Times New Roman"/>
                <w:b w:val="0"/>
                <w:bCs w:val="0"/>
                <w:kern w:val="2"/>
                <w:sz w:val="24"/>
                <w:szCs w:val="24"/>
                <w:highlight w:val="none"/>
              </w:rPr>
            </w:pPr>
            <w:r>
              <w:rPr>
                <w:rFonts w:hint="default" w:ascii="Times New Roman" w:hAnsi="Times New Roman" w:eastAsia="方正黑体_GBK" w:cs="Times New Roman"/>
                <w:b w:val="0"/>
                <w:bCs w:val="0"/>
                <w:kern w:val="2"/>
                <w:sz w:val="24"/>
                <w:szCs w:val="24"/>
                <w:highlight w:val="none"/>
                <w:lang w:val="en-US" w:eastAsia="zh-CN" w:bidi="ar"/>
              </w:rPr>
              <w:t>6.推进老年友好型社区建设。</w:t>
            </w:r>
            <w:r>
              <w:rPr>
                <w:rFonts w:hint="default" w:ascii="Times New Roman" w:hAnsi="Times New Roman" w:eastAsia="方正仿宋_GBK" w:cs="Times New Roman"/>
                <w:b w:val="0"/>
                <w:bCs w:val="0"/>
                <w:kern w:val="2"/>
                <w:sz w:val="24"/>
                <w:szCs w:val="24"/>
                <w:highlight w:val="none"/>
                <w:lang w:val="en-US" w:eastAsia="zh-CN" w:bidi="ar"/>
              </w:rPr>
              <w:t>推动老年宜居环境建设，到2030年，全区老年友好型社区覆盖率达70%。</w:t>
            </w:r>
          </w:p>
        </w:tc>
      </w:tr>
    </w:tbl>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黑体_GBK" w:cs="Times New Roman"/>
          <w:color w:val="auto"/>
          <w:kern w:val="2"/>
          <w:sz w:val="32"/>
          <w:szCs w:val="32"/>
        </w:rPr>
      </w:pPr>
      <w:r>
        <w:rPr>
          <w:rFonts w:hint="default" w:ascii="Times New Roman" w:hAnsi="Times New Roman" w:eastAsia="方正楷体_GBK" w:cs="Times New Roman"/>
          <w:b w:val="0"/>
          <w:bCs w:val="0"/>
          <w:color w:val="auto"/>
          <w:kern w:val="2"/>
          <w:sz w:val="32"/>
          <w:szCs w:val="32"/>
          <w:lang w:val="en-US" w:eastAsia="zh-CN" w:bidi="ar"/>
        </w:rPr>
        <w:t>（四）弱有所扶：完善特殊人群精准帮扶体系</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color w:val="auto"/>
          <w:kern w:val="2"/>
          <w:sz w:val="32"/>
          <w:szCs w:val="32"/>
          <w:highlight w:val="none"/>
          <w:lang w:val="en-US" w:eastAsia="zh-CN" w:bidi="ar"/>
        </w:rPr>
        <w:t>筑牢民生兜底保障网</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仿宋_GB2312" w:cs="Times New Roman"/>
          <w:color w:val="auto"/>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color w:val="auto"/>
          <w:kern w:val="2"/>
          <w:sz w:val="32"/>
          <w:szCs w:val="32"/>
          <w:highlight w:val="none"/>
          <w:lang w:val="en-US" w:eastAsia="zh-CN" w:bidi="ar"/>
        </w:rPr>
        <w:t>完善分层分类社会救助内容。</w:t>
      </w:r>
      <w:r>
        <w:rPr>
          <w:rFonts w:hint="default" w:ascii="Times New Roman" w:hAnsi="Times New Roman" w:eastAsia="仿宋_GB2312" w:cs="Times New Roman"/>
          <w:color w:val="auto"/>
          <w:kern w:val="2"/>
          <w:sz w:val="32"/>
          <w:szCs w:val="32"/>
          <w:highlight w:val="none"/>
          <w:lang w:val="en-US" w:eastAsia="zh-CN" w:bidi="ar"/>
        </w:rPr>
        <w:t>进一步健全基本生活救助、专项社会救助和</w:t>
      </w:r>
      <w:r>
        <w:rPr>
          <w:rFonts w:hint="default" w:ascii="Times New Roman" w:hAnsi="Times New Roman" w:eastAsia="方正仿宋_GBK" w:cs="Times New Roman"/>
          <w:b w:val="0"/>
          <w:bCs w:val="0"/>
          <w:color w:val="auto"/>
          <w:kern w:val="2"/>
          <w:sz w:val="32"/>
          <w:szCs w:val="32"/>
          <w:highlight w:val="none"/>
          <w:lang w:val="en-US" w:eastAsia="zh-CN" w:bidi="ar"/>
        </w:rPr>
        <w:t>急难</w:t>
      </w:r>
      <w:r>
        <w:rPr>
          <w:rFonts w:hint="default" w:ascii="Times New Roman" w:hAnsi="Times New Roman" w:eastAsia="仿宋_GB2312" w:cs="Times New Roman"/>
          <w:color w:val="auto"/>
          <w:kern w:val="2"/>
          <w:sz w:val="32"/>
          <w:szCs w:val="32"/>
          <w:highlight w:val="none"/>
          <w:lang w:val="en-US" w:eastAsia="zh-CN" w:bidi="ar"/>
        </w:rPr>
        <w:t>社会救助为主体，社会力量参与为补充的分层分类社会救助体系，全面开展低保边缘家庭、刚性支出困难家庭认定，推动医疗、教育等专项救助政策落实，完善特困人员救助供养、临时救助制度，推行急难事项“小额快救”。统筹现金、实物与服务保障，将基本生活保障与教育扶持、健康服务联动，精准落实教育、医疗等方面救助帮扶，兼顾短期解困与长效赋能，强化预防性救助，提升困难群众抗风险能力。</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color w:val="auto"/>
          <w:kern w:val="2"/>
          <w:sz w:val="32"/>
          <w:szCs w:val="32"/>
          <w:highlight w:val="none"/>
          <w:lang w:val="en-US" w:eastAsia="zh-CN" w:bidi="ar"/>
        </w:rPr>
        <w:t>深化低收入人口联合救助服务。</w:t>
      </w:r>
      <w:r>
        <w:rPr>
          <w:rFonts w:hint="default" w:ascii="Times New Roman" w:hAnsi="Times New Roman" w:eastAsia="方正仿宋_GBK" w:cs="Times New Roman"/>
          <w:color w:val="auto"/>
          <w:kern w:val="2"/>
          <w:sz w:val="32"/>
          <w:szCs w:val="32"/>
          <w:highlight w:val="none"/>
          <w:lang w:val="en-US" w:eastAsia="zh-CN" w:bidi="ar"/>
        </w:rPr>
        <w:t>健全低收入人口动态监测与主动发现机制，高效融合“大数据比对+铁脚板摸排”，动态掌握救助对象状况，提高预警处置及时率。优化救助受理流程，依托“渝悦救助通”“渝快办”实现一窗受理、一次申请、分类审核。整合救助力量、资源、阵地与服务模式，主动摸排困难群众并分类施策，为低收入群体提供政策对接、心理疏导、能力提升、社会融入等多元服务。完善部门协同帮扶机制，打造全流程闭环救助机制，建立“一人（户）一条闭环救助链”。</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highlight w:val="none"/>
          <w:lang w:val="en-US" w:eastAsia="zh-CN" w:bidi="ar"/>
        </w:rPr>
        <w:t>强化流浪乞讨人员救助帮扶。</w:t>
      </w:r>
      <w:r>
        <w:rPr>
          <w:rFonts w:hint="default" w:ascii="Times New Roman" w:hAnsi="Times New Roman" w:eastAsia="方正仿宋_GBK" w:cs="Times New Roman"/>
          <w:kern w:val="2"/>
          <w:sz w:val="32"/>
          <w:szCs w:val="32"/>
          <w:highlight w:val="none"/>
          <w:lang w:val="en-US" w:eastAsia="zh-CN" w:bidi="ar"/>
        </w:rPr>
        <w:t>完善街面救助服务网络，深化数字化街面巡查应用场景建设，扩大服务覆盖范围。构建“技术+数据+协作”的立体化寻亲体系，高效开展寻亲送返。联动人社部门针对务工不着临时遇困人员开展培训指导、岗位链接及就业帮扶等服务，促进有效回归社会。</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宋体" w:cs="Times New Roman"/>
          <w:color w:val="auto"/>
          <w:kern w:val="2"/>
          <w:sz w:val="21"/>
          <w:szCs w:val="21"/>
          <w:highlight w:val="none"/>
        </w:rPr>
      </w:pPr>
      <w:r>
        <w:rPr>
          <w:rFonts w:hint="default" w:ascii="Times New Roman" w:hAnsi="Times New Roman" w:eastAsia="方正仿宋_GBK" w:cs="Times New Roman"/>
          <w:kern w:val="2"/>
          <w:sz w:val="32"/>
          <w:szCs w:val="32"/>
          <w:lang w:val="en-US" w:eastAsia="zh-CN" w:bidi="ar"/>
        </w:rPr>
        <w:t>（4）</w:t>
      </w:r>
      <w:r>
        <w:rPr>
          <w:rFonts w:hint="default" w:ascii="Times New Roman" w:hAnsi="Times New Roman" w:eastAsia="方正仿宋_GBK" w:cs="Times New Roman"/>
          <w:b/>
          <w:bCs/>
          <w:color w:val="auto"/>
          <w:kern w:val="2"/>
          <w:sz w:val="32"/>
          <w:szCs w:val="32"/>
          <w:highlight w:val="none"/>
          <w:lang w:val="en-US" w:eastAsia="zh-CN" w:bidi="ar"/>
        </w:rPr>
        <w:t>大力发展服务类社会救助。</w:t>
      </w:r>
      <w:r>
        <w:rPr>
          <w:rFonts w:hint="default" w:ascii="Times New Roman" w:hAnsi="Times New Roman" w:eastAsia="方正仿宋_GBK" w:cs="Times New Roman"/>
          <w:color w:val="auto"/>
          <w:kern w:val="2"/>
          <w:sz w:val="32"/>
          <w:szCs w:val="32"/>
          <w:highlight w:val="none"/>
          <w:lang w:val="en-US" w:eastAsia="zh-CN" w:bidi="ar"/>
        </w:rPr>
        <w:t>加强社会救助服务阵地建设，健全覆盖城乡、多元供给、平台支撑、运行高效的三级救助服务网络，完善发展服务类社会救助政策措施，健全需求评估指标体系，因地制宜编制服务类社会救助清单，深化“物质+服务”的综合救助模式，统筹救助资源、精准对接需求、增加服务供给、提升兜底质量，持续加大政府购买社会救助服务的力度和范围，根据“一老一小”“一困一残”等困难群体特性，针对性提供生活类、照护类、支持类等服务。</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（5）</w:t>
      </w:r>
      <w:r>
        <w:rPr>
          <w:rFonts w:hint="default" w:ascii="Times New Roman" w:hAnsi="Times New Roman" w:eastAsia="方正仿宋_GBK" w:cs="Times New Roman"/>
          <w:b/>
          <w:bCs/>
          <w:color w:val="auto"/>
          <w:kern w:val="2"/>
          <w:sz w:val="32"/>
          <w:szCs w:val="32"/>
          <w:highlight w:val="none"/>
          <w:lang w:val="en-US" w:eastAsia="zh-CN" w:bidi="ar"/>
        </w:rPr>
        <w:t>健全慈善救助多元协同机制。</w:t>
      </w:r>
      <w:r>
        <w:rPr>
          <w:rFonts w:hint="default" w:ascii="Times New Roman" w:hAnsi="Times New Roman" w:eastAsia="方正仿宋_GBK" w:cs="Times New Roman"/>
          <w:color w:val="auto"/>
          <w:kern w:val="2"/>
          <w:sz w:val="32"/>
          <w:szCs w:val="32"/>
          <w:highlight w:val="none"/>
          <w:lang w:val="en-US" w:eastAsia="zh-CN" w:bidi="ar"/>
        </w:rPr>
        <w:t>建立健全政府救助与慈善帮扶衔接机制，推动慈善文化“五进”，促进社区慈善基金扩面提质。规范福彩公益金管理，实施一批惠及老年人、残疾人、儿童等特殊群体的社会福利项目。完善三级慈善服务体系，深化区慈善救助服务联合体运营，创新“慈善+救助”服务模式，引导慈善力量服务“老小困残”困难群体。发展数字慈善，规范互联网募捐，依托“慈善中国”“愉悦慈善”等信息平台，实现项目全流程透明化，持续提升慈善公信力。</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lang w:val="en-US" w:eastAsia="zh-CN" w:bidi="ar"/>
        </w:rPr>
        <w:t>加强重点人群服务支持</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完善儿童福利保障和未成年人保护机制。</w:t>
      </w:r>
      <w:r>
        <w:rPr>
          <w:rFonts w:hint="default" w:ascii="Times New Roman" w:hAnsi="Times New Roman" w:eastAsia="方正仿宋_GBK" w:cs="Times New Roman"/>
          <w:b w:val="0"/>
          <w:bCs w:val="0"/>
          <w:kern w:val="2"/>
          <w:sz w:val="32"/>
          <w:szCs w:val="32"/>
          <w:highlight w:val="none"/>
          <w:lang w:val="en-US" w:eastAsia="zh-CN" w:bidi="ar"/>
        </w:rPr>
        <w:t>落实孤儿、事实无人抚养儿童基本生活保障及补贴标准动态调整机制。持续实施“福彩圆梦”助学、孤儿医疗康复明天计划等项目，构建困境儿童生活、教育、医疗分层分类保障体系。搭建数字化监管平台，落实定期巡查探访，实行“一人一档”动态跟踪关爱服务。健全未成年人保护机制，规范临时监护的法定启动情形与标准化响应流程，建立多渠道、即时化线索接收与研判机制。升级区未保中心服务能力，为监护缺失或遭受侵害的未成年人提供安全庇护、生活照料、医疗协助、心理疏导、临时教育等综合服务。加强专门学校建设和专门教育工作，对有严重不良行为的未成年人进行教育和矫治。</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color w:val="auto"/>
          <w:kern w:val="2"/>
          <w:sz w:val="32"/>
          <w:szCs w:val="32"/>
          <w:highlight w:val="none"/>
          <w:lang w:val="en-US" w:eastAsia="zh-CN" w:bidi="ar"/>
        </w:rPr>
        <w:t>提升残疾人保障和服务水平。</w:t>
      </w:r>
      <w:r>
        <w:rPr>
          <w:rFonts w:hint="default" w:ascii="Times New Roman" w:hAnsi="Times New Roman" w:eastAsia="方正仿宋_GBK" w:cs="Times New Roman"/>
          <w:color w:val="auto"/>
          <w:kern w:val="2"/>
          <w:sz w:val="32"/>
          <w:szCs w:val="32"/>
          <w:highlight w:val="none"/>
          <w:lang w:val="en-US" w:eastAsia="zh-CN" w:bidi="ar"/>
        </w:rPr>
        <w:t>全面落实残疾人两项补贴制度，严格落实残疾人两项补贴标准动态调整机制，稳步提高残疾人“两项补贴”标准。健全数据比对与动态复核工作机制，加强信息比对，强化生存验证，完善补贴资金发放监管机制，提升补贴精准化管理水平。持续实施“福康工程”等困难残疾人康复服务项目。坚持普特融合、分类施策、医教结合，办好特殊教育，促进残疾儿童少年全面发展、更好融入社会。</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color w:val="auto"/>
          <w:kern w:val="2"/>
          <w:sz w:val="32"/>
          <w:szCs w:val="32"/>
          <w:highlight w:val="none"/>
          <w:lang w:val="en-US" w:eastAsia="zh-CN" w:bidi="ar"/>
        </w:rPr>
        <w:t>提升妇幼健康服务能力和水平。</w:t>
      </w:r>
      <w:r>
        <w:rPr>
          <w:rFonts w:hint="default" w:ascii="Times New Roman" w:hAnsi="Times New Roman" w:eastAsia="方正仿宋_GBK" w:cs="Times New Roman"/>
          <w:color w:val="auto"/>
          <w:kern w:val="2"/>
          <w:sz w:val="32"/>
          <w:szCs w:val="32"/>
          <w:highlight w:val="none"/>
          <w:lang w:val="en-US" w:eastAsia="zh-CN" w:bidi="ar"/>
        </w:rPr>
        <w:t>完善以妇幼保健机构为核心、以基层医疗卫生机构为基础、以村卫生室为网底的三级妇幼保健服务网络，实现基础设施建设和设备配备达标。巩固母婴安全五项制度，推进危重孕产妇和危重新生儿救治体系能力建设，全力保障母婴安全。实施妇幼保健能力提升项目，夯实妇幼健康领域专业技术支撑。推进消除艾滋病、梅毒和乙肝母婴传播行动，实施出生缺陷防治能力提升行动，深入推进婚前检查、孕前优生健康检查，扩展新生儿疾病筛查病种，健全“预防—筛查—诊断—干预”闭环体系，提升出生人口健康水平。到2030年，全区孕产妇死亡率控制在8/10万以下，婴儿死亡率、5岁以下儿童死亡率控制在3.5‰和4.5‰以下。</w:t>
      </w:r>
    </w:p>
    <w:tbl>
      <w:tblPr>
        <w:tblStyle w:val="1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方正黑体_GBK" w:cs="Times New Roman"/>
                <w:color w:val="auto"/>
                <w:kern w:val="2"/>
                <w:sz w:val="21"/>
                <w:szCs w:val="21"/>
                <w:highlight w:val="none"/>
              </w:rPr>
            </w:pPr>
            <w:r>
              <w:rPr>
                <w:rFonts w:hint="default" w:ascii="Times New Roman" w:hAnsi="Times New Roman" w:eastAsia="方正黑体_GBK" w:cs="Times New Roman"/>
                <w:color w:val="auto"/>
                <w:kern w:val="2"/>
                <w:sz w:val="28"/>
                <w:szCs w:val="28"/>
                <w:highlight w:val="none"/>
                <w:lang w:val="en-US" w:eastAsia="zh-CN" w:bidi="ar"/>
              </w:rPr>
              <w:t>专栏4：社会救助体系健全举措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7" w:hRule="atLeast"/>
        </w:trPr>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pStyle w:val="12"/>
              <w:keepNext w:val="0"/>
              <w:keepLines w:val="0"/>
              <w:widowControl w:val="0"/>
              <w:numPr>
                <w:ilvl w:val="0"/>
                <w:numId w:val="0"/>
              </w:numPr>
              <w:suppressLineNumbers w:val="0"/>
              <w:shd w:val="clear" w:fill="FFFFFF"/>
              <w:autoSpaceDE w:val="0"/>
              <w:autoSpaceDN/>
              <w:spacing w:before="0" w:beforeAutospacing="0" w:after="0" w:afterAutospacing="0" w:line="400" w:lineRule="exact"/>
              <w:ind w:right="0" w:rightChars="0" w:firstLine="480" w:firstLineChars="200"/>
              <w:jc w:val="both"/>
              <w:rPr>
                <w:rFonts w:hint="default" w:ascii="Times New Roman" w:hAnsi="Times New Roman" w:eastAsia="宋体" w:cs="Times New Roman"/>
                <w:color w:val="auto"/>
                <w:kern w:val="2"/>
                <w:sz w:val="28"/>
                <w:szCs w:val="28"/>
                <w:highlight w:val="none"/>
                <w:shd w:val="clear" w:fill="FFFFFF"/>
              </w:rPr>
            </w:pPr>
            <w:r>
              <w:rPr>
                <w:rFonts w:hint="default" w:ascii="Times New Roman" w:hAnsi="Times New Roman" w:eastAsia="方正黑体_GBK" w:cs="Times New Roman"/>
                <w:b w:val="0"/>
                <w:bCs w:val="0"/>
                <w:kern w:val="2"/>
                <w:sz w:val="24"/>
                <w:szCs w:val="24"/>
                <w:highlight w:val="none"/>
                <w:lang w:val="en-US" w:eastAsia="zh-CN" w:bidi="ar"/>
              </w:rPr>
              <w:t>健全服务类救助体系。</w:t>
            </w:r>
            <w:r>
              <w:rPr>
                <w:rFonts w:hint="default" w:ascii="Times New Roman" w:hAnsi="Times New Roman" w:eastAsia="方正仿宋_GBK" w:cs="Times New Roman"/>
                <w:b w:val="0"/>
                <w:bCs w:val="0"/>
                <w:color w:val="auto"/>
                <w:kern w:val="2"/>
                <w:sz w:val="24"/>
                <w:szCs w:val="24"/>
                <w:highlight w:val="none"/>
                <w:shd w:val="clear" w:fill="FFFFFF"/>
                <w:lang w:val="en-US" w:eastAsia="zh-CN" w:bidi="ar"/>
              </w:rPr>
              <w:t>建设社会救助服务阵地，打造社会救助服务联合体（站点）不低于5个，编制救助服务清单，孵化培育至少1个具有本地特色的社会救助服务品牌，社会救助“一件事”办结率和动态监测预警处置率实现100%。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outlineLvl w:val="9"/>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lang w:eastAsia="zh-CN"/>
        </w:rPr>
        <w:t>（五）病有所医</w:t>
      </w:r>
      <w:r>
        <w:rPr>
          <w:rFonts w:hint="default" w:ascii="Times New Roman" w:hAnsi="Times New Roman" w:eastAsia="方正楷体_GBK" w:cs="Times New Roman"/>
          <w:b w:val="0"/>
          <w:bCs w:val="0"/>
          <w:color w:val="auto"/>
          <w:sz w:val="32"/>
          <w:szCs w:val="32"/>
          <w:highlight w:val="none"/>
        </w:rPr>
        <w:t>：健全医疗卫生</w:t>
      </w:r>
      <w:r>
        <w:rPr>
          <w:rFonts w:hint="default" w:ascii="Times New Roman" w:hAnsi="Times New Roman" w:eastAsia="方正楷体_GBK" w:cs="Times New Roman"/>
          <w:b w:val="0"/>
          <w:bCs w:val="0"/>
          <w:color w:val="auto"/>
          <w:sz w:val="32"/>
          <w:szCs w:val="32"/>
          <w:highlight w:val="none"/>
          <w:lang w:eastAsia="zh-CN"/>
        </w:rPr>
        <w:t>服务</w:t>
      </w:r>
      <w:r>
        <w:rPr>
          <w:rFonts w:hint="default" w:ascii="Times New Roman" w:hAnsi="Times New Roman" w:eastAsia="方正楷体_GBK" w:cs="Times New Roman"/>
          <w:b w:val="0"/>
          <w:bCs w:val="0"/>
          <w:color w:val="auto"/>
          <w:sz w:val="32"/>
          <w:szCs w:val="32"/>
          <w:highlight w:val="none"/>
        </w:rPr>
        <w:t>体系</w:t>
      </w:r>
    </w:p>
    <w:p>
      <w:pPr>
        <w:keepNext w:val="0"/>
        <w:keepLines w:val="0"/>
        <w:pageBreakBefore w:val="0"/>
        <w:widowControl w:val="0"/>
        <w:suppressLineNumbers w:val="0"/>
        <w:kinsoku/>
        <w:wordWrap/>
        <w:overflowPunct/>
        <w:topLinePunct w:val="0"/>
        <w:autoSpaceDE w:val="0"/>
        <w:autoSpaceDN/>
        <w:bidi w:val="0"/>
        <w:adjustRightInd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b/>
          <w:bCs/>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color w:val="auto"/>
          <w:kern w:val="2"/>
          <w:sz w:val="32"/>
          <w:szCs w:val="32"/>
          <w:highlight w:val="none"/>
          <w:lang w:val="en-US" w:eastAsia="zh-CN" w:bidi="ar"/>
        </w:rPr>
        <w:t>筑牢公共卫生安全坚实屏障</w:t>
      </w:r>
    </w:p>
    <w:p>
      <w:pPr>
        <w:keepNext w:val="0"/>
        <w:keepLines w:val="0"/>
        <w:pageBreakBefore w:val="0"/>
        <w:widowControl w:val="0"/>
        <w:suppressLineNumbers w:val="0"/>
        <w:kinsoku/>
        <w:wordWrap/>
        <w:overflowPunct/>
        <w:topLinePunct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color w:val="auto"/>
          <w:kern w:val="2"/>
          <w:sz w:val="32"/>
          <w:szCs w:val="32"/>
          <w:highlight w:val="none"/>
          <w:lang w:val="en-US" w:eastAsia="zh-CN" w:bidi="ar"/>
        </w:rPr>
        <w:t>深化疾控体系建设。</w:t>
      </w:r>
      <w:r>
        <w:rPr>
          <w:rFonts w:hint="default" w:ascii="Times New Roman" w:hAnsi="Times New Roman" w:eastAsia="方正仿宋_GBK" w:cs="Times New Roman"/>
          <w:color w:val="auto"/>
          <w:kern w:val="2"/>
          <w:sz w:val="32"/>
          <w:szCs w:val="32"/>
          <w:highlight w:val="none"/>
          <w:lang w:val="en-US" w:eastAsia="zh-CN" w:bidi="ar"/>
        </w:rPr>
        <w:t>持续优化人才队伍，全面提升重大疫情和突发公共卫生事件监测预警、风险评估、流行病学调查、检验检测、应急处置等能力。完善三级疾病预防控制网络，巩固二级疾控机构创建成果，争创三级疾控中心，推进疾控监督员制度，设立镇（街道）疾控分中心，加强村（居）公共卫生委员会建设。争取医防融合市级试点，实现疾控机构与医疗机构人员通、信息通、资源通、服务通。探索职业健康数字改革应用，为辖区企业提供精准高效的职业健康指导帮扶。</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color w:val="auto"/>
          <w:kern w:val="2"/>
          <w:sz w:val="32"/>
          <w:szCs w:val="32"/>
          <w:highlight w:val="none"/>
          <w:lang w:val="en-US" w:eastAsia="zh-CN" w:bidi="ar"/>
        </w:rPr>
        <w:t>强化卫生应急能力。</w:t>
      </w:r>
      <w:r>
        <w:rPr>
          <w:rFonts w:hint="default" w:ascii="Times New Roman" w:hAnsi="Times New Roman" w:eastAsia="方正仿宋_GBK" w:cs="Times New Roman"/>
          <w:color w:val="auto"/>
          <w:sz w:val="32"/>
          <w:szCs w:val="32"/>
          <w:highlight w:val="none"/>
          <w:lang w:val="en-US" w:eastAsia="zh-CN"/>
        </w:rPr>
        <w:t>依托区人民医院、区疾控中心建立区级卫生应急处置训练中心，</w:t>
      </w:r>
      <w:r>
        <w:rPr>
          <w:rFonts w:hint="default" w:ascii="Times New Roman" w:hAnsi="Times New Roman" w:eastAsia="方正仿宋_GBK" w:cs="Times New Roman"/>
          <w:color w:val="auto"/>
          <w:kern w:val="2"/>
          <w:sz w:val="32"/>
          <w:szCs w:val="32"/>
          <w:highlight w:val="none"/>
          <w:lang w:val="en-US" w:eastAsia="zh-CN" w:bidi="ar-SA"/>
        </w:rPr>
        <w:t>常态化、规范化对</w:t>
      </w:r>
      <w:r>
        <w:rPr>
          <w:rFonts w:hint="default" w:ascii="Times New Roman" w:hAnsi="Times New Roman" w:eastAsia="方正仿宋_GBK" w:cs="Times New Roman"/>
          <w:color w:val="auto"/>
          <w:sz w:val="32"/>
          <w:szCs w:val="32"/>
          <w:highlight w:val="none"/>
          <w:lang w:val="en-US" w:eastAsia="zh-CN"/>
        </w:rPr>
        <w:t>区级紧急医学救援、突发急性传染病防控、</w:t>
      </w:r>
      <w:r>
        <w:rPr>
          <w:rFonts w:hint="default" w:ascii="Times New Roman" w:hAnsi="Times New Roman" w:eastAsia="方正仿宋_GBK" w:cs="Times New Roman"/>
          <w:color w:val="auto"/>
          <w:sz w:val="32"/>
          <w:szCs w:val="32"/>
          <w:highlight w:val="none"/>
          <w:lang w:eastAsia="zh-CN"/>
        </w:rPr>
        <w:t>突发中毒事件处置、心理救援</w:t>
      </w:r>
      <w:r>
        <w:rPr>
          <w:rFonts w:hint="default" w:ascii="Times New Roman" w:hAnsi="Times New Roman" w:eastAsia="方正仿宋_GBK" w:cs="Times New Roman"/>
          <w:color w:val="auto"/>
          <w:sz w:val="32"/>
          <w:szCs w:val="32"/>
          <w:highlight w:val="none"/>
          <w:lang w:val="en-US" w:eastAsia="zh-CN"/>
        </w:rPr>
        <w:t>等4个专业的标准化卫生应急队伍开展训练演练，</w:t>
      </w:r>
      <w:r>
        <w:rPr>
          <w:rFonts w:hint="default" w:ascii="Times New Roman" w:hAnsi="Times New Roman" w:eastAsia="方正仿宋_GBK" w:cs="Times New Roman"/>
          <w:color w:val="auto"/>
          <w:kern w:val="2"/>
          <w:sz w:val="32"/>
          <w:szCs w:val="32"/>
          <w:highlight w:val="none"/>
          <w:lang w:val="en-US" w:eastAsia="zh-CN" w:bidi="ar-SA"/>
        </w:rPr>
        <w:t>提升卫生应急快速反应能力。</w:t>
      </w:r>
      <w:r>
        <w:rPr>
          <w:rFonts w:hint="default" w:ascii="Times New Roman" w:hAnsi="Times New Roman" w:eastAsia="方正仿宋_GBK" w:cs="Times New Roman"/>
          <w:color w:val="auto"/>
          <w:sz w:val="32"/>
          <w:szCs w:val="32"/>
          <w:highlight w:val="none"/>
          <w:lang w:val="en-US" w:eastAsia="zh-CN"/>
        </w:rPr>
        <w:t>到2030年底，城区、农村院前急救反应时间分别控制在12分钟、20分钟以内，群众应急救护普及培训2万人次以上。</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color w:val="auto"/>
          <w:kern w:val="2"/>
          <w:sz w:val="32"/>
          <w:szCs w:val="32"/>
          <w:highlight w:val="none"/>
          <w:lang w:val="en-US" w:eastAsia="zh-CN" w:bidi="ar"/>
        </w:rPr>
        <w:t>提升公共卫生服务。</w:t>
      </w:r>
      <w:r>
        <w:rPr>
          <w:rFonts w:hint="default" w:ascii="Times New Roman" w:hAnsi="Times New Roman" w:eastAsia="方正仿宋_GBK" w:cs="Times New Roman"/>
          <w:kern w:val="2"/>
          <w:sz w:val="32"/>
          <w:szCs w:val="32"/>
          <w:lang w:val="en-US" w:eastAsia="zh-CN" w:bidi="ar"/>
        </w:rPr>
        <w:t>增加家庭医生签约服务供给，丰富服务内容，优化服务方式，实现签约有感。深化精神卫生体系建设，公立医院精神科（心理科）建设全覆盖，全面推进基层医疗卫生机构精神科（心理科）建设，独立设置区级精神卫生中心（适时分设区精神卫生中心和侣俸镇中心卫生院）。</w:t>
      </w:r>
      <w:r>
        <w:rPr>
          <w:rFonts w:hint="default" w:ascii="Times New Roman" w:hAnsi="Times New Roman" w:eastAsia="方正仿宋_GBK" w:cs="Times New Roman"/>
          <w:b w:val="0"/>
          <w:bCs w:val="0"/>
          <w:kern w:val="2"/>
          <w:sz w:val="32"/>
          <w:szCs w:val="32"/>
          <w:highlight w:val="none"/>
          <w:lang w:val="en-US" w:eastAsia="zh-CN" w:bidi="ar"/>
        </w:rPr>
        <w:t>持续深入</w:t>
      </w:r>
      <w:r>
        <w:rPr>
          <w:rFonts w:hint="default" w:ascii="Times New Roman" w:hAnsi="Times New Roman" w:eastAsia="方正仿宋_GBK" w:cs="Times New Roman"/>
          <w:kern w:val="2"/>
          <w:sz w:val="32"/>
          <w:szCs w:val="32"/>
          <w:highlight w:val="none"/>
          <w:lang w:val="en-US" w:eastAsia="zh-CN" w:bidi="ar"/>
        </w:rPr>
        <w:t>推进健康中国行动，</w:t>
      </w:r>
      <w:r>
        <w:rPr>
          <w:rFonts w:hint="default" w:ascii="Times New Roman" w:hAnsi="Times New Roman" w:eastAsia="方正仿宋_GBK" w:cs="Times New Roman"/>
          <w:b w:val="0"/>
          <w:bCs w:val="0"/>
          <w:kern w:val="2"/>
          <w:sz w:val="32"/>
          <w:szCs w:val="32"/>
          <w:highlight w:val="none"/>
          <w:lang w:val="en-US" w:eastAsia="zh-CN" w:bidi="ar"/>
        </w:rPr>
        <w:t>有序推进爱国卫生运动，</w:t>
      </w:r>
      <w:r>
        <w:rPr>
          <w:rFonts w:hint="default" w:ascii="Times New Roman" w:hAnsi="Times New Roman" w:eastAsia="方正仿宋_GBK" w:cs="Times New Roman"/>
          <w:kern w:val="2"/>
          <w:sz w:val="32"/>
          <w:szCs w:val="32"/>
          <w:highlight w:val="none"/>
          <w:lang w:val="en-US" w:eastAsia="zh-CN" w:bidi="ar"/>
        </w:rPr>
        <w:t>支持创建国家健康城镇，有效</w:t>
      </w:r>
      <w:r>
        <w:rPr>
          <w:rFonts w:hint="default" w:ascii="Times New Roman" w:hAnsi="Times New Roman" w:eastAsia="方正仿宋_GBK" w:cs="Times New Roman"/>
          <w:b w:val="0"/>
          <w:bCs w:val="0"/>
          <w:kern w:val="2"/>
          <w:sz w:val="32"/>
          <w:szCs w:val="32"/>
          <w:highlight w:val="none"/>
          <w:lang w:val="en-US" w:eastAsia="zh-CN" w:bidi="ar"/>
        </w:rPr>
        <w:t>提升居民健康素养水平。</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lang w:val="en-US" w:eastAsia="zh-CN" w:bidi="ar"/>
        </w:rPr>
        <w:t>构建优质高效医疗服务体系</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合理规划机构布局。</w:t>
      </w:r>
      <w:r>
        <w:rPr>
          <w:rFonts w:hint="default" w:ascii="Times New Roman" w:hAnsi="Times New Roman" w:eastAsia="方正仿宋_GBK" w:cs="Times New Roman"/>
          <w:kern w:val="2"/>
          <w:sz w:val="32"/>
          <w:szCs w:val="32"/>
          <w:highlight w:val="none"/>
          <w:lang w:val="en-US" w:eastAsia="zh-CN" w:bidi="ar"/>
        </w:rPr>
        <w:t>按照常住人口规模和服务半径，优化完善各级各类医疗卫生机构布局，保持现有区级医院、专业公共卫生机构、镇街医疗卫生机构的基本设置。常住人口大于10万人的街道，可提升现有社区卫生服务机构规模或增设1个社区卫生服务中心，社区常住人口超过2万人的，可以增设1所社区卫生服务站。严控农村卫生室设置规模，由镇（中心）卫生院延伸举办的行政村卫生室占比逐步提高。</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宋体" w:cs="Times New Roman"/>
          <w:kern w:val="2"/>
          <w:sz w:val="21"/>
          <w:szCs w:val="21"/>
          <w:highlight w:val="none"/>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明确资源配置标准。</w:t>
      </w:r>
      <w:r>
        <w:rPr>
          <w:rFonts w:hint="default" w:ascii="Times New Roman" w:hAnsi="Times New Roman" w:eastAsia="方正仿宋_GBK" w:cs="Times New Roman"/>
          <w:kern w:val="2"/>
          <w:sz w:val="32"/>
          <w:szCs w:val="32"/>
          <w:highlight w:val="none"/>
          <w:lang w:val="en-US" w:eastAsia="zh-CN" w:bidi="ar"/>
        </w:rPr>
        <w:t>合理配置编制床位，到2030年，全区每千人口政府办、非政府办医疗卫生机构床位数分别控制在5.4张、2.0张以内，每千人口精神科床位数、接续性医疗机构床位数分别达到0.9张、1.0张，提高安宁疗护床位总量。区医院床位数按照每千人口1.0张预留空间，每千人口基层医疗卫生机构床位数达到1.60张，其中康复、护理、长期照护床位占比不低于50%。强化人力资源配置，持续优化床人比，增加基层卫生人员力量，增加短缺人才供给。优化设备配置，大型乙类设备根据需求、服务量、医院运营等合理配置。</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highlight w:val="none"/>
          <w:lang w:val="en-US" w:eastAsia="zh-CN" w:bidi="ar"/>
        </w:rPr>
        <w:t>夯实基层服务根基。</w:t>
      </w:r>
      <w:r>
        <w:rPr>
          <w:rFonts w:hint="default" w:ascii="Times New Roman" w:hAnsi="Times New Roman" w:eastAsia="方正仿宋_GBK" w:cs="Times New Roman"/>
          <w:kern w:val="2"/>
          <w:sz w:val="32"/>
          <w:szCs w:val="32"/>
          <w:highlight w:val="none"/>
          <w:lang w:val="en-US" w:eastAsia="zh-CN" w:bidi="ar"/>
        </w:rPr>
        <w:t>持续巩固拓展乡村振兴成果，按照“总量控制、优化布局、服务提质”要求，推进实施医疗卫生强基工程，分步实施基层医疗机构改扩建，标准化行政村卫生室建成率达100%。按照“控规模、稳质量、提能力”发展思路，持续加强乡村医生队伍建设，稳步实施大学生村医计划，有效拓展乡村医生职业发展平台，切实落实乡村医生补助和养老保险政策，充分发挥基层守门人兜底作用。</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（4）</w:t>
      </w:r>
      <w:r>
        <w:rPr>
          <w:rFonts w:hint="default" w:ascii="Times New Roman" w:hAnsi="Times New Roman" w:eastAsia="方正仿宋_GBK" w:cs="Times New Roman"/>
          <w:b/>
          <w:bCs/>
          <w:kern w:val="2"/>
          <w:sz w:val="32"/>
          <w:szCs w:val="32"/>
          <w:highlight w:val="none"/>
          <w:lang w:val="en-US" w:eastAsia="zh-CN" w:bidi="ar"/>
        </w:rPr>
        <w:t>完善分级诊疗格局。</w:t>
      </w:r>
      <w:r>
        <w:rPr>
          <w:rFonts w:hint="default" w:ascii="Times New Roman" w:hAnsi="Times New Roman" w:eastAsia="方正仿宋_GBK" w:cs="Times New Roman"/>
          <w:kern w:val="2"/>
          <w:sz w:val="32"/>
          <w:szCs w:val="32"/>
          <w:highlight w:val="none"/>
          <w:lang w:val="en-US" w:eastAsia="zh-CN" w:bidi="ar"/>
        </w:rPr>
        <w:t>持续加大基层医疗机构等级创建力度，力争新增甲级基层医疗机构3个、社区医院2个。严格落实“区聘镇用”“镇聘村用”工作机制，持续深化“基层首诊、双向转诊”分级诊疗格局，加快补齐基层医疗机构</w:t>
      </w:r>
      <w:r>
        <w:rPr>
          <w:rFonts w:hint="default" w:ascii="Times New Roman" w:hAnsi="Times New Roman" w:eastAsia="方正仿宋_GBK" w:cs="Times New Roman"/>
          <w:b w:val="0"/>
          <w:bCs w:val="0"/>
          <w:kern w:val="2"/>
          <w:sz w:val="32"/>
          <w:szCs w:val="32"/>
          <w:highlight w:val="none"/>
          <w:lang w:val="en-US" w:eastAsia="zh-CN" w:bidi="ar"/>
        </w:rPr>
        <w:t>儿科、中医、口腔、老年、慢性病、急诊急救、药学等</w:t>
      </w:r>
      <w:r>
        <w:rPr>
          <w:rFonts w:hint="default" w:ascii="Times New Roman" w:hAnsi="Times New Roman" w:eastAsia="方正仿宋_GBK" w:cs="Times New Roman"/>
          <w:kern w:val="2"/>
          <w:sz w:val="32"/>
          <w:szCs w:val="32"/>
          <w:highlight w:val="none"/>
          <w:lang w:val="en-US" w:eastAsia="zh-CN" w:bidi="ar"/>
        </w:rPr>
        <w:t>薄弱学科短板，持续增强医疗</w:t>
      </w:r>
      <w:r>
        <w:rPr>
          <w:rFonts w:hint="default" w:ascii="Times New Roman" w:hAnsi="Times New Roman" w:eastAsia="方正仿宋_GBK" w:cs="Times New Roman"/>
          <w:b w:val="0"/>
          <w:bCs w:val="0"/>
          <w:kern w:val="2"/>
          <w:sz w:val="32"/>
          <w:szCs w:val="32"/>
          <w:highlight w:val="none"/>
          <w:lang w:val="en-US" w:eastAsia="zh-CN" w:bidi="ar"/>
        </w:rPr>
        <w:t>服务供给，不断满足农村群众健康服务需求</w:t>
      </w:r>
      <w:r>
        <w:rPr>
          <w:rFonts w:hint="default" w:ascii="Times New Roman" w:hAnsi="Times New Roman" w:eastAsia="方正仿宋_GBK" w:cs="Times New Roman"/>
          <w:kern w:val="2"/>
          <w:sz w:val="32"/>
          <w:szCs w:val="32"/>
          <w:highlight w:val="none"/>
          <w:lang w:val="en-US" w:eastAsia="zh-CN" w:bidi="ar"/>
        </w:rPr>
        <w:t>。</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（5）</w:t>
      </w:r>
      <w:r>
        <w:rPr>
          <w:rFonts w:hint="default" w:ascii="Times New Roman" w:hAnsi="Times New Roman" w:eastAsia="方正仿宋_GBK" w:cs="Times New Roman"/>
          <w:b/>
          <w:bCs/>
          <w:kern w:val="2"/>
          <w:sz w:val="32"/>
          <w:szCs w:val="32"/>
          <w:highlight w:val="none"/>
          <w:lang w:val="en-US" w:eastAsia="zh-CN" w:bidi="ar"/>
        </w:rPr>
        <w:t>强化区级医院引领。</w:t>
      </w:r>
      <w:r>
        <w:rPr>
          <w:rFonts w:hint="default" w:ascii="Times New Roman" w:hAnsi="Times New Roman" w:eastAsia="方正仿宋_GBK" w:cs="Times New Roman"/>
          <w:kern w:val="2"/>
          <w:sz w:val="32"/>
          <w:szCs w:val="32"/>
          <w:highlight w:val="none"/>
          <w:lang w:val="en-US" w:eastAsia="zh-CN" w:bidi="ar"/>
        </w:rPr>
        <w:t>坚持外引内培，通过院院合作、院校共研，与市内外名院、名校合作，引进专家团队带教共研，力争培育特色重点专科（学科）2个，推动科研成果转化运用。坚持培优育新，实施“名院、名科、名医”创建行动，推动2家三级医院全国绩效考核排名进入B+档，推动骨伤、心脑血管、康复针灸4个国家级重点（特色、优势）专科提质，开展新技术10项，提升诊疗技术硬实力，以“名医”为核心，组建多学科诊疗（MDT）。持续巩固公立医院“双三甲”创建成果，增强辐射能力、领跑能力。</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宋体" w:cs="Times New Roman"/>
          <w:kern w:val="2"/>
          <w:sz w:val="21"/>
          <w:szCs w:val="21"/>
          <w:highlight w:val="none"/>
        </w:rPr>
      </w:pPr>
      <w:r>
        <w:rPr>
          <w:rFonts w:hint="default" w:ascii="Times New Roman" w:hAnsi="Times New Roman" w:eastAsia="方正仿宋_GBK" w:cs="Times New Roman"/>
          <w:kern w:val="2"/>
          <w:sz w:val="32"/>
          <w:szCs w:val="32"/>
          <w:lang w:val="en-US" w:eastAsia="zh-CN" w:bidi="ar"/>
        </w:rPr>
        <w:t>（6）</w:t>
      </w:r>
      <w:r>
        <w:rPr>
          <w:rFonts w:hint="default" w:ascii="Times New Roman" w:hAnsi="Times New Roman" w:eastAsia="方正仿宋_GBK" w:cs="Times New Roman"/>
          <w:b/>
          <w:bCs/>
          <w:kern w:val="2"/>
          <w:sz w:val="32"/>
          <w:szCs w:val="32"/>
          <w:highlight w:val="none"/>
          <w:lang w:val="en-US" w:eastAsia="zh-CN" w:bidi="ar"/>
        </w:rPr>
        <w:t>优化社会办医环境。</w:t>
      </w:r>
      <w:r>
        <w:rPr>
          <w:rFonts w:hint="default" w:ascii="Times New Roman" w:hAnsi="Times New Roman" w:eastAsia="方正仿宋_GBK" w:cs="Times New Roman"/>
          <w:kern w:val="2"/>
          <w:sz w:val="32"/>
          <w:szCs w:val="32"/>
          <w:highlight w:val="none"/>
          <w:lang w:val="en-US" w:eastAsia="zh-CN" w:bidi="ar"/>
        </w:rPr>
        <w:t>持续优化社会办医发展环境，重点向集团化、专业化、差异化办医倾斜，鼓励并引导社会力量举办中医、康复、护理、安宁疗护等短缺专科医疗机构，支持其与政府办医疗卫生机构建立协作关系，实现区域资源共享，推动区域诊疗资源供需平衡，形成与公共医疗资源、普惠性医疗服务优势互补、错位发展的新格局。</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highlight w:val="none"/>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highlight w:val="none"/>
          <w:lang w:val="en-US" w:eastAsia="zh-CN" w:bidi="ar"/>
        </w:rPr>
        <w:t>促进中医药传承创新发展</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提升中医药服务。</w:t>
      </w:r>
      <w:r>
        <w:rPr>
          <w:rFonts w:hint="default" w:ascii="Times New Roman" w:hAnsi="Times New Roman" w:eastAsia="方正仿宋_GBK" w:cs="Times New Roman"/>
          <w:kern w:val="2"/>
          <w:sz w:val="32"/>
          <w:szCs w:val="32"/>
          <w:highlight w:val="none"/>
          <w:lang w:val="en-US" w:eastAsia="zh-CN" w:bidi="ar"/>
        </w:rPr>
        <w:t>坚持中医药传承创新，实施中医药振兴发展八大工程，推进区域中医药特色技术、服务能力、优质产业联动发展，打造中医优势专科集群、产教研融合基地。全面提升区中医院服务能力，争创市级中医特色诊疗中心1个，打造专病示范门诊2个，积极推进1～2个中西医协同“旗舰”科室建设。推动基层医疗机构开展中医特色康复医疗、康复护理等服务，遴选推广中医药良方妙技、中医药适宜技术和中西医协同优势技术5项。</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发展中医药产业。</w:t>
      </w:r>
      <w:r>
        <w:rPr>
          <w:rFonts w:hint="default" w:ascii="Times New Roman" w:hAnsi="Times New Roman" w:eastAsia="方正仿宋_GBK" w:cs="Times New Roman"/>
          <w:kern w:val="2"/>
          <w:sz w:val="32"/>
          <w:szCs w:val="32"/>
          <w:highlight w:val="none"/>
          <w:lang w:val="en-US" w:eastAsia="zh-CN" w:bidi="ar"/>
        </w:rPr>
        <w:t>优化现代中医药产业布局，强化中药材规范化种植和生态种植，提升铜梁产艾草、枳壳、使君子等中药材影响力。引育壮大中药龙头企业，探索打造中药数字化车间和智能工厂。大力发展中药制剂，支持区中医院建设区域特色中药制剂中心，开展中药制剂研发，促进中药新药转化。</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highlight w:val="none"/>
          <w:lang w:val="en-US" w:eastAsia="zh-CN" w:bidi="ar"/>
        </w:rPr>
        <w:t>繁荣中医药文化。</w:t>
      </w:r>
      <w:r>
        <w:rPr>
          <w:rFonts w:hint="default" w:ascii="Times New Roman" w:hAnsi="Times New Roman" w:eastAsia="方正仿宋_GBK" w:cs="Times New Roman"/>
          <w:kern w:val="2"/>
          <w:sz w:val="32"/>
          <w:szCs w:val="32"/>
          <w:highlight w:val="none"/>
          <w:lang w:val="en-US" w:eastAsia="zh-CN" w:bidi="ar"/>
        </w:rPr>
        <w:t>深入实施“渝见岐黄”中医药文化传播行动，构建全媒体中医药文化传播矩阵。依托区中医院，持续推进中医药文化宣传教育基地、体验场馆等功能建设，常态化开展中医药文化惠民服务活动和中医药文化“六进”行动，增强优质中医药文化资源供给。积极推动中医药文化融入国民教育，将中医药文化知识融入中小学课程体系。</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highlight w:val="none"/>
        </w:rPr>
      </w:pPr>
      <w:r>
        <w:rPr>
          <w:rFonts w:hint="default" w:ascii="Times New Roman" w:hAnsi="Times New Roman" w:eastAsia="方正仿宋_GBK" w:cs="Times New Roman"/>
          <w:kern w:val="2"/>
          <w:sz w:val="32"/>
          <w:szCs w:val="32"/>
          <w:lang w:val="en-US" w:eastAsia="zh-CN" w:bidi="ar"/>
        </w:rPr>
        <w:t>4.</w:t>
      </w:r>
      <w:r>
        <w:rPr>
          <w:rFonts w:hint="default" w:ascii="Times New Roman" w:hAnsi="Times New Roman" w:eastAsia="方正仿宋_GBK" w:cs="Times New Roman"/>
          <w:b/>
          <w:bCs/>
          <w:kern w:val="2"/>
          <w:sz w:val="32"/>
          <w:szCs w:val="32"/>
          <w:highlight w:val="none"/>
          <w:lang w:val="en-US" w:eastAsia="zh-CN" w:bidi="ar"/>
        </w:rPr>
        <w:t>普及心理健康服务</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完善社会心理服务网络。</w:t>
      </w:r>
      <w:r>
        <w:rPr>
          <w:rFonts w:hint="default" w:ascii="Times New Roman" w:hAnsi="Times New Roman" w:eastAsia="方正仿宋_GBK" w:cs="Times New Roman"/>
          <w:kern w:val="2"/>
          <w:sz w:val="32"/>
          <w:szCs w:val="32"/>
          <w:highlight w:val="none"/>
          <w:lang w:val="en-US" w:eastAsia="zh-CN" w:bidi="ar"/>
        </w:rPr>
        <w:t>完善心理健康技术服务网络，提升服务能级。推进区精神卫生中心标准化建设，加强综合性医院、妇幼保健院、儿童专科医院精神科设置，推动精神（或心理）专科向社区卫生服务中心、镇（中心）卫生院等基层医疗机构延伸。建立心理健康服务体系，推进基层社区、学校、用人单位等心理健康服务场所和能力建设，强化镇（街道）社会心理服务站和村（社区）心理咨询室设置。</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深化青少年心理健康教育。</w:t>
      </w:r>
      <w:r>
        <w:rPr>
          <w:rFonts w:hint="default" w:ascii="Times New Roman" w:hAnsi="Times New Roman" w:eastAsia="方正仿宋_GBK" w:cs="Times New Roman"/>
          <w:kern w:val="2"/>
          <w:sz w:val="32"/>
          <w:szCs w:val="32"/>
          <w:highlight w:val="none"/>
          <w:lang w:val="en-US" w:eastAsia="zh-CN" w:bidi="ar"/>
        </w:rPr>
        <w:t>构建“预防－干预－支持”全链条体系。以学校为主阵地，将心理健康课纳入必修课，配备专（兼）职心理教师，通过团体辅导、个体咨询精准对接学业压力、人际交往等问题。联动家庭与社区，开展“亲子心理工作坊”，培训家长识别孩子情绪信号的能力，依托社区服务站设立青少年情绪宣泄室与公益咨询点。建立校园与专业医疗机构的转介机制，及时干预，形成家校社医协同闭环。推动“童心相伴”等儿童心理关爱项目落地见效，持续面向辖区困境、留守、流动等未成年人群体开展团体辅导与个体心理疏导服务。</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highlight w:val="none"/>
          <w:lang w:val="en-US" w:eastAsia="zh-CN" w:bidi="ar"/>
        </w:rPr>
        <w:t>推进精康融合提质增效。</w:t>
      </w:r>
      <w:r>
        <w:rPr>
          <w:rFonts w:hint="default" w:ascii="Times New Roman" w:hAnsi="Times New Roman" w:eastAsia="方正仿宋_GBK" w:cs="Times New Roman"/>
          <w:kern w:val="2"/>
          <w:sz w:val="32"/>
          <w:szCs w:val="32"/>
          <w:highlight w:val="none"/>
          <w:lang w:val="en-US" w:eastAsia="zh-CN" w:bidi="ar"/>
        </w:rPr>
        <w:t>深化“精康融合行动”，健全精神障碍社区康复服务体系，推动“渝康家园”扩面提质增效，强化患者救治救助保障。科学布局康复服务站点，实现区域全覆盖，推动服务内容向功能重建升级。设立区级精神康复技术指导服务中心，对辖区内精神障碍患者社区康复服务提供技术指导。建立健全服务对象动态需求评估机制，实行“一人一档”个性化精准服务。坚持专业化发展导向，构建结构合理、素质优良的“精铜人才”队伍。到2030年，登记对象接受规范服务率达80%以上，达到国家严重精神障碍信息系统登记患者数量的40%。</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spacing w:before="0" w:beforeAutospacing="0" w:after="0" w:afterAutospacing="0" w:line="594" w:lineRule="exact"/>
              <w:ind w:left="0" w:right="0"/>
              <w:jc w:val="center"/>
              <w:rPr>
                <w:rFonts w:hint="default" w:ascii="Times New Roman" w:hAnsi="Times New Roman" w:eastAsia="方正黑体_GBK" w:cs="Times New Roman"/>
                <w:kern w:val="2"/>
                <w:sz w:val="21"/>
                <w:szCs w:val="21"/>
                <w:highlight w:val="none"/>
              </w:rPr>
            </w:pPr>
            <w:r>
              <w:rPr>
                <w:rFonts w:hint="default" w:ascii="Times New Roman" w:hAnsi="Times New Roman" w:eastAsia="方正黑体_GBK" w:cs="Times New Roman"/>
                <w:kern w:val="2"/>
                <w:sz w:val="28"/>
                <w:szCs w:val="28"/>
                <w:highlight w:val="none"/>
                <w:lang w:val="en-US" w:eastAsia="zh-CN" w:bidi="ar"/>
              </w:rPr>
              <w:t>专栏5：</w:t>
            </w:r>
            <w:r>
              <w:rPr>
                <w:rFonts w:hint="default" w:ascii="Times New Roman" w:hAnsi="Times New Roman" w:eastAsia="方正黑体_GBK" w:cs="Times New Roman"/>
                <w:b w:val="0"/>
                <w:bCs w:val="0"/>
                <w:kern w:val="2"/>
                <w:sz w:val="32"/>
                <w:szCs w:val="32"/>
                <w:highlight w:val="none"/>
                <w:lang w:val="en-US" w:eastAsia="zh-CN" w:bidi="ar"/>
              </w:rPr>
              <w:t>健康服务能力提升与整合重点事项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pStyle w:val="12"/>
              <w:keepNext w:val="0"/>
              <w:keepLines w:val="0"/>
              <w:pageBreakBefore w:val="0"/>
              <w:widowControl w:val="0"/>
              <w:suppressLineNumbers w:val="0"/>
              <w:shd w:val="clear" w:fill="FFFFFF"/>
              <w:kinsoku/>
              <w:wordWrap/>
              <w:overflowPunct/>
              <w:topLinePunct w:val="0"/>
              <w:autoSpaceDE w:val="0"/>
              <w:autoSpaceDN/>
              <w:bidi w:val="0"/>
              <w:adjustRightInd/>
              <w:snapToGrid/>
              <w:spacing w:before="0" w:beforeAutospacing="0" w:after="0" w:afterAutospacing="0" w:line="400" w:lineRule="exact"/>
              <w:ind w:left="0" w:right="0" w:rightChars="0" w:firstLine="480" w:firstLineChars="200"/>
              <w:jc w:val="both"/>
              <w:textAlignment w:val="auto"/>
              <w:rPr>
                <w:rFonts w:hint="default" w:ascii="Times New Roman" w:hAnsi="Times New Roman" w:eastAsia="方正仿宋_GBK" w:cs="Times New Roman"/>
                <w:kern w:val="2"/>
                <w:sz w:val="24"/>
                <w:szCs w:val="24"/>
                <w:highlight w:val="none"/>
              </w:rPr>
            </w:pPr>
            <w:r>
              <w:rPr>
                <w:rFonts w:hint="default" w:ascii="Times New Roman" w:hAnsi="Times New Roman" w:eastAsia="方正黑体_GBK" w:cs="Times New Roman"/>
                <w:b w:val="0"/>
                <w:bCs w:val="0"/>
                <w:kern w:val="2"/>
                <w:sz w:val="24"/>
                <w:szCs w:val="24"/>
                <w:highlight w:val="none"/>
                <w:lang w:val="en-US" w:eastAsia="zh-CN" w:bidi="ar"/>
              </w:rPr>
              <w:t>1.重点举措：</w:t>
            </w:r>
            <w:r>
              <w:rPr>
                <w:rFonts w:hint="default" w:ascii="Times New Roman" w:hAnsi="Times New Roman" w:eastAsia="方正仿宋_GBK" w:cs="Times New Roman"/>
                <w:i w:val="0"/>
                <w:iCs w:val="0"/>
                <w:kern w:val="0"/>
                <w:sz w:val="24"/>
                <w:szCs w:val="24"/>
                <w:highlight w:val="none"/>
                <w:lang w:val="en-US" w:eastAsia="zh-CN" w:bidi="ar"/>
              </w:rPr>
              <w:t>实施医疗卫生强基工程，优化基层医疗卫生机构规划布局、明确功能定位，开展基本公共卫生服务普惠行动、基本医疗服务提升行动、重点人群服务保障行动，优化升级县区医疗卫生设施设备。推进公立医院薪酬制度改革，完善公立医院内部绩效考核分配体系，建立薪酬动态调整机制。发展医疗领域低空经济，探索开展低空应急血液制剂、标本、医疗物资运送。</w:t>
            </w:r>
          </w:p>
          <w:p>
            <w:pPr>
              <w:pStyle w:val="12"/>
              <w:keepNext w:val="0"/>
              <w:keepLines w:val="0"/>
              <w:pageBreakBefore w:val="0"/>
              <w:widowControl w:val="0"/>
              <w:suppressLineNumbers w:val="0"/>
              <w:shd w:val="clear" w:fill="FFFFFF"/>
              <w:kinsoku/>
              <w:wordWrap/>
              <w:overflowPunct/>
              <w:topLinePunct w:val="0"/>
              <w:autoSpaceDE w:val="0"/>
              <w:autoSpaceDN/>
              <w:bidi w:val="0"/>
              <w:adjustRightInd/>
              <w:snapToGrid/>
              <w:spacing w:before="0" w:beforeAutospacing="0" w:after="0" w:afterAutospacing="0" w:line="400" w:lineRule="exact"/>
              <w:ind w:left="0" w:leftChars="0" w:right="0" w:firstLine="480" w:firstLineChars="200"/>
              <w:jc w:val="both"/>
              <w:textAlignment w:val="auto"/>
              <w:rPr>
                <w:rFonts w:hint="default" w:ascii="Times New Roman" w:hAnsi="Times New Roman" w:eastAsia="宋体" w:cs="Times New Roman"/>
                <w:kern w:val="2"/>
                <w:sz w:val="28"/>
                <w:szCs w:val="28"/>
                <w:highlight w:val="none"/>
                <w:shd w:val="clear" w:fill="FFFFFF"/>
              </w:rPr>
            </w:pPr>
            <w:r>
              <w:rPr>
                <w:rFonts w:hint="default" w:ascii="Times New Roman" w:hAnsi="Times New Roman" w:eastAsia="方正黑体_GBK" w:cs="Times New Roman"/>
                <w:b w:val="0"/>
                <w:bCs w:val="0"/>
                <w:kern w:val="2"/>
                <w:sz w:val="24"/>
                <w:szCs w:val="24"/>
                <w:highlight w:val="none"/>
                <w:lang w:val="en-US" w:eastAsia="zh-CN" w:bidi="ar"/>
              </w:rPr>
              <w:t>2.重点项目：</w:t>
            </w:r>
            <w:r>
              <w:rPr>
                <w:rFonts w:hint="default" w:ascii="Times New Roman" w:hAnsi="Times New Roman" w:eastAsia="方正仿宋_GBK" w:cs="Times New Roman"/>
                <w:i w:val="0"/>
                <w:iCs w:val="0"/>
                <w:kern w:val="0"/>
                <w:sz w:val="24"/>
                <w:szCs w:val="24"/>
                <w:highlight w:val="none"/>
                <w:lang w:val="en-US" w:eastAsia="zh-CN" w:bidi="ar"/>
              </w:rPr>
              <w:t>推动区人民医院病房改造、区中医院失能半失能养老院、区中医院中医特色康养中心、区妇幼保健院服务能力提升、区疾病预防控制中心整体迁建、区阿尔茨海默病住院大楼、基层医疗卫生机构医养结合改造、、基层医疗机构改造提质、星级行政村卫生室提质等项目建设</w:t>
            </w:r>
            <w:r>
              <w:rPr>
                <w:rFonts w:hint="default" w:ascii="Times New Roman" w:hAnsi="Times New Roman" w:eastAsia="方正仿宋_GBK" w:cs="Times New Roman"/>
                <w:kern w:val="2"/>
                <w:sz w:val="24"/>
                <w:szCs w:val="24"/>
                <w:highlight w:val="none"/>
                <w:lang w:val="en-US" w:eastAsia="zh-CN" w:bidi="ar"/>
              </w:rPr>
              <w:t>。</w:t>
            </w:r>
          </w:p>
        </w:tc>
      </w:tr>
    </w:tbl>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楷体_GBK" w:cs="Times New Roman"/>
          <w:b w:val="0"/>
          <w:bCs w:val="0"/>
          <w:color w:val="auto"/>
          <w:sz w:val="32"/>
          <w:szCs w:val="32"/>
          <w:highlight w:val="none"/>
          <w:lang w:val="en-US" w:eastAsia="zh-CN"/>
        </w:rPr>
        <w:t>（六）逝有所安：建立健全基本殡葬服务保障体系</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color w:val="auto"/>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color w:val="auto"/>
          <w:kern w:val="2"/>
          <w:sz w:val="32"/>
          <w:szCs w:val="32"/>
          <w:highlight w:val="none"/>
          <w:lang w:val="en-US" w:eastAsia="zh-CN" w:bidi="ar"/>
        </w:rPr>
        <w:t>完善殡葬服务设施建设</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color w:val="auto"/>
          <w:kern w:val="44"/>
          <w:sz w:val="32"/>
          <w:szCs w:val="32"/>
          <w:highlight w:val="none"/>
        </w:rPr>
      </w:pPr>
      <w:r>
        <w:rPr>
          <w:rFonts w:hint="default" w:ascii="Times New Roman" w:hAnsi="Times New Roman" w:eastAsia="方正仿宋_GBK" w:cs="Times New Roman"/>
          <w:color w:val="auto"/>
          <w:kern w:val="44"/>
          <w:sz w:val="32"/>
          <w:szCs w:val="32"/>
          <w:highlight w:val="none"/>
          <w:lang w:val="en-US" w:eastAsia="zh-CN" w:bidi="ar"/>
        </w:rPr>
        <w:t xml:space="preserve">立足城乡统筹发展，着力构建区、镇（街道）、村（社区）三级殡葬设施服务体系。殡仪服务设施以殡仪馆为主体，殡仪服务网点为补充；安葬服务设施以城镇公益性公墓（骨灰堂）和农村公益性墓地为主体，经营性公墓为补充。积极推行节地生态安葬，倡导绿色殡葬新风尚。编制与国土空间规划相衔接的《铜梁区殡葬设施布局专项规划》，加快推进城乡公益性安葬设施建设，开展殡仪馆“五化”建设。 </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color w:val="auto"/>
          <w:kern w:val="2"/>
          <w:sz w:val="32"/>
          <w:szCs w:val="32"/>
          <w:highlight w:val="none"/>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color w:val="auto"/>
          <w:kern w:val="2"/>
          <w:sz w:val="32"/>
          <w:szCs w:val="32"/>
          <w:highlight w:val="none"/>
          <w:lang w:val="en-US" w:eastAsia="zh-CN" w:bidi="ar"/>
        </w:rPr>
        <w:t>强化殡葬服务公益属性</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b w:val="0"/>
          <w:color w:val="auto"/>
          <w:kern w:val="2"/>
          <w:sz w:val="32"/>
          <w:szCs w:val="32"/>
          <w:highlight w:val="none"/>
          <w:lang w:val="en-US" w:eastAsia="zh-CN" w:bidi="ar"/>
        </w:rPr>
        <w:t>坚持惠民利民导向，将基本殡葬服务全面纳入公共服务体系，实现城乡居民惠民政策全覆盖，推广使用“渝逝有安”平台线上办理殡仪服务基础项目、节地生态安葬补贴。将遗体接运、存放、火化和骨灰寄存、生态安葬等核心服务纳入殡葬基础项目目录，合理确定非基础项目清单。全面实行殡葬服务机构线上线下同步明码标价制度，确保清单外无项目、不收费。</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color w:val="auto"/>
          <w:kern w:val="2"/>
          <w:sz w:val="32"/>
          <w:szCs w:val="32"/>
          <w:highlight w:val="none"/>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color w:val="auto"/>
          <w:kern w:val="2"/>
          <w:sz w:val="32"/>
          <w:szCs w:val="32"/>
          <w:highlight w:val="none"/>
          <w:lang w:val="en-US" w:eastAsia="zh-CN" w:bidi="ar"/>
        </w:rPr>
        <w:t>健全殡葬综合监管机制</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strike/>
          <w:dstrike w:val="0"/>
          <w:color w:val="auto"/>
          <w:kern w:val="2"/>
          <w:sz w:val="32"/>
          <w:szCs w:val="32"/>
          <w:highlight w:val="yellow"/>
          <w:lang w:val="en-US" w:eastAsia="zh-CN" w:bidi="ar"/>
        </w:rPr>
      </w:pPr>
      <w:r>
        <w:rPr>
          <w:rFonts w:hint="default" w:ascii="Times New Roman" w:hAnsi="Times New Roman" w:eastAsia="方正仿宋_GBK" w:cs="Times New Roman"/>
          <w:color w:val="auto"/>
          <w:kern w:val="2"/>
          <w:sz w:val="32"/>
          <w:szCs w:val="32"/>
          <w:highlight w:val="none"/>
          <w:lang w:val="en-US" w:eastAsia="zh-CN" w:bidi="ar"/>
        </w:rPr>
        <w:t>建立健全殡葬设施运营管理机制，明确各级管理责任，实行规范化、标准化管理。殡仪馆以事业单位法人为运营主体，推动行政划拨方式实施新增城镇公益性公墓建设，农村公益性墓地以村集体经济组织或村民委员会为建设、运营主体。加强殡葬设施运营队伍建设，定期开展业务培训、职业道德教育和安全培训。加强殡葬服务收费监管，严厉查处违规收费行为。</w:t>
      </w:r>
    </w:p>
    <w:tbl>
      <w:tblPr>
        <w:tblStyle w:val="1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方正黑体_GBK" w:cs="Times New Roman"/>
                <w:color w:val="auto"/>
                <w:kern w:val="2"/>
                <w:sz w:val="21"/>
                <w:szCs w:val="21"/>
                <w:highlight w:val="none"/>
              </w:rPr>
            </w:pPr>
            <w:r>
              <w:rPr>
                <w:rFonts w:hint="default" w:ascii="Times New Roman" w:hAnsi="Times New Roman" w:eastAsia="方正黑体_GBK" w:cs="Times New Roman"/>
                <w:color w:val="auto"/>
                <w:kern w:val="2"/>
                <w:sz w:val="28"/>
                <w:szCs w:val="28"/>
                <w:highlight w:val="none"/>
                <w:lang w:val="en-US" w:eastAsia="zh-CN" w:bidi="ar"/>
              </w:rPr>
              <w:t>专栏6：基本</w:t>
            </w:r>
            <w:r>
              <w:rPr>
                <w:rFonts w:hint="default" w:ascii="Times New Roman" w:hAnsi="Times New Roman" w:eastAsia="方正黑体_GBK" w:cs="Times New Roman"/>
                <w:b w:val="0"/>
                <w:bCs w:val="0"/>
                <w:color w:val="auto"/>
                <w:kern w:val="2"/>
                <w:sz w:val="32"/>
                <w:szCs w:val="32"/>
                <w:highlight w:val="none"/>
                <w:lang w:val="en-US" w:eastAsia="zh-CN" w:bidi="ar"/>
              </w:rPr>
              <w:t>殡葬服务保障工程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84" w:hRule="atLeast"/>
        </w:trPr>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pStyle w:val="12"/>
              <w:keepNext w:val="0"/>
              <w:keepLines w:val="0"/>
              <w:widowControl w:val="0"/>
              <w:numPr>
                <w:ilvl w:val="0"/>
                <w:numId w:val="0"/>
              </w:numPr>
              <w:suppressLineNumbers w:val="0"/>
              <w:shd w:val="clear" w:fill="FFFFFF"/>
              <w:autoSpaceDE w:val="0"/>
              <w:autoSpaceDN/>
              <w:spacing w:before="0" w:beforeAutospacing="0" w:after="0" w:afterAutospacing="0" w:line="400" w:lineRule="exact"/>
              <w:ind w:right="0" w:rightChars="0" w:firstLine="480" w:firstLineChars="200"/>
              <w:jc w:val="both"/>
              <w:rPr>
                <w:rFonts w:hint="default" w:ascii="Times New Roman" w:hAnsi="Times New Roman" w:eastAsia="方正仿宋_GBK" w:cs="Times New Roman"/>
                <w:color w:val="auto"/>
                <w:kern w:val="2"/>
                <w:sz w:val="24"/>
                <w:szCs w:val="24"/>
                <w:highlight w:val="none"/>
                <w:shd w:val="clear" w:fill="FFFFFF"/>
                <w:lang w:val="en-US" w:eastAsia="zh-CN" w:bidi="ar"/>
              </w:rPr>
            </w:pPr>
            <w:r>
              <w:rPr>
                <w:rFonts w:hint="default" w:ascii="Times New Roman" w:hAnsi="Times New Roman" w:eastAsia="方正黑体_GBK" w:cs="Times New Roman"/>
                <w:color w:val="auto"/>
                <w:kern w:val="2"/>
                <w:sz w:val="24"/>
                <w:szCs w:val="24"/>
                <w:highlight w:val="none"/>
                <w:shd w:val="clear" w:fill="FFFFFF"/>
                <w:lang w:val="en-US" w:eastAsia="zh-CN" w:bidi="ar"/>
              </w:rPr>
              <w:t>殡葬服务升级项目。</w:t>
            </w:r>
            <w:r>
              <w:rPr>
                <w:rFonts w:hint="default" w:ascii="Times New Roman" w:hAnsi="Times New Roman" w:eastAsia="方正仿宋_GBK" w:cs="Times New Roman"/>
                <w:color w:val="auto"/>
                <w:kern w:val="2"/>
                <w:sz w:val="24"/>
                <w:szCs w:val="24"/>
                <w:highlight w:val="none"/>
                <w:shd w:val="clear" w:fill="FFFFFF"/>
                <w:lang w:val="en-US" w:eastAsia="zh-CN" w:bidi="ar"/>
              </w:rPr>
              <w:t>逐步将桐梓园经营性公墓转型为城市公益性公墓，新建1处殡仪馆，鼓励有条件的重点镇建设区域性殡仪服务网点。力争至2030年末，城镇公益性公墓服务覆盖率达100%，农村公益性墓地服务行政村社覆盖率达50%。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left="0" w:firstLine="640" w:firstLineChars="200"/>
        <w:jc w:val="both"/>
        <w:textAlignment w:val="auto"/>
        <w:outlineLvl w:val="9"/>
        <w:rPr>
          <w:rFonts w:hint="default" w:ascii="Times New Roman" w:hAnsi="Times New Roman" w:eastAsia="方正楷体_GBK" w:cs="Times New Roman"/>
          <w:b w:val="0"/>
          <w:bCs w:val="0"/>
          <w:color w:val="auto"/>
          <w:sz w:val="32"/>
          <w:szCs w:val="32"/>
          <w:highlight w:val="none"/>
          <w:lang w:eastAsia="zh-CN"/>
        </w:rPr>
      </w:pPr>
      <w:r>
        <w:rPr>
          <w:rFonts w:hint="default" w:ascii="Times New Roman" w:hAnsi="Times New Roman" w:eastAsia="方正楷体_GBK" w:cs="Times New Roman"/>
          <w:b w:val="0"/>
          <w:bCs w:val="0"/>
          <w:color w:val="auto"/>
          <w:sz w:val="32"/>
          <w:szCs w:val="32"/>
          <w:highlight w:val="none"/>
          <w:lang w:eastAsia="zh-CN"/>
        </w:rPr>
        <w:t>（七）推动服务供给改革创新</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lang w:val="en-US" w:eastAsia="zh-CN" w:bidi="ar"/>
        </w:rPr>
        <w:t>深化教育领域综合改革</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创新办学育人模式，推行“双盲选”师生匹配机制，推进“人工智能+教育”发展，扩容优质教育资源。深化教育科技人才协同发展，搭建“教育链—产业链”对接平台，推动职校与企业共建产业学院和市级以上产教融合实训基地；普及中小学人工智能课程，搭建少年科学院、英才导师库，夯实科创人才培育基础。深化教育评价改革，构建全域化、多元化评价体系，破除唯分数、唯升学功利化导向，打造具有铜梁辨识度的教育评价标准。完善现代化学校治理体系，建立与资源分配相挂钩的学校治理制度体系，强化教育评价和教育督导在教育治理中的引擎作用，营造优良育人环境。规范民办教育发展，落实分类管理、动态补贴、星级评定及联合监管机制，引导民办学校打造特色办学品牌。同时，健全多元教育经费投入机制，保障财政教育支出稳步增长，积极争取专项资金支持，强化经费监管，提升资金使用效能。</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b/>
          <w:bCs/>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深化医药卫生体制改革</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highlight w:val="none"/>
          <w:lang w:val="en-US" w:eastAsia="zh-CN" w:bidi="ar"/>
        </w:rPr>
        <w:t>深化医共体高质量发展。</w:t>
      </w:r>
      <w:r>
        <w:rPr>
          <w:rFonts w:hint="default" w:ascii="Times New Roman" w:hAnsi="Times New Roman" w:eastAsia="方正仿宋_GBK" w:cs="Times New Roman"/>
          <w:kern w:val="2"/>
          <w:sz w:val="32"/>
          <w:szCs w:val="32"/>
          <w:highlight w:val="none"/>
          <w:lang w:val="en-US" w:eastAsia="zh-CN" w:bidi="ar"/>
        </w:rPr>
        <w:t>深化紧密型医共体高质量发展。实现分级诊疗体系高效运行，提升区域内健康服务能力与群众就医获得感。积极争取市属医院帮扶，加强乡村一体化管理与社区健康服务，统筹医共体发展规划、投入保障、运行机制等重大事项。重塑医共体内“六统一”管理运行机制，配合市级建设“七大智慧平台”，完善“五大共享中心”运行流程。优化整合区域医共体内康复医疗、老年护理和安宁疗护等资源，建立健全区级医院病人下沉激励机制。</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highlight w:val="none"/>
          <w:lang w:val="en-US" w:eastAsia="zh-CN" w:bidi="ar"/>
        </w:rPr>
        <w:t>深化 “三医协同”“六医统筹”改革。</w:t>
      </w:r>
      <w:r>
        <w:rPr>
          <w:rFonts w:hint="default" w:ascii="Times New Roman" w:hAnsi="Times New Roman" w:eastAsia="方正仿宋_GBK" w:cs="Times New Roman"/>
          <w:kern w:val="2"/>
          <w:sz w:val="32"/>
          <w:szCs w:val="32"/>
          <w:highlight w:val="none"/>
          <w:lang w:val="en-US" w:eastAsia="zh-CN" w:bidi="ar"/>
        </w:rPr>
        <w:t>学习推广“三明”医改经验，加快推进数字化赋能“三医协同”“六医统筹”改革，构建全流程智慧健康便民服务、全视角智慧医保多维治理、全链条药品追溯监管、全环节医疗服务行为智慧监管等4大应用场景，实现“三医”资源统筹、业务调度和全局监管有机统一。推进优质医疗资源扩容下沉，控制医药费用不合理增长，持续推动药品耗材集采改革和</w:t>
      </w:r>
      <w:r>
        <w:rPr>
          <w:rFonts w:hint="default" w:ascii="Times New Roman" w:hAnsi="Times New Roman" w:eastAsia="方正仿宋_GBK" w:cs="Times New Roman"/>
          <w:kern w:val="0"/>
          <w:sz w:val="31"/>
          <w:szCs w:val="31"/>
          <w:highlight w:val="none"/>
          <w:lang w:val="en-US" w:eastAsia="zh-CN" w:bidi="ar"/>
        </w:rPr>
        <w:t>深化医保支付方式改革</w:t>
      </w:r>
      <w:r>
        <w:rPr>
          <w:rFonts w:hint="default" w:ascii="Times New Roman" w:hAnsi="Times New Roman" w:eastAsia="方正仿宋_GBK" w:cs="Times New Roman"/>
          <w:kern w:val="2"/>
          <w:sz w:val="32"/>
          <w:szCs w:val="32"/>
          <w:highlight w:val="none"/>
          <w:lang w:val="en-US" w:eastAsia="zh-CN" w:bidi="ar"/>
        </w:rPr>
        <w:t>。</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cs="Times New Roman"/>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lang w:val="en-US" w:eastAsia="zh-CN" w:bidi="ar"/>
        </w:rPr>
        <w:t>深化公立医院改革。</w:t>
      </w:r>
      <w:r>
        <w:rPr>
          <w:rFonts w:hint="default" w:ascii="Times New Roman" w:hAnsi="Times New Roman" w:eastAsia="方正仿宋_GBK" w:cs="Times New Roman"/>
          <w:bCs w:val="0"/>
          <w:kern w:val="2"/>
          <w:sz w:val="32"/>
          <w:szCs w:val="32"/>
          <w:lang w:val="en-US" w:eastAsia="zh-CN" w:bidi="ar"/>
        </w:rPr>
        <w:t>加快建立现代医院管理制度，全面落实党委领导下的院长负责制。健全公立医院财政稳定投入机制</w:t>
      </w:r>
      <w:r>
        <w:rPr>
          <w:rFonts w:hint="default" w:ascii="Times New Roman" w:hAnsi="Times New Roman" w:eastAsia="方正仿宋_GBK" w:cs="Times New Roman"/>
          <w:bCs w:val="0"/>
          <w:kern w:val="2"/>
          <w:sz w:val="32"/>
          <w:szCs w:val="32"/>
          <w:highlight w:val="none"/>
          <w:lang w:val="en-US" w:eastAsia="zh-CN" w:bidi="ar"/>
        </w:rPr>
        <w:t>，加大财政投入力度，强化全面预算管理，稳妥化解公立医院债务风险。完善编制动态调整机制，给予医院一定编制保障自主权。深化薪酬制度改革，落实“两个允许”政策，推进“三个结构调整”，逐步缩小公立医疗机构间和机构内不同专业和科室间薪酬</w:t>
      </w:r>
      <w:r>
        <w:rPr>
          <w:rFonts w:hint="default" w:ascii="Times New Roman" w:hAnsi="Times New Roman" w:eastAsia="方正仿宋_GBK" w:cs="Times New Roman"/>
          <w:bCs w:val="0"/>
          <w:kern w:val="2"/>
          <w:sz w:val="32"/>
          <w:szCs w:val="32"/>
          <w:lang w:val="en-US" w:eastAsia="zh-CN" w:bidi="ar"/>
        </w:rPr>
        <w:t>水平差距、逐步增加医务人员固定薪酬占比。到2030年，公立医院人员费用占比45%以上，医务人员固定收入占比50%以上。动态调整医疗服务价格，建立以医疗服务为主导的收费机制，重点提高技术劳动类项目价格，到2030年，公立医院医疗服务收入（不含药品、耗材、检查、化验）占比达40%以上。</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highlight w:val="none"/>
          <w:lang w:val="en-US" w:eastAsia="zh-CN" w:bidi="ar"/>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highlight w:val="none"/>
          <w:lang w:val="en-US" w:eastAsia="zh-CN" w:bidi="ar"/>
        </w:rPr>
        <w:t>稳妥推进养老和殡葬改革</w:t>
      </w:r>
    </w:p>
    <w:p>
      <w:pPr>
        <w:keepNext w:val="0"/>
        <w:keepLines w:val="0"/>
        <w:widowControl w:val="0"/>
        <w:suppressLineNumbers w:val="0"/>
        <w:autoSpaceDE w:val="0"/>
        <w:autoSpaceDN/>
        <w:adjustRightInd w:val="0"/>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highlight w:val="none"/>
          <w:lang w:val="en-US" w:eastAsia="zh-CN" w:bidi="ar"/>
        </w:rPr>
        <w:t>实施《铜梁区公办养老机构开展经济困难人员集中照护和社会老年人托养服务工作方案》，在做好兜底保障基础上，向社会开放富余床位，推动公办养老机构从“单一兜底”向“兜底+普惠”融合改革。健全养老机构食堂全链条闭环监管体系，创新建立“三必三亮晒”机制，以“采购必验、加工必督、质量必评”筑牢安全防线，以“后厨亮晒、账目亮晒、问题亮晒”规范监管透明。积极探索“AI+养老”，推动人工智能与数字化双向赋能，促进新一代信息技术及移动终端、可穿戴设备、服务机器人等智能设备在养老服务场景集成应用。</w:t>
      </w:r>
      <w:r>
        <w:rPr>
          <w:rFonts w:hint="default" w:ascii="Times New Roman" w:hAnsi="Times New Roman" w:eastAsia="方正仿宋_GBK" w:cs="Times New Roman"/>
          <w:kern w:val="2"/>
          <w:sz w:val="32"/>
          <w:szCs w:val="32"/>
          <w:lang w:val="en-US" w:eastAsia="zh-CN" w:bidi="ar"/>
        </w:rPr>
        <w:t>稳妥执行火葬政策，稳步有序扩大火葬覆盖范围，2030年火葬区人口覆盖率达70%。</w:t>
      </w:r>
      <w:r>
        <w:rPr>
          <w:rFonts w:hint="default" w:ascii="Times New Roman" w:hAnsi="Times New Roman" w:eastAsia="方正仿宋_GBK" w:cs="Times New Roman"/>
          <w:strike w:val="0"/>
          <w:dstrike w:val="0"/>
          <w:kern w:val="2"/>
          <w:sz w:val="32"/>
          <w:szCs w:val="32"/>
          <w:highlight w:val="none"/>
          <w:lang w:val="en-US" w:eastAsia="zh-CN" w:bidi="ar"/>
        </w:rPr>
        <w:t>稳步推广树葬、花葬、草坪葬、深埋等生态安葬方式，</w:t>
      </w:r>
      <w:r>
        <w:rPr>
          <w:rFonts w:hint="default" w:ascii="Times New Roman" w:hAnsi="Times New Roman" w:eastAsia="方正仿宋_GBK" w:cs="Times New Roman"/>
          <w:kern w:val="2"/>
          <w:sz w:val="32"/>
          <w:szCs w:val="32"/>
          <w:highlight w:val="none"/>
          <w:lang w:val="en-US" w:eastAsia="zh-CN" w:bidi="ar"/>
        </w:rPr>
        <w:t>严禁建设“活人墓”、硬化大墓及宗族墓地，持续推进殡葬移风易俗。</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方正黑体_GBK" w:cs="Times New Roman"/>
                <w:kern w:val="2"/>
                <w:sz w:val="21"/>
                <w:szCs w:val="21"/>
              </w:rPr>
            </w:pPr>
            <w:r>
              <w:rPr>
                <w:rFonts w:hint="default" w:ascii="Times New Roman" w:hAnsi="Times New Roman" w:eastAsia="方正黑体_GBK" w:cs="Times New Roman"/>
                <w:kern w:val="2"/>
                <w:sz w:val="28"/>
                <w:szCs w:val="28"/>
                <w:lang w:val="en-US" w:eastAsia="zh-CN" w:bidi="ar"/>
              </w:rPr>
              <w:t>专栏7：</w:t>
            </w:r>
            <w:r>
              <w:rPr>
                <w:rFonts w:hint="default" w:ascii="Times New Roman" w:hAnsi="Times New Roman" w:eastAsia="方正黑体_GBK" w:cs="Times New Roman"/>
                <w:kern w:val="2"/>
                <w:sz w:val="32"/>
                <w:szCs w:val="32"/>
                <w:lang w:val="en-US" w:eastAsia="zh-CN" w:bidi="ar"/>
              </w:rPr>
              <w:t>服务供给改革创新项目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cs="Times New Roman"/>
                <w:sz w:val="24"/>
                <w:szCs w:val="24"/>
              </w:rPr>
            </w:pPr>
            <w:r>
              <w:rPr>
                <w:rFonts w:hint="default" w:ascii="Times New Roman" w:hAnsi="Times New Roman" w:eastAsia="方正黑体_GBK" w:cs="Times New Roman"/>
                <w:b w:val="0"/>
                <w:bCs w:val="0"/>
                <w:kern w:val="2"/>
                <w:sz w:val="24"/>
                <w:szCs w:val="24"/>
                <w:highlight w:val="none"/>
                <w:lang w:val="en-US" w:eastAsia="zh-CN" w:bidi="ar"/>
              </w:rPr>
              <w:t>1.县域高中振兴改革试点。</w:t>
            </w:r>
            <w:r>
              <w:rPr>
                <w:rFonts w:hint="default" w:ascii="Times New Roman" w:hAnsi="Times New Roman" w:eastAsia="方正仿宋_GBK" w:cs="Times New Roman"/>
                <w:i w:val="0"/>
                <w:iCs w:val="0"/>
                <w:kern w:val="0"/>
                <w:sz w:val="24"/>
                <w:szCs w:val="24"/>
                <w:lang w:val="en-US" w:eastAsia="zh-CN" w:bidi="ar"/>
              </w:rPr>
              <w:t>支持铜梁中学创建重庆市首批“新卓越”普通高中，打造县域高中振兴改革示范点。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cs="Times New Roman"/>
                <w:sz w:val="24"/>
                <w:szCs w:val="24"/>
              </w:rPr>
            </w:pPr>
            <w:r>
              <w:rPr>
                <w:rFonts w:hint="default" w:ascii="Times New Roman" w:hAnsi="Times New Roman" w:eastAsia="方正黑体_GBK" w:cs="Times New Roman"/>
                <w:b w:val="0"/>
                <w:bCs w:val="0"/>
                <w:kern w:val="2"/>
                <w:sz w:val="24"/>
                <w:szCs w:val="24"/>
                <w:highlight w:val="none"/>
                <w:lang w:val="en-US" w:eastAsia="zh-CN" w:bidi="ar"/>
              </w:rPr>
              <w:t>2.“双盲选”师生匹配机制改革。</w:t>
            </w:r>
            <w:r>
              <w:rPr>
                <w:rFonts w:hint="default" w:ascii="Times New Roman" w:hAnsi="Times New Roman" w:eastAsia="方正仿宋_GBK" w:cs="Times New Roman"/>
                <w:i w:val="0"/>
                <w:iCs w:val="0"/>
                <w:kern w:val="0"/>
                <w:sz w:val="24"/>
                <w:szCs w:val="24"/>
                <w:lang w:val="en-US" w:eastAsia="zh-CN" w:bidi="ar"/>
              </w:rPr>
              <w:t>推行教育领域“双盲选”师生匹配机制改革，打破固定分班模式，实现师资与学生科学匹配，解决部分学校大班额突出、师资分配不均问题。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i w:val="0"/>
                <w:iCs w:val="0"/>
                <w:kern w:val="0"/>
                <w:sz w:val="24"/>
                <w:szCs w:val="24"/>
                <w:lang w:val="en-US" w:eastAsia="zh-CN" w:bidi="ar"/>
              </w:rPr>
            </w:pPr>
            <w:r>
              <w:rPr>
                <w:rFonts w:hint="default" w:ascii="Times New Roman" w:hAnsi="Times New Roman" w:eastAsia="方正黑体_GBK" w:cs="Times New Roman"/>
                <w:b w:val="0"/>
                <w:bCs w:val="0"/>
                <w:kern w:val="2"/>
                <w:sz w:val="24"/>
                <w:szCs w:val="24"/>
                <w:highlight w:val="none"/>
                <w:lang w:val="en-US" w:eastAsia="zh-CN" w:bidi="ar"/>
              </w:rPr>
              <w:t>3.义务教育阶段学校“弹性空间+模块化建设”改革。</w:t>
            </w:r>
            <w:r>
              <w:rPr>
                <w:rFonts w:hint="default" w:ascii="Times New Roman" w:hAnsi="Times New Roman" w:eastAsia="方正仿宋_GBK" w:cs="Times New Roman"/>
                <w:i w:val="0"/>
                <w:iCs w:val="0"/>
                <w:kern w:val="0"/>
                <w:sz w:val="24"/>
                <w:szCs w:val="24"/>
                <w:lang w:val="en-US" w:eastAsia="zh-CN" w:bidi="ar"/>
              </w:rPr>
              <w:t>推动区教委、区住房城乡建委、区应急管理局联合研究校舍“弹性空间+模块化建设”模式，改革相关审批事项，提升资源复用效率。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i w:val="0"/>
                <w:iCs w:val="0"/>
                <w:kern w:val="0"/>
                <w:sz w:val="22"/>
                <w:szCs w:val="22"/>
                <w:lang w:val="en-US" w:eastAsia="zh-CN" w:bidi="ar"/>
              </w:rPr>
            </w:pPr>
            <w:r>
              <w:rPr>
                <w:rFonts w:hint="default" w:ascii="Times New Roman" w:hAnsi="Times New Roman" w:eastAsia="方正黑体_GBK" w:cs="Times New Roman"/>
                <w:b w:val="0"/>
                <w:bCs w:val="0"/>
                <w:kern w:val="2"/>
                <w:sz w:val="24"/>
                <w:szCs w:val="24"/>
                <w:highlight w:val="none"/>
                <w:lang w:val="en-US" w:eastAsia="zh-CN" w:bidi="ar"/>
              </w:rPr>
              <w:t>4.创新医防融合机制改革。</w:t>
            </w:r>
            <w:r>
              <w:rPr>
                <w:rFonts w:hint="default" w:ascii="Times New Roman" w:hAnsi="Times New Roman" w:eastAsia="方正仿宋_GBK" w:cs="Times New Roman"/>
                <w:i w:val="0"/>
                <w:iCs w:val="0"/>
                <w:kern w:val="0"/>
                <w:sz w:val="24"/>
                <w:szCs w:val="24"/>
                <w:lang w:val="en-US" w:eastAsia="zh-CN" w:bidi="ar"/>
              </w:rPr>
              <w:t>探索建设“公共卫生联合体”，以结核病诊疗为切口构建“防筛诊治康管”全周期一体化模式。</w:t>
            </w:r>
          </w:p>
        </w:tc>
      </w:tr>
    </w:tbl>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u w:val="single"/>
        </w:rPr>
      </w:pPr>
      <w:r>
        <w:rPr>
          <w:rFonts w:hint="default" w:ascii="Times New Roman" w:hAnsi="Times New Roman" w:eastAsia="方正楷体_GBK" w:cs="Times New Roman"/>
          <w:b w:val="0"/>
          <w:bCs w:val="0"/>
          <w:kern w:val="2"/>
          <w:sz w:val="32"/>
          <w:szCs w:val="32"/>
          <w:lang w:val="en-US" w:eastAsia="zh-CN" w:bidi="ar"/>
        </w:rPr>
        <w:t>（八）推进服务数智化转型</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1.</w:t>
      </w:r>
      <w:r>
        <w:rPr>
          <w:rFonts w:hint="default" w:ascii="Times New Roman" w:hAnsi="Times New Roman" w:eastAsia="方正仿宋_GBK" w:cs="Times New Roman"/>
          <w:b/>
          <w:bCs/>
          <w:kern w:val="2"/>
          <w:sz w:val="32"/>
          <w:szCs w:val="32"/>
          <w:lang w:val="en-US" w:eastAsia="zh-CN" w:bidi="ar"/>
        </w:rPr>
        <w:t>持续夯实各领域数字硬件底座</w:t>
      </w:r>
      <w:r>
        <w:rPr>
          <w:rFonts w:hint="default" w:ascii="Times New Roman" w:hAnsi="Times New Roman" w:eastAsia="方正仿宋_GBK" w:cs="Times New Roman"/>
          <w:kern w:val="2"/>
          <w:sz w:val="32"/>
          <w:szCs w:val="32"/>
          <w:lang w:val="en-US" w:eastAsia="zh-CN" w:bidi="ar"/>
        </w:rPr>
        <w:t>。系统完善教育、卫生、民政数字化基础设施体系。教育领域迭代升级校园网络、算力存储设施，建成教育专网、智慧教育平台和大数据中心。卫生领域优化健康专网承载能力，构建全域贯通的智能化网络体系，实现各级医疗机构全覆盖接入与多网异构融合。民政领域依托市级统一数据底座，对接各类智慧服务平台，全面夯实全领域数字化发展硬件根基。</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2.</w:t>
      </w:r>
      <w:r>
        <w:rPr>
          <w:rFonts w:hint="default" w:ascii="Times New Roman" w:hAnsi="Times New Roman" w:eastAsia="方正仿宋_GBK" w:cs="Times New Roman"/>
          <w:b/>
          <w:bCs/>
          <w:kern w:val="2"/>
          <w:sz w:val="32"/>
          <w:szCs w:val="32"/>
          <w:lang w:val="en-US" w:eastAsia="zh-CN" w:bidi="ar"/>
        </w:rPr>
        <w:t>持续拓展人工智能赋能场景</w:t>
      </w:r>
      <w:r>
        <w:rPr>
          <w:rFonts w:hint="default" w:ascii="Times New Roman" w:hAnsi="Times New Roman" w:eastAsia="方正仿宋_GBK" w:cs="Times New Roman"/>
          <w:kern w:val="2"/>
          <w:sz w:val="32"/>
          <w:szCs w:val="32"/>
          <w:lang w:val="en-US" w:eastAsia="zh-CN" w:bidi="ar"/>
        </w:rPr>
        <w:t>。推动数智技术与“老弱小”服务深度融合创新。教育领域推行人工智能与课堂教学、校园管理深度融合，搭建智慧教学场景，全面提升师生数字素养。卫生领域深化AI在临床诊疗、基层辅助诊断、急救调度、公共卫生防控中的规模化应用，提升医疗救治与疫情防控智能化水平。民政领域积极探索AI+养老模式，推动智能设备广泛应用于养老服务场景，丰富智慧养老服务供给。</w:t>
      </w:r>
    </w:p>
    <w:p>
      <w:pPr>
        <w:keepNext w:val="0"/>
        <w:keepLines w:val="0"/>
        <w:widowControl w:val="0"/>
        <w:suppressLineNumbers w:val="0"/>
        <w:autoSpaceDE w:val="0"/>
        <w:autoSpaceDN/>
        <w:spacing w:before="0" w:beforeAutospacing="0" w:after="0" w:afterAutospacing="0" w:line="594" w:lineRule="exact"/>
        <w:ind w:left="0" w:right="0" w:firstLine="640" w:firstLineChars="200"/>
        <w:jc w:val="both"/>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b/>
          <w:bCs/>
          <w:kern w:val="2"/>
          <w:sz w:val="32"/>
          <w:szCs w:val="32"/>
          <w:lang w:val="en-US" w:eastAsia="zh-CN" w:bidi="ar"/>
        </w:rPr>
        <w:t>持续搭建一体化数字服务平台</w:t>
      </w:r>
      <w:r>
        <w:rPr>
          <w:rFonts w:hint="default" w:ascii="Times New Roman" w:hAnsi="Times New Roman" w:eastAsia="方正仿宋_GBK" w:cs="Times New Roman"/>
          <w:kern w:val="2"/>
          <w:sz w:val="32"/>
          <w:szCs w:val="32"/>
          <w:lang w:val="en-US" w:eastAsia="zh-CN" w:bidi="ar"/>
        </w:rPr>
        <w:t>。破除数据壁垒，实现资源集成共享与治理提质增效。教育领域统一全域数据标准，打通教学管评研数据链条，依托跨校共享平台实现优质教育资源城乡均衡供给。卫生领域深化行业数据治理，建设数字医共体，打造智慧急救、慢性病智能管控数字化体系。民政领域推进跨部门数据互通和业务集成，构建全生命周期“老弱小”服务“一件事”数字化服务体系。</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方正黑体_GBK" w:cs="Times New Roman"/>
                <w:kern w:val="2"/>
                <w:sz w:val="21"/>
                <w:szCs w:val="21"/>
              </w:rPr>
            </w:pPr>
            <w:r>
              <w:rPr>
                <w:rFonts w:hint="default" w:ascii="Times New Roman" w:hAnsi="Times New Roman" w:eastAsia="方正黑体_GBK" w:cs="Times New Roman"/>
                <w:kern w:val="2"/>
                <w:sz w:val="28"/>
                <w:szCs w:val="28"/>
                <w:lang w:val="en-US" w:eastAsia="zh-CN" w:bidi="ar"/>
              </w:rPr>
              <w:t>专栏8：</w:t>
            </w:r>
            <w:r>
              <w:rPr>
                <w:rFonts w:hint="default" w:ascii="Times New Roman" w:hAnsi="Times New Roman" w:eastAsia="方正黑体_GBK" w:cs="Times New Roman"/>
                <w:kern w:val="2"/>
                <w:sz w:val="32"/>
                <w:szCs w:val="32"/>
                <w:lang w:val="en-US" w:eastAsia="zh-CN" w:bidi="ar"/>
              </w:rPr>
              <w:t>数智化服务转型项目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55" w:hRule="atLeast"/>
        </w:trPr>
        <w:tc>
          <w:tcPr>
            <w:tcW w:w="9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黑体_GBK" w:cs="Times New Roman"/>
                <w:b w:val="0"/>
                <w:bCs w:val="0"/>
                <w:kern w:val="2"/>
                <w:sz w:val="24"/>
                <w:szCs w:val="24"/>
                <w:highlight w:val="none"/>
                <w:lang w:val="en-US" w:eastAsia="zh-CN" w:bidi="ar"/>
              </w:rPr>
              <w:t>1.打造“一件事”集成服务平台。</w:t>
            </w:r>
            <w:r>
              <w:rPr>
                <w:rFonts w:hint="default" w:ascii="Times New Roman" w:hAnsi="Times New Roman" w:eastAsia="方正仿宋_GBK" w:cs="Times New Roman"/>
                <w:kern w:val="0"/>
                <w:sz w:val="24"/>
                <w:szCs w:val="24"/>
                <w:lang w:val="en-US" w:eastAsia="zh-CN" w:bidi="ar"/>
              </w:rPr>
              <w:t>聚焦“老弱小”核心服务对象，统筹整合</w:t>
            </w:r>
            <w:r>
              <w:rPr>
                <w:rFonts w:hint="default" w:ascii="Times New Roman" w:hAnsi="Times New Roman" w:eastAsia="方正仿宋_GBK" w:cs="Times New Roman"/>
                <w:b w:val="0"/>
                <w:bCs/>
                <w:kern w:val="0"/>
                <w:sz w:val="24"/>
                <w:szCs w:val="24"/>
                <w:lang w:val="en-US" w:eastAsia="zh-CN" w:bidi="ar"/>
              </w:rPr>
              <w:t>教育、医疗卫生、民政三</w:t>
            </w:r>
            <w:r>
              <w:rPr>
                <w:rFonts w:hint="default" w:ascii="Times New Roman" w:hAnsi="Times New Roman" w:eastAsia="方正仿宋_GBK" w:cs="Times New Roman"/>
                <w:kern w:val="0"/>
                <w:sz w:val="24"/>
                <w:szCs w:val="24"/>
                <w:lang w:val="en-US" w:eastAsia="zh-CN" w:bidi="ar"/>
              </w:rPr>
              <w:t>大主管部门涉及“老弱小”高频政务服务事项，将三部门分头办理的关联事项打造成线上一体化集成办事载体，主要包含事项集成整合、一体化线上办事功能、跨部门协同审批调度、精准关爱服务延伸等四大板块。</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黑体_GBK" w:cs="Times New Roman"/>
                <w:b w:val="0"/>
                <w:bCs w:val="0"/>
                <w:kern w:val="2"/>
                <w:sz w:val="24"/>
                <w:szCs w:val="24"/>
                <w:highlight w:val="none"/>
                <w:lang w:val="en-US" w:eastAsia="zh-CN" w:bidi="ar"/>
              </w:rPr>
              <w:t>2. "智教"人工智能+教育计划。</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夯实教育数字化硬件基座。实施教育数字化新型基础设施迭代升级；升级教育城域网，确保教育专网高速稳定运行；提升铜梁区智慧教育平台功能；健全网络安全防护体系。提升师生数字素养与技能。面向全体教师，实施分层分类数字素养提升工程；面向全体学生，开齐开足信息科技课程，加强人工智能通识教育。深化智慧教育平台融合应用。全面深化国家智慧教育平台应用，高质量完成市级部署的应用试点任务；对接国家中小学智慧教育平台和“渝慧学”体系；开发蕴含铜梁文化与本地特色的数字课程。创新“人工智能 +”教育教学模式。 打造“人工智能+教育”特色应用场景；建设“人工智能+教育”标杆学校。构建数智驱动现代化教育治理体系。建成区级教育治理数字驾驶舱；打通市级应用交互通道。</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黑体_GBK" w:cs="Times New Roman"/>
                <w:b w:val="0"/>
                <w:bCs w:val="0"/>
                <w:kern w:val="2"/>
                <w:sz w:val="24"/>
                <w:szCs w:val="24"/>
                <w:highlight w:val="none"/>
                <w:lang w:val="en-US" w:eastAsia="zh-CN" w:bidi="ar"/>
              </w:rPr>
              <w:t>3.铜梁区县域医共体七大智慧平台。</w:t>
            </w:r>
            <w:r>
              <w:rPr>
                <w:rFonts w:hint="default" w:ascii="Times New Roman" w:hAnsi="Times New Roman" w:eastAsia="方正仿宋_GBK" w:cs="Times New Roman"/>
                <w:kern w:val="0"/>
                <w:sz w:val="24"/>
                <w:szCs w:val="24"/>
                <w:lang w:val="en-US" w:eastAsia="zh-CN" w:bidi="ar"/>
              </w:rPr>
              <w:t>聚焦基本医疗、急诊急救、慢病管理和药事管理等方面，统筹建立区县域“七大智慧平台”，包括3大智慧医疗平台、2大智慧应急平台、2大智慧管理平台。</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黑体_GBK" w:cs="Times New Roman"/>
                <w:b w:val="0"/>
                <w:bCs w:val="0"/>
                <w:kern w:val="2"/>
                <w:sz w:val="24"/>
                <w:szCs w:val="24"/>
                <w:highlight w:val="none"/>
                <w:lang w:val="en-US" w:eastAsia="zh-CN" w:bidi="ar"/>
              </w:rPr>
            </w:pPr>
            <w:r>
              <w:rPr>
                <w:rFonts w:hint="default" w:ascii="Times New Roman" w:hAnsi="Times New Roman" w:eastAsia="方正黑体_GBK" w:cs="Times New Roman"/>
                <w:b w:val="0"/>
                <w:bCs w:val="0"/>
                <w:kern w:val="2"/>
                <w:sz w:val="24"/>
                <w:szCs w:val="24"/>
                <w:highlight w:val="none"/>
                <w:lang w:val="en-US" w:eastAsia="zh-CN" w:bidi="ar"/>
              </w:rPr>
              <w:t>4.推动区人民医院、区中医院“数字医院”项目建设。</w:t>
            </w:r>
          </w:p>
          <w:p>
            <w:pPr>
              <w:keepNext w:val="0"/>
              <w:keepLines w:val="0"/>
              <w:widowControl w:val="0"/>
              <w:suppressLineNumbers w:val="0"/>
              <w:spacing w:before="0" w:beforeAutospacing="0" w:after="0" w:afterAutospacing="0"/>
              <w:ind w:left="0" w:right="0"/>
              <w:jc w:val="both"/>
              <w:rPr>
                <w:rFonts w:hint="default" w:ascii="Times New Roman" w:hAnsi="Times New Roman" w:eastAsia="方正仿宋_GBK" w:cs="Times New Roman"/>
                <w:kern w:val="0"/>
                <w:sz w:val="21"/>
                <w:szCs w:val="21"/>
                <w:lang w:val="en-US" w:eastAsia="zh-CN" w:bidi="ar"/>
              </w:rPr>
            </w:pPr>
          </w:p>
        </w:tc>
      </w:tr>
    </w:tbl>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黑体_GBK" w:cs="Times New Roman"/>
          <w:kern w:val="2"/>
          <w:sz w:val="32"/>
          <w:szCs w:val="32"/>
        </w:rPr>
      </w:pPr>
      <w:r>
        <w:rPr>
          <w:rFonts w:hint="default" w:ascii="Times New Roman" w:hAnsi="Times New Roman" w:eastAsia="方正黑体_GBK" w:cs="Times New Roman"/>
          <w:kern w:val="2"/>
          <w:sz w:val="32"/>
          <w:szCs w:val="32"/>
          <w:lang w:val="en-US" w:eastAsia="zh-CN" w:bidi="ar"/>
        </w:rPr>
        <w:t>三、规划实施保障</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i w:val="0"/>
          <w:iCs w:val="0"/>
          <w:caps w:val="0"/>
          <w:spacing w:val="0"/>
          <w:kern w:val="0"/>
          <w:sz w:val="32"/>
          <w:szCs w:val="32"/>
          <w:shd w:val="clear" w:fill="FFFFFF"/>
        </w:rPr>
      </w:pPr>
      <w:r>
        <w:rPr>
          <w:rFonts w:hint="default" w:ascii="Times New Roman" w:hAnsi="Times New Roman" w:eastAsia="方正楷体_GBK" w:cs="Times New Roman"/>
          <w:b w:val="0"/>
          <w:bCs w:val="0"/>
          <w:kern w:val="2"/>
          <w:sz w:val="32"/>
          <w:szCs w:val="32"/>
          <w:lang w:val="en-US" w:eastAsia="zh-CN" w:bidi="ar"/>
        </w:rPr>
        <w:t>（一）加强组织领导与统筹协调</w:t>
      </w:r>
    </w:p>
    <w:p>
      <w:pPr>
        <w:keepNext w:val="0"/>
        <w:keepLines w:val="0"/>
        <w:pageBreakBefore w:val="0"/>
        <w:widowControl/>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i w:val="0"/>
          <w:iCs w:val="0"/>
          <w:caps w:val="0"/>
          <w:color w:val="auto"/>
          <w:spacing w:val="0"/>
          <w:kern w:val="0"/>
          <w:sz w:val="32"/>
          <w:szCs w:val="32"/>
          <w:shd w:val="clear" w:fill="FFFFFF"/>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深入贯彻习近平新时代中国特色社会主义思想，全面落实党建统领“885”工作机制，坚决对标落实上级各项决策部署，健全闭环落实工作体系，切实把党的政治优势、组织优势转化为推动全生命周期人口服务体系建设的强大动能。构建区委统筹、政府主抓、部门协同、镇街落实的层级化责任体系，建立常态化议事协调、跨部门会商推进和督查督办机制，系统破解跨领域协同治理难题，保障服务体系建设高效推进。立足平安铜梁、法治铜梁建设总体部署，聚焦校园、卫生、民政等领域源头防控，以数字赋能健全全生命周期服务安全闭环治理，强化法治监管以推动服务治理提质增效。</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i w:val="0"/>
          <w:iCs w:val="0"/>
          <w:caps w:val="0"/>
          <w:color w:val="auto"/>
          <w:spacing w:val="0"/>
          <w:kern w:val="0"/>
          <w:sz w:val="32"/>
          <w:szCs w:val="32"/>
          <w:shd w:val="clear" w:fill="FFFFFF"/>
        </w:rPr>
      </w:pPr>
      <w:r>
        <w:rPr>
          <w:rFonts w:hint="default" w:ascii="Times New Roman" w:hAnsi="Times New Roman" w:eastAsia="方正楷体_GBK" w:cs="Times New Roman"/>
          <w:b w:val="0"/>
          <w:bCs w:val="0"/>
          <w:color w:val="auto"/>
          <w:kern w:val="2"/>
          <w:sz w:val="32"/>
          <w:szCs w:val="32"/>
          <w:lang w:val="en-US" w:eastAsia="zh-CN" w:bidi="ar"/>
        </w:rPr>
        <w:t>（二）强化要素支撑与投入保障</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坚持规划引领、要素保障，将建设经费纳入区级财政预算，优化资金投向重点领域与重大项目，创新投入模式、落实税费政策，撬动社会资本参与；统筹国土空间保障项目用地，完善人才引育激励机制，盘活存量资源提升利用效能。深化体制改革，放宽市场准入，破除行业壁垒，打破公办独办格局，畅通社会资本参与渠道。整合政府、企业、社会组织等多方力量，分类构建教育、医疗、养老协同供给体系，补齐资源短板。依托各类联合体、共同体推动优质资源辐射共享，促进全域服务均衡发展。坚守公益本位，引导社会力量深耕普惠紧缺领域，丰富服务品类，兼顾运营活力与公益属性，健全多层次公共服务体系。</w:t>
      </w:r>
    </w:p>
    <w:p>
      <w:pPr>
        <w:keepNext w:val="0"/>
        <w:keepLines w:val="0"/>
        <w:pageBreakBefore w:val="0"/>
        <w:widowControl w:val="0"/>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i w:val="0"/>
          <w:iCs w:val="0"/>
          <w:caps w:val="0"/>
          <w:color w:val="auto"/>
          <w:spacing w:val="0"/>
          <w:kern w:val="0"/>
          <w:sz w:val="32"/>
          <w:szCs w:val="32"/>
          <w:shd w:val="clear" w:fill="FFFFFF"/>
        </w:rPr>
      </w:pPr>
      <w:r>
        <w:rPr>
          <w:rFonts w:hint="default" w:ascii="Times New Roman" w:hAnsi="Times New Roman" w:eastAsia="方正楷体_GBK" w:cs="Times New Roman"/>
          <w:b w:val="0"/>
          <w:bCs w:val="0"/>
          <w:color w:val="auto"/>
          <w:kern w:val="2"/>
          <w:sz w:val="32"/>
          <w:szCs w:val="32"/>
          <w:lang w:val="en-US" w:eastAsia="zh-CN" w:bidi="ar"/>
        </w:rPr>
        <w:t>（三）健全监测评估与动态调整</w:t>
      </w:r>
    </w:p>
    <w:p>
      <w:pPr>
        <w:keepNext w:val="0"/>
        <w:keepLines w:val="0"/>
        <w:pageBreakBefore w:val="0"/>
        <w:widowControl/>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建立规划实施全过程监测评估体系，细化量化各项指标任务和权责分工，常态化开展动态监测、跟踪督导、中期评估和总结评估，引入第三方专业化评价机制，强化评估结果刚性运用，将实施成效与绩效考核、干部考评深度挂钩，结合宏观政策调整、经济社会发展态势和群众服务需求变化，依规开展规划动态优化调整，持续提升规划实施的科学性与实效性。</w:t>
      </w:r>
    </w:p>
    <w:p>
      <w:pPr>
        <w:keepNext w:val="0"/>
        <w:keepLines w:val="0"/>
        <w:pageBreakBefore w:val="0"/>
        <w:widowControl/>
        <w:suppressLineNumbers w:val="0"/>
        <w:kinsoku/>
        <w:wordWrap/>
        <w:overflowPunct/>
        <w:topLinePunct w:val="0"/>
        <w:autoSpaceDE w:val="0"/>
        <w:autoSpaceDN/>
        <w:bidi w:val="0"/>
        <w:snapToGrid/>
        <w:spacing w:beforeAutospacing="0" w:afterAutospacing="0" w:line="594" w:lineRule="exact"/>
        <w:ind w:right="0" w:firstLine="640" w:firstLineChars="200"/>
        <w:jc w:val="both"/>
        <w:textAlignment w:val="auto"/>
        <w:outlineLvl w:val="9"/>
        <w:rPr>
          <w:rFonts w:hint="default" w:ascii="Times New Roman" w:hAnsi="Times New Roman" w:eastAsia="方正楷体_GBK" w:cs="Times New Roman"/>
          <w:b w:val="0"/>
          <w:bCs w:val="0"/>
          <w:color w:val="auto"/>
          <w:kern w:val="2"/>
          <w:sz w:val="32"/>
          <w:szCs w:val="32"/>
          <w:lang w:val="en-US" w:eastAsia="zh-CN" w:bidi="ar"/>
        </w:rPr>
      </w:pPr>
      <w:r>
        <w:rPr>
          <w:rFonts w:hint="default" w:ascii="Times New Roman" w:hAnsi="Times New Roman" w:eastAsia="方正楷体_GBK" w:cs="Times New Roman"/>
          <w:b w:val="0"/>
          <w:bCs w:val="0"/>
          <w:color w:val="auto"/>
          <w:kern w:val="2"/>
          <w:sz w:val="32"/>
          <w:szCs w:val="32"/>
          <w:lang w:val="en-US" w:eastAsia="zh-CN" w:bidi="ar"/>
        </w:rPr>
        <w:t>（四）营造良好氛围与社会参与</w:t>
      </w:r>
    </w:p>
    <w:p>
      <w:pPr>
        <w:keepNext w:val="0"/>
        <w:keepLines w:val="0"/>
        <w:pageBreakBefore w:val="0"/>
        <w:widowControl/>
        <w:suppressLineNumbers w:val="0"/>
        <w:kinsoku/>
        <w:wordWrap/>
        <w:overflowPunct/>
        <w:topLinePunct w:val="0"/>
        <w:autoSpaceDE w:val="0"/>
        <w:autoSpaceDN/>
        <w:bidi w:val="0"/>
        <w:snapToGrid/>
        <w:spacing w:beforeAutospacing="0" w:afterAutospacing="0" w:line="594" w:lineRule="exact"/>
        <w:ind w:left="0" w:right="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坚持氛围营造与多元社会参与双向发力，构建共建共治共享发展格局。拓宽政策宣传宣讲矩阵，依托政务平台、主流媒体、基层线下宣讲多维渠道，系统解读公共服务政策、惠民举措与服务事项，扩大政策覆盖面与群众知晓度，厚植全社会支持参与的浓厚氛围。纵深落实全过程人民民主，依托基层民主单元、政协协商载体畅通民意收集渠道；联动工会、共青团、妇联及各类社会组织搭建常态化公众参与平台，完善群众、市场主体、社会力量协同供给、全程监督评价机制，擦亮统战特色工作品牌，充分汇聚各方资源智慧，全面激发社会各界参与建设的内生动力</w:t>
      </w:r>
      <w:r>
        <w:rPr>
          <w:rFonts w:hint="default" w:ascii="Times New Roman" w:hAnsi="Times New Roman" w:eastAsia="方正仿宋_GBK" w:cs="Times New Roman"/>
          <w:color w:val="auto"/>
          <w:kern w:val="2"/>
          <w:sz w:val="32"/>
          <w:szCs w:val="32"/>
          <w:highlight w:val="none"/>
          <w:lang w:val="en-US" w:eastAsia="zh-CN" w:bidi="ar"/>
        </w:rPr>
        <w:t>。</w:t>
      </w:r>
    </w:p>
    <w:sectPr>
      <w:footerReference r:id="rId4" w:type="default"/>
      <w:pgSz w:w="11906" w:h="16838"/>
      <w:pgMar w:top="1984" w:right="1446" w:bottom="1644" w:left="1446" w:header="851" w:footer="992" w:gutter="0"/>
      <w:pgNumType w:fmt="numberInDash" w:start="1"/>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00000001" w:usb1="08000000" w:usb2="00000000" w:usb3="00000000" w:csb0="00040000" w:csb1="00000000"/>
  </w:font>
  <w:font w:name="Microsoft JhengHei">
    <w:altName w:val="宋体"/>
    <w:panose1 w:val="020B0604030504040204"/>
    <w:charset w:val="88"/>
    <w:family w:val="swiss"/>
    <w:pitch w:val="default"/>
    <w:sig w:usb0="00000000" w:usb1="00000000" w:usb2="00000016" w:usb3="00000000" w:csb0="00100009" w:csb1="00000000"/>
  </w:font>
  <w:font w:name="方正楷体_GBK">
    <w:panose1 w:val="02000000000000000000"/>
    <w:charset w:val="86"/>
    <w:family w:val="auto"/>
    <w:pitch w:val="default"/>
    <w:sig w:usb0="00000001" w:usb1="08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仿宋">
    <w:altName w:val="方正仿宋_GBK"/>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仿宋_GB2312">
    <w:altName w:val="Arial Unicode MS"/>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- 3 -</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- 3 -</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MmQ4ODFiMzIzMWYxNjU0ZmQyMGEyODBiMTU1MmIifQ=="/>
  </w:docVars>
  <w:rsids>
    <w:rsidRoot w:val="00000000"/>
    <w:rsid w:val="02EE59E6"/>
    <w:rsid w:val="05B35096"/>
    <w:rsid w:val="06863B44"/>
    <w:rsid w:val="06DC3FF4"/>
    <w:rsid w:val="077F0AD4"/>
    <w:rsid w:val="07FFE8A7"/>
    <w:rsid w:val="0BE5211A"/>
    <w:rsid w:val="0BFE0063"/>
    <w:rsid w:val="0C0F0EA7"/>
    <w:rsid w:val="0CDD2D53"/>
    <w:rsid w:val="0D7868C1"/>
    <w:rsid w:val="0ED902FC"/>
    <w:rsid w:val="0F130CAE"/>
    <w:rsid w:val="0F4B0C4A"/>
    <w:rsid w:val="0F6E2388"/>
    <w:rsid w:val="12C0739F"/>
    <w:rsid w:val="160BE61C"/>
    <w:rsid w:val="168B3834"/>
    <w:rsid w:val="16D61EFC"/>
    <w:rsid w:val="16E13F3E"/>
    <w:rsid w:val="179FCADF"/>
    <w:rsid w:val="17D5261A"/>
    <w:rsid w:val="1B09278F"/>
    <w:rsid w:val="1DFFB99C"/>
    <w:rsid w:val="1F9F20EA"/>
    <w:rsid w:val="1FEFC455"/>
    <w:rsid w:val="1FF681B8"/>
    <w:rsid w:val="22266AF2"/>
    <w:rsid w:val="22F47C40"/>
    <w:rsid w:val="24380187"/>
    <w:rsid w:val="26FFE23E"/>
    <w:rsid w:val="276C7CFA"/>
    <w:rsid w:val="289F315B"/>
    <w:rsid w:val="28A349F9"/>
    <w:rsid w:val="29356F79"/>
    <w:rsid w:val="2B6FBD90"/>
    <w:rsid w:val="2BCDB931"/>
    <w:rsid w:val="2D430693"/>
    <w:rsid w:val="2F6B9656"/>
    <w:rsid w:val="2FAC11F0"/>
    <w:rsid w:val="2FCFBC1C"/>
    <w:rsid w:val="2FE06533"/>
    <w:rsid w:val="308E2433"/>
    <w:rsid w:val="32EB1476"/>
    <w:rsid w:val="359E5C85"/>
    <w:rsid w:val="35FF3545"/>
    <w:rsid w:val="369E65B1"/>
    <w:rsid w:val="373D3820"/>
    <w:rsid w:val="373DDCE0"/>
    <w:rsid w:val="37FE291A"/>
    <w:rsid w:val="38BA3D5F"/>
    <w:rsid w:val="3AAF4793"/>
    <w:rsid w:val="3ABF73E0"/>
    <w:rsid w:val="3B5F1048"/>
    <w:rsid w:val="3B66A352"/>
    <w:rsid w:val="3B73B93B"/>
    <w:rsid w:val="3BB7D0BE"/>
    <w:rsid w:val="3BFDAB29"/>
    <w:rsid w:val="3BFDD8EF"/>
    <w:rsid w:val="3C245ED1"/>
    <w:rsid w:val="3C319E78"/>
    <w:rsid w:val="3C431809"/>
    <w:rsid w:val="3E80785E"/>
    <w:rsid w:val="3EBB6499"/>
    <w:rsid w:val="3EE92FA6"/>
    <w:rsid w:val="3F273E03"/>
    <w:rsid w:val="3F2A4F27"/>
    <w:rsid w:val="3F3643C1"/>
    <w:rsid w:val="3F7F942C"/>
    <w:rsid w:val="3F9F37CE"/>
    <w:rsid w:val="3FFDC5A8"/>
    <w:rsid w:val="3FFEB195"/>
    <w:rsid w:val="407E7DCE"/>
    <w:rsid w:val="44EB8D92"/>
    <w:rsid w:val="45130EE2"/>
    <w:rsid w:val="451627E9"/>
    <w:rsid w:val="45D24718"/>
    <w:rsid w:val="48665751"/>
    <w:rsid w:val="499515AB"/>
    <w:rsid w:val="4A056E6A"/>
    <w:rsid w:val="4BFF6D02"/>
    <w:rsid w:val="4C60274C"/>
    <w:rsid w:val="4CB251D5"/>
    <w:rsid w:val="4DAC4971"/>
    <w:rsid w:val="4DAE276E"/>
    <w:rsid w:val="4E2A5615"/>
    <w:rsid w:val="51426BF5"/>
    <w:rsid w:val="5157224F"/>
    <w:rsid w:val="52FC1603"/>
    <w:rsid w:val="53FE999D"/>
    <w:rsid w:val="565E25A7"/>
    <w:rsid w:val="57F7A9AB"/>
    <w:rsid w:val="57FAD20F"/>
    <w:rsid w:val="58FE91DE"/>
    <w:rsid w:val="59EF7C90"/>
    <w:rsid w:val="5A875679"/>
    <w:rsid w:val="5ACF597F"/>
    <w:rsid w:val="5B29FF63"/>
    <w:rsid w:val="5BADF055"/>
    <w:rsid w:val="5BE79ECC"/>
    <w:rsid w:val="5C871960"/>
    <w:rsid w:val="5DFB788A"/>
    <w:rsid w:val="5DFF8B62"/>
    <w:rsid w:val="5EFD1A9C"/>
    <w:rsid w:val="5F63788A"/>
    <w:rsid w:val="5F7D450D"/>
    <w:rsid w:val="5FF45F68"/>
    <w:rsid w:val="5FF6AF4C"/>
    <w:rsid w:val="5FF7E85E"/>
    <w:rsid w:val="5FFF5479"/>
    <w:rsid w:val="63ED5C98"/>
    <w:rsid w:val="657F534E"/>
    <w:rsid w:val="65B375A3"/>
    <w:rsid w:val="65FD50E5"/>
    <w:rsid w:val="66C87FEF"/>
    <w:rsid w:val="67955879"/>
    <w:rsid w:val="67B30044"/>
    <w:rsid w:val="67B74A7F"/>
    <w:rsid w:val="695DFFBE"/>
    <w:rsid w:val="6AC50223"/>
    <w:rsid w:val="6AEE2079"/>
    <w:rsid w:val="6B2111D2"/>
    <w:rsid w:val="6B3929BF"/>
    <w:rsid w:val="6B9B10B4"/>
    <w:rsid w:val="6BD3B747"/>
    <w:rsid w:val="6C2E5ED2"/>
    <w:rsid w:val="6C6C46CF"/>
    <w:rsid w:val="6C975BF0"/>
    <w:rsid w:val="6CDDCC16"/>
    <w:rsid w:val="6D65A73D"/>
    <w:rsid w:val="6DC23B3F"/>
    <w:rsid w:val="6E33342B"/>
    <w:rsid w:val="6EBBF93A"/>
    <w:rsid w:val="6EEFB2F4"/>
    <w:rsid w:val="6F71D5F9"/>
    <w:rsid w:val="6FBFB54B"/>
    <w:rsid w:val="6FC37AD1"/>
    <w:rsid w:val="6FCCB06C"/>
    <w:rsid w:val="6FDFABC9"/>
    <w:rsid w:val="6FE949B4"/>
    <w:rsid w:val="6FFBD508"/>
    <w:rsid w:val="6FFD07BF"/>
    <w:rsid w:val="6FFD2713"/>
    <w:rsid w:val="6FFF2DDF"/>
    <w:rsid w:val="70651B61"/>
    <w:rsid w:val="70AF674B"/>
    <w:rsid w:val="711F2D7D"/>
    <w:rsid w:val="7173B1DC"/>
    <w:rsid w:val="72056557"/>
    <w:rsid w:val="72086354"/>
    <w:rsid w:val="722F68CA"/>
    <w:rsid w:val="723C5C83"/>
    <w:rsid w:val="72436E91"/>
    <w:rsid w:val="72FBDE3E"/>
    <w:rsid w:val="73FF8A6F"/>
    <w:rsid w:val="757E3E7A"/>
    <w:rsid w:val="777D69D5"/>
    <w:rsid w:val="77B75C6E"/>
    <w:rsid w:val="77BB0402"/>
    <w:rsid w:val="77D67AF2"/>
    <w:rsid w:val="77DFFD9D"/>
    <w:rsid w:val="77EB6F20"/>
    <w:rsid w:val="77F909AE"/>
    <w:rsid w:val="792E477D"/>
    <w:rsid w:val="79D5020E"/>
    <w:rsid w:val="79EF9832"/>
    <w:rsid w:val="7ABBDEB7"/>
    <w:rsid w:val="7B5CCDB5"/>
    <w:rsid w:val="7B7078E8"/>
    <w:rsid w:val="7B7C0126"/>
    <w:rsid w:val="7B7EE98D"/>
    <w:rsid w:val="7BDDC262"/>
    <w:rsid w:val="7BDFD46D"/>
    <w:rsid w:val="7BEF9C41"/>
    <w:rsid w:val="7BF76F36"/>
    <w:rsid w:val="7BFA987A"/>
    <w:rsid w:val="7CA507D8"/>
    <w:rsid w:val="7D7DA941"/>
    <w:rsid w:val="7D999B29"/>
    <w:rsid w:val="7DB79A2A"/>
    <w:rsid w:val="7DD72374"/>
    <w:rsid w:val="7DF72ECB"/>
    <w:rsid w:val="7DF7B30A"/>
    <w:rsid w:val="7DFD292D"/>
    <w:rsid w:val="7E5F4093"/>
    <w:rsid w:val="7E93384E"/>
    <w:rsid w:val="7EABE9D2"/>
    <w:rsid w:val="7EF46BDD"/>
    <w:rsid w:val="7EFFC198"/>
    <w:rsid w:val="7F138E93"/>
    <w:rsid w:val="7F2B2F0A"/>
    <w:rsid w:val="7F3FF771"/>
    <w:rsid w:val="7F57265A"/>
    <w:rsid w:val="7F584492"/>
    <w:rsid w:val="7F6D7C1F"/>
    <w:rsid w:val="7F6F185D"/>
    <w:rsid w:val="7F73002B"/>
    <w:rsid w:val="7F77B758"/>
    <w:rsid w:val="7FBB4D32"/>
    <w:rsid w:val="7FBDDFD2"/>
    <w:rsid w:val="7FBF5E40"/>
    <w:rsid w:val="7FBFB603"/>
    <w:rsid w:val="7FCBD04F"/>
    <w:rsid w:val="7FCE29C0"/>
    <w:rsid w:val="7FD71AAA"/>
    <w:rsid w:val="7FDB1CAC"/>
    <w:rsid w:val="7FDBD200"/>
    <w:rsid w:val="7FDF1A00"/>
    <w:rsid w:val="7FDF6C15"/>
    <w:rsid w:val="7FE71870"/>
    <w:rsid w:val="7FEF2FE2"/>
    <w:rsid w:val="7FF1A295"/>
    <w:rsid w:val="7FF7245B"/>
    <w:rsid w:val="7FF7F418"/>
    <w:rsid w:val="7FFBE139"/>
    <w:rsid w:val="7FFE7A0D"/>
    <w:rsid w:val="7FFEE7D4"/>
    <w:rsid w:val="7FFF9367"/>
    <w:rsid w:val="8D766900"/>
    <w:rsid w:val="8FDF4CA4"/>
    <w:rsid w:val="8FFDA88B"/>
    <w:rsid w:val="98FBE3DA"/>
    <w:rsid w:val="A9BF1C40"/>
    <w:rsid w:val="AFEFE3B6"/>
    <w:rsid w:val="B3D30454"/>
    <w:rsid w:val="B7BB3584"/>
    <w:rsid w:val="B7BE4C7C"/>
    <w:rsid w:val="B9FA2C29"/>
    <w:rsid w:val="BAFF3CAE"/>
    <w:rsid w:val="BB5EB75D"/>
    <w:rsid w:val="BBEF4D82"/>
    <w:rsid w:val="BBFC0D26"/>
    <w:rsid w:val="BDDFD71A"/>
    <w:rsid w:val="BFB90D5F"/>
    <w:rsid w:val="BFBE02AD"/>
    <w:rsid w:val="BFE7502F"/>
    <w:rsid w:val="BFEE45F5"/>
    <w:rsid w:val="BFF9F939"/>
    <w:rsid w:val="BFFDE618"/>
    <w:rsid w:val="BFFF1090"/>
    <w:rsid w:val="C99DF80C"/>
    <w:rsid w:val="CBFF96BB"/>
    <w:rsid w:val="D21B4235"/>
    <w:rsid w:val="D65A0A5E"/>
    <w:rsid w:val="D6C61C20"/>
    <w:rsid w:val="D73DA7CF"/>
    <w:rsid w:val="D79F2C3C"/>
    <w:rsid w:val="D7ED5FC1"/>
    <w:rsid w:val="D87F4AEA"/>
    <w:rsid w:val="D9F71ECE"/>
    <w:rsid w:val="DBEFD6DA"/>
    <w:rsid w:val="DDB719FB"/>
    <w:rsid w:val="DDD377EF"/>
    <w:rsid w:val="DDEE44BF"/>
    <w:rsid w:val="DDF7867C"/>
    <w:rsid w:val="DEF612CC"/>
    <w:rsid w:val="DFCB9520"/>
    <w:rsid w:val="DFDF615C"/>
    <w:rsid w:val="DFF5ABF1"/>
    <w:rsid w:val="DFF911BE"/>
    <w:rsid w:val="DFFD1C8E"/>
    <w:rsid w:val="DFFFD398"/>
    <w:rsid w:val="E1E7A613"/>
    <w:rsid w:val="E1EED47D"/>
    <w:rsid w:val="E63F628D"/>
    <w:rsid w:val="E75CF9B7"/>
    <w:rsid w:val="E777A176"/>
    <w:rsid w:val="E8EA0395"/>
    <w:rsid w:val="EA3EC303"/>
    <w:rsid w:val="EA7FA1A2"/>
    <w:rsid w:val="EADE5022"/>
    <w:rsid w:val="EB773D75"/>
    <w:rsid w:val="EB7F7ABA"/>
    <w:rsid w:val="EBFF08A4"/>
    <w:rsid w:val="EDD1BB3A"/>
    <w:rsid w:val="EDDF9B8F"/>
    <w:rsid w:val="EF7BA78A"/>
    <w:rsid w:val="EF7F6A03"/>
    <w:rsid w:val="EFDC78A4"/>
    <w:rsid w:val="EFE6D29E"/>
    <w:rsid w:val="EFFE354B"/>
    <w:rsid w:val="EFFED63C"/>
    <w:rsid w:val="EFFEED10"/>
    <w:rsid w:val="EFFF571A"/>
    <w:rsid w:val="F1555BE0"/>
    <w:rsid w:val="F16C665E"/>
    <w:rsid w:val="F1FFF49F"/>
    <w:rsid w:val="F2FFF0DD"/>
    <w:rsid w:val="F377B42D"/>
    <w:rsid w:val="F5DD4A0A"/>
    <w:rsid w:val="F6BF8851"/>
    <w:rsid w:val="F6DFC11C"/>
    <w:rsid w:val="F6EBFEB7"/>
    <w:rsid w:val="F75EEC8A"/>
    <w:rsid w:val="F7BBFBE6"/>
    <w:rsid w:val="FADB4D57"/>
    <w:rsid w:val="FBB7E056"/>
    <w:rsid w:val="FBD782AA"/>
    <w:rsid w:val="FBFDBD1C"/>
    <w:rsid w:val="FBFFEAF0"/>
    <w:rsid w:val="FD25A73D"/>
    <w:rsid w:val="FD3B1BAF"/>
    <w:rsid w:val="FD571EF5"/>
    <w:rsid w:val="FDB7B78E"/>
    <w:rsid w:val="FDCBBF12"/>
    <w:rsid w:val="FDFEF077"/>
    <w:rsid w:val="FDFF5129"/>
    <w:rsid w:val="FE5D8989"/>
    <w:rsid w:val="FEDDCE1A"/>
    <w:rsid w:val="FF3FD347"/>
    <w:rsid w:val="FF71D419"/>
    <w:rsid w:val="FFBFA6FD"/>
    <w:rsid w:val="FFCA62D9"/>
    <w:rsid w:val="FFCBD512"/>
    <w:rsid w:val="FFE16919"/>
    <w:rsid w:val="FFE7FB1D"/>
    <w:rsid w:val="FFEFAE3C"/>
    <w:rsid w:val="FFF54C08"/>
    <w:rsid w:val="FFF69805"/>
    <w:rsid w:val="FFF7CC1D"/>
    <w:rsid w:val="FFFD44BE"/>
    <w:rsid w:val="FFFE22D1"/>
    <w:rsid w:val="FFFF582D"/>
    <w:rsid w:val="FFFF7CBF"/>
    <w:rsid w:val="FFFFA4C3"/>
    <w:rsid w:val="FFFFF7F0"/>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val="0"/>
      <w:keepLines w:val="0"/>
      <w:adjustRightInd w:val="0"/>
      <w:spacing w:beforeLines="0" w:beforeAutospacing="0" w:afterLines="0" w:afterAutospacing="0" w:line="590" w:lineRule="exact"/>
      <w:jc w:val="center"/>
      <w:outlineLvl w:val="0"/>
    </w:pPr>
    <w:rPr>
      <w:rFonts w:eastAsia="方正小标宋_GBK"/>
      <w:kern w:val="44"/>
      <w:sz w:val="44"/>
    </w:rPr>
  </w:style>
  <w:style w:type="paragraph" w:styleId="3">
    <w:name w:val="heading 2"/>
    <w:basedOn w:val="1"/>
    <w:next w:val="1"/>
    <w:unhideWhenUsed/>
    <w:qFormat/>
    <w:uiPriority w:val="9"/>
    <w:pPr>
      <w:spacing w:before="25" w:beforeLines="25" w:line="560" w:lineRule="exact"/>
      <w:ind w:firstLine="720" w:firstLineChars="200"/>
      <w:outlineLvl w:val="1"/>
    </w:pPr>
    <w:rPr>
      <w:rFonts w:ascii="Microsoft JhengHei" w:hAnsi="Microsoft JhengHei" w:eastAsia="方正楷体_GBK" w:cs="Microsoft JhengHei"/>
      <w:bCs/>
      <w:sz w:val="32"/>
      <w:szCs w:val="32"/>
    </w:rPr>
  </w:style>
  <w:style w:type="paragraph" w:styleId="4">
    <w:name w:val="heading 3"/>
    <w:basedOn w:val="1"/>
    <w:next w:val="1"/>
    <w:unhideWhenUsed/>
    <w:qFormat/>
    <w:uiPriority w:val="9"/>
    <w:pPr>
      <w:keepNext/>
      <w:keepLines/>
      <w:spacing w:before="160" w:after="80"/>
      <w:outlineLvl w:val="2"/>
    </w:pPr>
    <w:rPr>
      <w:rFonts w:ascii="等线 Light" w:hAnsi="等线 Light" w:eastAsia="等线 Light" w:cs="Times New Roman"/>
      <w:color w:val="0F4761"/>
      <w:sz w:val="32"/>
      <w:szCs w:val="32"/>
    </w:rPr>
  </w:style>
  <w:style w:type="character" w:default="1" w:styleId="16">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table of authorities"/>
    <w:basedOn w:val="1"/>
    <w:next w:val="1"/>
    <w:qFormat/>
    <w:uiPriority w:val="0"/>
    <w:pPr>
      <w:ind w:left="420" w:leftChars="200"/>
    </w:pPr>
  </w:style>
  <w:style w:type="paragraph" w:styleId="6">
    <w:name w:val="annotation text"/>
    <w:basedOn w:val="1"/>
    <w:qFormat/>
    <w:uiPriority w:val="0"/>
    <w:pPr>
      <w:jc w:val="left"/>
    </w:pPr>
  </w:style>
  <w:style w:type="paragraph" w:styleId="7">
    <w:name w:val="Body Text"/>
    <w:basedOn w:val="1"/>
    <w:unhideWhenUsed/>
    <w:qFormat/>
    <w:uiPriority w:val="99"/>
    <w:pPr>
      <w:spacing w:after="120"/>
    </w:pPr>
  </w:style>
  <w:style w:type="paragraph" w:styleId="8">
    <w:name w:val="footer"/>
    <w:basedOn w:val="1"/>
    <w:next w:val="9"/>
    <w:unhideWhenUsed/>
    <w:qFormat/>
    <w:uiPriority w:val="99"/>
    <w:pPr>
      <w:tabs>
        <w:tab w:val="center" w:pos="4153"/>
        <w:tab w:val="right" w:pos="8306"/>
      </w:tabs>
      <w:snapToGrid w:val="0"/>
      <w:jc w:val="left"/>
    </w:pPr>
    <w:rPr>
      <w:sz w:val="18"/>
    </w:rPr>
  </w:style>
  <w:style w:type="paragraph" w:customStyle="1" w:styleId="9">
    <w:name w:val="索引 51"/>
    <w:basedOn w:val="1"/>
    <w:next w:val="1"/>
    <w:qFormat/>
    <w:uiPriority w:val="0"/>
    <w:pPr>
      <w:ind w:left="1680"/>
    </w:pPr>
    <w:rPr>
      <w:rFonts w:ascii="Calibri" w:hAnsi="Calibri" w:eastAsia="宋体" w:cs="Times New Roman"/>
      <w:szCs w:val="24"/>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Subtitle"/>
    <w:qFormat/>
    <w:uiPriority w:val="0"/>
    <w:pPr>
      <w:keepNext w:val="0"/>
      <w:keepLines w:val="0"/>
      <w:widowControl w:val="0"/>
      <w:suppressLineNumbers w:val="0"/>
      <w:spacing w:after="0" w:afterAutospacing="0" w:line="560" w:lineRule="exact"/>
      <w:ind w:firstLine="640" w:firstLineChars="200"/>
      <w:jc w:val="both"/>
      <w:outlineLvl w:val="1"/>
    </w:pPr>
    <w:rPr>
      <w:rFonts w:hint="default" w:ascii="Calibri" w:hAnsi="Calibri" w:eastAsia="华文仿宋" w:cs="方正楷体_GBK"/>
      <w:kern w:val="0"/>
      <w:sz w:val="32"/>
      <w:szCs w:val="32"/>
      <w:lang w:val="en-US" w:eastAsia="zh-CN" w:bidi="ar"/>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2"/>
    <w:qFormat/>
    <w:uiPriority w:val="0"/>
    <w:pPr>
      <w:keepNext w:val="0"/>
      <w:keepLines w:val="0"/>
      <w:widowControl w:val="0"/>
      <w:suppressLineNumbers w:val="0"/>
      <w:spacing w:after="0" w:afterAutospacing="0"/>
      <w:ind w:left="200" w:leftChars="0" w:firstLine="420" w:firstLineChars="200"/>
      <w:jc w:val="both"/>
    </w:pPr>
    <w:rPr>
      <w:rFonts w:hint="default" w:ascii="仿宋_GB2312" w:hAnsi="Calibri" w:eastAsia="仿宋_GB2312" w:cs="Times New Roman"/>
      <w:kern w:val="2"/>
      <w:sz w:val="28"/>
      <w:szCs w:val="28"/>
      <w:lang w:val="en-US" w:eastAsia="zh-CN" w:bidi="ar"/>
    </w:rPr>
  </w:style>
  <w:style w:type="table" w:styleId="15">
    <w:name w:val="Table Grid"/>
    <w:basedOn w:val="14"/>
    <w:qFormat/>
    <w:uiPriority w:val="3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paragraph" w:customStyle="1" w:styleId="18">
    <w:name w:val="样式1"/>
    <w:basedOn w:val="1"/>
    <w:qFormat/>
    <w:uiPriority w:val="0"/>
    <w:pPr>
      <w:spacing w:line="594" w:lineRule="exact"/>
      <w:ind w:firstLine="880" w:firstLineChars="200"/>
    </w:pPr>
    <w:rPr>
      <w:rFonts w:ascii="Times New Roman" w:hAnsi="Times New Roman" w:eastAsia="方正仿宋_GBK"/>
      <w:sz w:val="32"/>
    </w:rPr>
  </w:style>
  <w:style w:type="character" w:customStyle="1" w:styleId="19">
    <w:name w:val="NormalCharacter"/>
    <w:qFormat/>
    <w:uiPriority w:val="0"/>
    <w:rPr>
      <w:rFonts w:ascii="Times New Roman" w:hAnsi="Times New Roman" w:eastAsia="方正仿宋_GBK" w:cs="Times New Roman"/>
      <w:kern w:val="2"/>
      <w:sz w:val="32"/>
      <w:szCs w:val="22"/>
      <w:lang w:val="en-US" w:eastAsia="zh-CN" w:bidi="ar-SA"/>
    </w:rPr>
  </w:style>
  <w:style w:type="character" w:customStyle="1" w:styleId="20">
    <w:name w:val="font21"/>
    <w:basedOn w:val="16"/>
    <w:qFormat/>
    <w:uiPriority w:val="0"/>
    <w:rPr>
      <w:rFonts w:hint="eastAsia" w:ascii="方正黑体_GBK" w:hAnsi="方正黑体_GBK" w:eastAsia="方正黑体_GBK" w:cs="方正黑体_GBK"/>
      <w:color w:val="000000"/>
      <w:sz w:val="21"/>
      <w:szCs w:val="21"/>
      <w:u w:val="none"/>
    </w:rPr>
  </w:style>
  <w:style w:type="character" w:customStyle="1" w:styleId="21">
    <w:name w:val="font01"/>
    <w:basedOn w:val="16"/>
    <w:qFormat/>
    <w:uiPriority w:val="0"/>
    <w:rPr>
      <w:rFonts w:hint="eastAsia" w:ascii="方正黑体_GBK" w:hAnsi="方正黑体_GBK" w:eastAsia="方正黑体_GBK" w:cs="方正黑体_GBK"/>
      <w:b/>
      <w:bCs/>
      <w:color w:val="000000"/>
      <w:sz w:val="21"/>
      <w:szCs w:val="21"/>
      <w:u w:val="none"/>
    </w:rPr>
  </w:style>
  <w:style w:type="paragraph" w:customStyle="1" w:styleId="22">
    <w:name w:val="HQ正文 + 加粗 + 首行缩进:  2 字符"/>
    <w:qFormat/>
    <w:uiPriority w:val="0"/>
    <w:pPr>
      <w:widowControl w:val="0"/>
      <w:ind w:firstLine="200"/>
    </w:pPr>
    <w:rPr>
      <w:rFonts w:ascii="Times New Roman" w:hAnsi="Times New Roman" w:eastAsia="仿宋_GB2312" w:cs="宋体"/>
      <w:b/>
      <w:kern w:val="2"/>
      <w:sz w:val="32"/>
      <w:szCs w:val="22"/>
      <w:lang w:val="en-US" w:eastAsia="zh-CN" w:bidi="ar-SA"/>
    </w:rPr>
  </w:style>
  <w:style w:type="character" w:customStyle="1" w:styleId="23">
    <w:name w:val="font81"/>
    <w:basedOn w:val="16"/>
    <w:qFormat/>
    <w:uiPriority w:val="0"/>
    <w:rPr>
      <w:rFonts w:hint="eastAsia" w:ascii="方正仿宋_GBK" w:hAnsi="方正仿宋_GBK" w:eastAsia="方正仿宋_GBK" w:cs="方正仿宋_GBK"/>
      <w:color w:val="000000"/>
      <w:sz w:val="21"/>
      <w:szCs w:val="21"/>
      <w:u w:val="none"/>
    </w:rPr>
  </w:style>
  <w:style w:type="character" w:customStyle="1" w:styleId="24">
    <w:name w:val="font71"/>
    <w:basedOn w:val="16"/>
    <w:qFormat/>
    <w:uiPriority w:val="0"/>
    <w:rPr>
      <w:rFonts w:hint="default" w:ascii="Times New Roman" w:hAnsi="Times New Roman" w:cs="Times New Roman"/>
      <w:color w:val="000000"/>
      <w:sz w:val="21"/>
      <w:szCs w:val="21"/>
      <w:u w:val="none"/>
    </w:rPr>
  </w:style>
  <w:style w:type="character" w:customStyle="1" w:styleId="25">
    <w:name w:val="font61"/>
    <w:basedOn w:val="16"/>
    <w:qFormat/>
    <w:uiPriority w:val="0"/>
    <w:rPr>
      <w:rFonts w:hint="eastAsia" w:ascii="方正仿宋_GBK" w:hAnsi="方正仿宋_GBK" w:eastAsia="方正仿宋_GBK" w:cs="方正仿宋_GBK"/>
      <w:color w:val="FF0000"/>
      <w:sz w:val="21"/>
      <w:szCs w:val="21"/>
      <w:u w:val="none"/>
    </w:rPr>
  </w:style>
  <w:style w:type="character" w:customStyle="1" w:styleId="26">
    <w:name w:val="font41"/>
    <w:basedOn w:val="16"/>
    <w:qFormat/>
    <w:uiPriority w:val="0"/>
    <w:rPr>
      <w:rFonts w:hint="default" w:ascii="Times New Roman" w:hAnsi="Times New Roman" w:cs="Times New Roman"/>
      <w:color w:val="FF0000"/>
      <w:sz w:val="21"/>
      <w:szCs w:val="21"/>
      <w:u w:val="none"/>
    </w:rPr>
  </w:style>
  <w:style w:type="character" w:customStyle="1" w:styleId="27">
    <w:name w:val="font11"/>
    <w:basedOn w:val="16"/>
    <w:qFormat/>
    <w:uiPriority w:val="0"/>
    <w:rPr>
      <w:rFonts w:hint="eastAsia" w:ascii="方正仿宋_GBK" w:hAnsi="方正仿宋_GBK" w:eastAsia="方正仿宋_GBK" w:cs="方正仿宋_GBK"/>
      <w:color w:val="000000"/>
      <w:sz w:val="21"/>
      <w:szCs w:val="21"/>
      <w:u w:val="none"/>
    </w:rPr>
  </w:style>
  <w:style w:type="character" w:customStyle="1" w:styleId="28">
    <w:name w:val="font51"/>
    <w:basedOn w:val="16"/>
    <w:qFormat/>
    <w:uiPriority w:val="0"/>
    <w:rPr>
      <w:rFonts w:hint="eastAsia" w:ascii="方正黑体_GBK" w:hAnsi="方正黑体_GBK" w:eastAsia="方正黑体_GBK" w:cs="方正黑体_GBK"/>
      <w:color w:val="000000"/>
      <w:sz w:val="24"/>
      <w:szCs w:val="24"/>
      <w:u w:val="none"/>
    </w:rPr>
  </w:style>
  <w:style w:type="character" w:customStyle="1" w:styleId="29">
    <w:name w:val="10"/>
    <w:basedOn w:val="16"/>
    <w:qFormat/>
    <w:uiPriority w:val="0"/>
    <w:rPr>
      <w:rFonts w:hint="default" w:ascii="Times New Roman" w:hAnsi="Times New Roman" w:cs="Times New Roman"/>
    </w:rPr>
  </w:style>
  <w:style w:type="character" w:customStyle="1" w:styleId="30">
    <w:name w:val="16"/>
    <w:basedOn w:val="16"/>
    <w:qFormat/>
    <w:uiPriority w:val="0"/>
    <w:rPr>
      <w:rFonts w:hint="default" w:ascii="Times New Roman" w:hAnsi="Times New Roman" w:cs="Times New Roman"/>
      <w:color w:val="000000"/>
      <w:sz w:val="18"/>
      <w:szCs w:val="18"/>
    </w:rPr>
  </w:style>
  <w:style w:type="character" w:customStyle="1" w:styleId="31">
    <w:name w:val="15"/>
    <w:basedOn w:val="16"/>
    <w:qFormat/>
    <w:uiPriority w:val="0"/>
    <w:rPr>
      <w:rFonts w:hint="eastAsia" w:ascii="方正黑体_GBK" w:hAnsi="方正黑体_GBK" w:eastAsia="方正黑体_GBK" w:cs="方正黑体_GBK"/>
      <w:color w:val="000000"/>
      <w:sz w:val="21"/>
      <w:szCs w:val="21"/>
    </w:rPr>
  </w:style>
  <w:style w:type="character" w:customStyle="1" w:styleId="32">
    <w:name w:val="19"/>
    <w:basedOn w:val="16"/>
    <w:qFormat/>
    <w:uiPriority w:val="0"/>
    <w:rPr>
      <w:rFonts w:hint="default" w:ascii="Times New Roman" w:hAnsi="Times New Roman" w:cs="Times New Roman"/>
      <w:color w:val="000000"/>
      <w:sz w:val="21"/>
      <w:szCs w:val="21"/>
    </w:rPr>
  </w:style>
  <w:style w:type="character" w:customStyle="1" w:styleId="33">
    <w:name w:val="20"/>
    <w:basedOn w:val="16"/>
    <w:qFormat/>
    <w:uiPriority w:val="0"/>
    <w:rPr>
      <w:rFonts w:hint="eastAsia" w:ascii="方正仿宋_GBK" w:hAnsi="方正仿宋_GBK" w:eastAsia="方正仿宋_GBK" w:cs="方正仿宋_GBK"/>
      <w:color w:val="000000"/>
      <w:sz w:val="21"/>
      <w:szCs w:val="21"/>
    </w:rPr>
  </w:style>
  <w:style w:type="character" w:customStyle="1" w:styleId="34">
    <w:name w:val="17"/>
    <w:basedOn w:val="16"/>
    <w:qFormat/>
    <w:uiPriority w:val="0"/>
    <w:rPr>
      <w:rFonts w:hint="default" w:ascii="Times New Roman" w:hAnsi="Times New Roman" w:cs="Times New Roman"/>
      <w:b/>
    </w:rPr>
  </w:style>
  <w:style w:type="character" w:customStyle="1" w:styleId="35">
    <w:name w:val="18"/>
    <w:basedOn w:val="16"/>
    <w:qFormat/>
    <w:uiPriority w:val="0"/>
    <w:rPr>
      <w:rFonts w:hint="eastAsia" w:ascii="方正仿宋_GBK" w:hAnsi="方正仿宋_GBK" w:eastAsia="方正仿宋_GBK" w:cs="方正仿宋_GBK"/>
      <w:color w:val="00000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27465</Words>
  <Characters>28465</Characters>
  <Lines>1</Lines>
  <Paragraphs>1</Paragraphs>
  <TotalTime>18</TotalTime>
  <ScaleCrop>false</ScaleCrop>
  <LinksUpToDate>false</LinksUpToDate>
  <CharactersWithSpaces>28490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2026-04-24T17:11:00Z</dcterms:created>
  <dc:creator>ASUS</dc:creator>
  <cp:lastModifiedBy>陈志强</cp:lastModifiedBy>
  <cp:lastPrinted>2026-08-06T22:52:00Z</cp:lastPrinted>
  <dcterms:modified xsi:type="dcterms:W3CDTF">2026-08-07T11:29:21Z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1D80B4DE7AB746978C70098FC3DFF851_13</vt:lpwstr>
  </property>
  <property fmtid="{D5CDD505-2E9C-101B-9397-08002B2CF9AE}" pid="4" name="KSOTemplateDocerSaveRecord">
    <vt:lpwstr>eyJoZGlkIjoiYmFlZTg1YmI4NjkzNGFiMjliNWZmYTNkNzU2MDlkMGUiLCJ1c2VySWQiOiIyODk1MzE0OTcifQ==</vt:lpwstr>
  </property>
</Properties>
</file>