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黑体_GBK" w:cs="Times New Roman"/>
          <w:sz w:val="32"/>
          <w:szCs w:val="32"/>
          <w:vertAlign w:val="baseline"/>
          <w:lang w:val="en-US" w:eastAsia="zh-CN"/>
        </w:rPr>
      </w:pPr>
      <w:r>
        <w:rPr>
          <w:rFonts w:hint="default" w:ascii="Times New Roman" w:hAnsi="Times New Roman" w:eastAsia="方正黑体_GBK" w:cs="Times New Roman"/>
          <w:sz w:val="32"/>
          <w:szCs w:val="32"/>
          <w:vertAlign w:val="baseli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黑体_GBK" w:cs="Times New Roman"/>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小标宋_GBK" w:cs="Times New Roman"/>
          <w:sz w:val="44"/>
          <w:szCs w:val="44"/>
          <w:vertAlign w:val="baseline"/>
          <w:lang w:val="en-US" w:eastAsia="zh-CN"/>
        </w:rPr>
        <w:t>铜梁区农业类科技计划项目申报指南</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cs="Times New Roman"/>
          <w:sz w:val="32"/>
          <w:szCs w:val="32"/>
          <w:vertAlign w:val="baseline"/>
          <w:lang w:val="en-US" w:eastAsia="zh-CN"/>
        </w:rPr>
      </w:pPr>
    </w:p>
    <w:p>
      <w:pPr>
        <w:widowControl/>
        <w:spacing w:line="500" w:lineRule="exact"/>
        <w:ind w:firstLine="640" w:firstLineChars="200"/>
        <w:jc w:val="left"/>
        <w:rPr>
          <w:rFonts w:hint="default" w:ascii="Times New Roman" w:hAnsi="Times New Roman" w:eastAsia="方正楷体_GBK" w:cs="Times New Roman"/>
          <w:sz w:val="32"/>
          <w:szCs w:val="32"/>
        </w:rPr>
      </w:pPr>
      <w:bookmarkStart w:id="0" w:name="docContent"/>
      <w:r>
        <w:rPr>
          <w:rFonts w:hint="default" w:ascii="Times New Roman" w:hAnsi="Times New Roman" w:eastAsia="方正楷体_GBK" w:cs="Times New Roman"/>
          <w:sz w:val="32"/>
          <w:szCs w:val="32"/>
          <w:lang w:val="en-US" w:eastAsia="zh-CN"/>
        </w:rPr>
        <w:t>1.</w:t>
      </w:r>
      <w:r>
        <w:rPr>
          <w:rFonts w:hint="default" w:ascii="Times New Roman" w:hAnsi="Times New Roman" w:eastAsia="方正楷体_GBK" w:cs="Times New Roman"/>
          <w:sz w:val="32"/>
          <w:szCs w:val="32"/>
        </w:rPr>
        <w:t>动植物良种创新及高效安全生产</w:t>
      </w:r>
      <w:bookmarkStart w:id="1" w:name="_GoBack"/>
      <w:bookmarkEnd w:id="1"/>
    </w:p>
    <w:p>
      <w:pPr>
        <w:widowControl/>
        <w:spacing w:line="560" w:lineRule="exact"/>
        <w:ind w:firstLine="640" w:firstLineChars="200"/>
        <w:jc w:val="lef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围绕现代高效农业发展的种源需求，重点支持作物育种新技术、新方法研究及高效育种技术体系构建；优异种质材料创制与评价；杂粮新品种选育；优质抗病畜禽良种繁育与标准化健康养殖技术；特色水产人工繁育及生态规模化生产技术；特色经济作物、林下资源、林木新品种选育及高效繁育技术；食用菌种质资源开发和高效生产；饲草新品种选育及栽培技术；冬季绿肥作物品种筛选及种植模式；良种繁育与种子质量检测;农机农艺融合技术；保护性耕作技术。</w:t>
      </w:r>
    </w:p>
    <w:p>
      <w:pPr>
        <w:widowControl/>
        <w:spacing w:line="50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rPr>
        <w:t>绿色食品及农产品加工、储藏与物流</w:t>
      </w:r>
    </w:p>
    <w:p>
      <w:pPr>
        <w:widowControl/>
        <w:spacing w:line="500" w:lineRule="exact"/>
        <w:ind w:firstLine="640" w:firstLineChars="200"/>
        <w:jc w:val="lef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围绕农业特色产业和农产品加工产业领域技术需求,针对亟待解决的安全、智能控制和高附加值等关键共性技术问题，重点支持粮油、果蔬、畜禽、水产等农产品绿色贮藏、储运保鲜、加工技术与设备；方便、营养、健康食品加工技术与设备；绿色食品及农产品加工全程质量安全控制与检验检测技术；食品安全追溯体系技术；农林资源利用、农林废弃物综合利用技术与产品。</w:t>
      </w:r>
    </w:p>
    <w:p>
      <w:pPr>
        <w:widowControl/>
        <w:spacing w:line="50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动植物疫病防控及防灾减灾</w:t>
      </w:r>
    </w:p>
    <w:p>
      <w:pPr>
        <w:widowControl/>
        <w:spacing w:line="500" w:lineRule="exact"/>
        <w:ind w:firstLine="640" w:firstLineChars="200"/>
        <w:jc w:val="left"/>
        <w:rPr>
          <w:rFonts w:hint="default" w:ascii="Times New Roman" w:hAnsi="Times New Roman" w:cs="Times New Roman"/>
          <w:color w:val="000000"/>
          <w:kern w:val="0"/>
          <w:sz w:val="32"/>
          <w:szCs w:val="32"/>
        </w:rPr>
      </w:pPr>
      <w:r>
        <w:rPr>
          <w:rFonts w:hint="default" w:ascii="Times New Roman" w:hAnsi="Times New Roman" w:cs="Times New Roman"/>
          <w:kern w:val="0"/>
          <w:sz w:val="32"/>
          <w:szCs w:val="32"/>
        </w:rPr>
        <w:t>围绕我市主要农作物、畜禽和水产养殖主导品种的健康种养殖技术需求，重点支持重大农林作物有害生物及外来入侵生物检疫、监测、快速鉴定、预警、预防与长效控制技术研究与应用；重大畜禽流行疫病预防与防控技术研究与应用；重大农业气象灾害、森林重大生物灾害及火灾监测、预警、防控技术与产品；农药高效安全施用技术；高效安全兽药、渔药及产品质量监控技术；</w:t>
      </w:r>
      <w:r>
        <w:rPr>
          <w:rFonts w:hint="default" w:ascii="Times New Roman" w:hAnsi="Times New Roman" w:cs="Times New Roman"/>
          <w:color w:val="000000"/>
          <w:kern w:val="0"/>
          <w:sz w:val="32"/>
          <w:szCs w:val="32"/>
        </w:rPr>
        <w:t>新型疫苗和新兽药的研发；新型高效安全杀菌剂、生物杀虫剂、抗药多效天敌的研究开发。</w:t>
      </w:r>
    </w:p>
    <w:p>
      <w:pPr>
        <w:widowControl/>
        <w:spacing w:line="50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农业生态及生物质资源利用</w:t>
      </w:r>
    </w:p>
    <w:p>
      <w:pPr>
        <w:widowControl/>
        <w:spacing w:line="5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cs="Times New Roman"/>
          <w:kern w:val="0"/>
          <w:sz w:val="32"/>
          <w:szCs w:val="32"/>
        </w:rPr>
        <w:t>围绕发展资源节约型、环境友好型、绿色低碳型现代农业的技术需求，重点支持农业废弃物资源化、减量化、无害化处理技术研究与应用示范；农业面源污染防治技术与设备；土壤重金属污染治理和修复关键技术；中低产田改良与保护性耕作技术；农田水利、农作物高效节水保水新技术；森林生态系统保育和恢复技术；农林生物质能转化、生物基材料开发技术与设备；生物质燃料制备、高效利用技术与设备。</w:t>
      </w:r>
    </w:p>
    <w:p>
      <w:pPr>
        <w:widowControl/>
        <w:spacing w:line="50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设施农业与现代农业装备</w:t>
      </w:r>
    </w:p>
    <w:p>
      <w:pPr>
        <w:widowControl/>
        <w:spacing w:line="560" w:lineRule="exact"/>
        <w:ind w:firstLine="640" w:firstLineChars="200"/>
        <w:jc w:val="lef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针对我市典型的丘陵山地和特殊生态环境条件下发展现代设施农业的需求，重点支持适应南方丘陵地区的新型农业机械和设施农业装备研发；高效精量施肥、施药机械和设备研发；畜禽、水产规模化养殖设施与设备研发；特色农产品机械化育种（苗）、生产管理、收获、产地加工等关键装备研发；蔬菜主要环节机械化生产技术集成与应用；设施栽培、无土栽培、植物工厂技术；农作物、林木种子收获、清洗、加工设备，林业机械、森林防火技术及设备研发。</w:t>
      </w:r>
    </w:p>
    <w:p>
      <w:pPr>
        <w:widowControl/>
        <w:spacing w:line="50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农产品质量安全控制和检测</w:t>
      </w:r>
    </w:p>
    <w:p>
      <w:pPr>
        <w:widowControl/>
        <w:spacing w:line="500" w:lineRule="exact"/>
        <w:ind w:firstLine="640" w:firstLineChars="200"/>
        <w:jc w:val="left"/>
        <w:rPr>
          <w:rFonts w:hint="default" w:ascii="Times New Roman" w:hAnsi="Times New Roman" w:cs="Times New Roman"/>
          <w:kern w:val="0"/>
          <w:sz w:val="32"/>
          <w:szCs w:val="32"/>
        </w:rPr>
      </w:pPr>
      <w:r>
        <w:rPr>
          <w:rFonts w:hint="default" w:ascii="Times New Roman" w:hAnsi="Times New Roman" w:cs="Times New Roman"/>
          <w:color w:val="000000"/>
          <w:kern w:val="0"/>
          <w:sz w:val="32"/>
          <w:szCs w:val="32"/>
        </w:rPr>
        <w:t>围绕我市特色优势农产品市场竞争力提升的要求，针对潜在高风险危害隐患因子（农兽药、激素、重金属、添加剂或非法添加物等），重点支持农产品质量安全全程管理与溯源技术；农产品质量安全风险评估与预警技术；耕地重金属及农业面源污染的监测和综合修复技术；农产品和食品中有害物质</w:t>
      </w:r>
      <w:r>
        <w:rPr>
          <w:rFonts w:hint="default" w:ascii="Times New Roman" w:hAnsi="Times New Roman" w:cs="Times New Roman"/>
          <w:kern w:val="0"/>
          <w:sz w:val="32"/>
          <w:szCs w:val="32"/>
        </w:rPr>
        <w:t>形成规律、快速检测及防控技术；主要农作物减药、减肥、减水增效生产技术；</w:t>
      </w:r>
      <w:r>
        <w:rPr>
          <w:rFonts w:hint="default" w:ascii="Times New Roman" w:hAnsi="Times New Roman" w:cs="Times New Roman"/>
          <w:color w:val="000000"/>
          <w:kern w:val="0"/>
          <w:sz w:val="32"/>
          <w:szCs w:val="32"/>
        </w:rPr>
        <w:t>高效、安全新型饲料及饲料添加剂生产技术与产品；</w:t>
      </w:r>
      <w:r>
        <w:rPr>
          <w:rFonts w:hint="default" w:ascii="Times New Roman" w:hAnsi="Times New Roman" w:cs="Times New Roman"/>
          <w:kern w:val="0"/>
          <w:sz w:val="32"/>
          <w:szCs w:val="32"/>
        </w:rPr>
        <w:t>新型环保肥料生产技术与产品；</w:t>
      </w:r>
      <w:r>
        <w:rPr>
          <w:rFonts w:hint="default" w:ascii="Times New Roman" w:hAnsi="Times New Roman" w:cs="Times New Roman"/>
          <w:color w:val="000000"/>
          <w:kern w:val="0"/>
          <w:sz w:val="32"/>
          <w:szCs w:val="32"/>
        </w:rPr>
        <w:t>生物型杀菌、杀虫、除草、植物生长调节剂生产技术及产品；低毒低残留、高效农药生产技术及产品</w:t>
      </w:r>
      <w:r>
        <w:rPr>
          <w:rFonts w:hint="default" w:ascii="Times New Roman" w:hAnsi="Times New Roman" w:cs="Times New Roman"/>
          <w:kern w:val="0"/>
          <w:sz w:val="32"/>
          <w:szCs w:val="32"/>
        </w:rPr>
        <w:t>。</w:t>
      </w:r>
    </w:p>
    <w:p>
      <w:pPr>
        <w:widowControl/>
        <w:spacing w:line="50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7.</w:t>
      </w:r>
      <w:r>
        <w:rPr>
          <w:rFonts w:hint="default" w:ascii="Times New Roman" w:hAnsi="Times New Roman" w:eastAsia="方正楷体_GBK" w:cs="Times New Roman"/>
          <w:sz w:val="32"/>
          <w:szCs w:val="32"/>
        </w:rPr>
        <w:t>农村信息化与互联网+农业</w:t>
      </w:r>
    </w:p>
    <w:p>
      <w:pPr>
        <w:widowControl/>
        <w:shd w:val="clear" w:color="auto" w:fill="FFFFFF"/>
        <w:spacing w:line="500" w:lineRule="exact"/>
        <w:ind w:firstLine="482"/>
        <w:jc w:val="lef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围绕信息技术在现代农业生产、管理、经营和服务中的应用，重点支持数字农业技术平台和应用服务系统开发，数字农业相关装备研究，数字农业、畜牧业和渔业关键技术研究，设施农业数字化设计与智能化控制技术产品研究开发，农村科技远程教育和系统开发，现代农村信息服务网络技术、产品开发和示范基地建设；互联网与农业生产、农业经营、信息服务、质量追溯、电子商务等方面的融合发展；新型农业经营主体的电子商务应用拓展等。</w:t>
      </w:r>
    </w:p>
    <w:bookmarkEnd w:id="0"/>
    <w:p>
      <w:pPr>
        <w:widowControl/>
        <w:shd w:val="clear" w:color="auto" w:fill="FFFFFF"/>
        <w:spacing w:line="500" w:lineRule="exact"/>
        <w:ind w:firstLine="482"/>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8.</w:t>
      </w:r>
      <w:r>
        <w:rPr>
          <w:rFonts w:hint="default" w:ascii="Times New Roman" w:hAnsi="Times New Roman" w:eastAsia="方正楷体_GBK" w:cs="Times New Roman"/>
          <w:sz w:val="32"/>
          <w:szCs w:val="32"/>
        </w:rPr>
        <w:t>村镇建设及其他</w:t>
      </w:r>
    </w:p>
    <w:p>
      <w:pPr>
        <w:widowControl/>
        <w:shd w:val="clear" w:color="auto" w:fill="FFFFFF"/>
        <w:spacing w:line="500" w:lineRule="exact"/>
        <w:ind w:firstLine="482"/>
        <w:jc w:val="lef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重点支持现代村镇与农舍规划、村镇土地和水资源保护利用技术；村镇生活垃圾、污水无害化处理与资源化利用技术；都市休闲观光农业技术；农业气象、气候变化对农业生产造成危害及其相关共性技术研究与应用等。</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D3EBA"/>
    <w:rsid w:val="5B9C2BEE"/>
    <w:rsid w:val="7FBC25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zscqk</dc:creator>
  <cp:lastModifiedBy>zscqk</cp:lastModifiedBy>
  <dcterms:modified xsi:type="dcterms:W3CDTF">2019-07-03T03:08:43Z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