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问：第二章第六条中，对项目牵头单位的有关规定有什么变化？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答：因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公平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竞争审查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条例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的有关要求，在原管理办法中，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项目牵头单位原则上应是铜梁区内设立、登记、注册的法人组织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”，“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以企业作为牵头单位的原则上应是重庆市科技型企业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”等表述，依法进行了删除。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问：项目设置有更细致的领域划分吗?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答：每年会根据实际情况和产业发展需求等，在大项以下设立若干专项，具体设置在每年项目实施方案中明确。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问：项目资助经费是如何拨付的？</w:t>
      </w:r>
    </w:p>
    <w:p>
      <w:pP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答：主要采取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“事前资助”或“验收后补助”等方式拨付项目经费，具体拨付方式在每年项目实施方案中明确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问：填写项目任务书有些什么注意事项？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答：项目任务书中所填写的内容，如承担单位、项目负责人及主要研究人员、起止年限、计划及目标等，应与项目申报资料内容保持一致。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问：项目结题的主要标准是什么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答：项目结题主要是考察的是项目任务书中约定的考核指标完成情况。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7094"/>
    <w:rsid w:val="1022071F"/>
    <w:rsid w:val="1D7E65C3"/>
    <w:rsid w:val="2AEA0364"/>
    <w:rsid w:val="58BD2521"/>
    <w:rsid w:val="618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黑体"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2024-08-05T08:08:00Z</dcterms:created>
  <dc:creator>Administrator</dc:creator>
  <cp:lastModifiedBy>噔哩个铛</cp:lastModifiedBy>
  <dcterms:modified xsi:type="dcterms:W3CDTF">2024-11-21T01:40:45Z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