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overflowPunct/>
        <w:topLinePunct w:val="0"/>
        <w:autoSpaceDE/>
        <w:bidi w:val="0"/>
        <w:adjustRightInd w:val="0"/>
        <w:snapToGrid w:val="0"/>
        <w:spacing w:line="594" w:lineRule="exact"/>
        <w:ind w:firstLine="0" w:firstLineChars="0"/>
        <w:jc w:val="center"/>
        <w:textAlignment w:val="auto"/>
        <w:rPr>
          <w:rFonts w:hint="default" w:ascii="Times New Roman" w:hAnsi="Times New Roman" w:eastAsia="方正仿宋_GBK" w:cs="Times New Roman"/>
          <w:color w:val="000000"/>
          <w:sz w:val="32"/>
          <w:szCs w:val="20"/>
          <w:lang w:eastAsia="zh-CN"/>
        </w:rPr>
      </w:pPr>
      <w:bookmarkStart w:id="0" w:name="_GoBack"/>
      <w:bookmarkEnd w:id="0"/>
    </w:p>
    <w:p>
      <w:pPr>
        <w:keepNext w:val="0"/>
        <w:keepLines w:val="0"/>
        <w:pageBreakBefore w:val="0"/>
        <w:kinsoku/>
        <w:overflowPunct/>
        <w:topLinePunct w:val="0"/>
        <w:autoSpaceDE/>
        <w:bidi w:val="0"/>
        <w:adjustRightInd w:val="0"/>
        <w:snapToGrid w:val="0"/>
        <w:spacing w:line="594" w:lineRule="exact"/>
        <w:ind w:firstLine="0" w:firstLineChars="0"/>
        <w:jc w:val="center"/>
        <w:textAlignment w:val="auto"/>
        <w:rPr>
          <w:rFonts w:hint="default" w:ascii="Times New Roman" w:hAnsi="Times New Roman" w:eastAsia="方正仿宋_GBK" w:cs="Times New Roman"/>
          <w:color w:val="000000"/>
          <w:sz w:val="32"/>
          <w:szCs w:val="20"/>
          <w:lang w:eastAsia="zh-CN"/>
        </w:rPr>
      </w:pPr>
    </w:p>
    <w:p>
      <w:pPr>
        <w:keepNext w:val="0"/>
        <w:keepLines w:val="0"/>
        <w:pageBreakBefore w:val="0"/>
        <w:kinsoku/>
        <w:overflowPunct/>
        <w:topLinePunct w:val="0"/>
        <w:autoSpaceDE/>
        <w:bidi w:val="0"/>
        <w:adjustRightInd w:val="0"/>
        <w:snapToGrid w:val="0"/>
        <w:spacing w:line="594" w:lineRule="exact"/>
        <w:ind w:firstLine="0" w:firstLineChars="0"/>
        <w:jc w:val="both"/>
        <w:textAlignment w:val="auto"/>
        <w:rPr>
          <w:rFonts w:hint="default" w:ascii="Times New Roman" w:hAnsi="Times New Roman" w:eastAsia="方正仿宋_GBK" w:cs="Times New Roman"/>
          <w:color w:val="000000"/>
          <w:sz w:val="32"/>
          <w:szCs w:val="20"/>
          <w:lang w:eastAsia="zh-CN"/>
        </w:rPr>
      </w:pPr>
    </w:p>
    <w:p>
      <w:pPr>
        <w:keepNext w:val="0"/>
        <w:keepLines w:val="0"/>
        <w:pageBreakBefore w:val="0"/>
        <w:kinsoku/>
        <w:overflowPunct/>
        <w:topLinePunct w:val="0"/>
        <w:autoSpaceDE/>
        <w:bidi w:val="0"/>
        <w:adjustRightInd w:val="0"/>
        <w:snapToGrid w:val="0"/>
        <w:spacing w:line="594" w:lineRule="exact"/>
        <w:ind w:firstLine="0" w:firstLineChars="0"/>
        <w:jc w:val="center"/>
        <w:textAlignment w:val="auto"/>
        <w:rPr>
          <w:rFonts w:hint="default" w:ascii="Times New Roman" w:hAnsi="Times New Roman" w:eastAsia="方正仿宋_GBK" w:cs="Times New Roman"/>
          <w:color w:val="000000"/>
          <w:sz w:val="32"/>
          <w:szCs w:val="20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4" w:lineRule="exact"/>
        <w:ind w:firstLine="0" w:firstLineChars="0"/>
        <w:jc w:val="center"/>
        <w:textAlignment w:val="auto"/>
        <w:rPr>
          <w:rFonts w:hint="default" w:ascii="Times New Roman" w:hAnsi="Times New Roman" w:eastAsia="方正仿宋_GBK" w:cs="Times New Roman"/>
          <w:color w:val="000000"/>
          <w:sz w:val="32"/>
          <w:szCs w:val="20"/>
          <w:lang w:eastAsia="zh-CN"/>
        </w:rPr>
      </w:pPr>
    </w:p>
    <w:p>
      <w:pPr>
        <w:keepNext w:val="0"/>
        <w:keepLines w:val="0"/>
        <w:pageBreakBefore w:val="0"/>
        <w:kinsoku/>
        <w:overflowPunct/>
        <w:topLinePunct w:val="0"/>
        <w:autoSpaceDE/>
        <w:bidi w:val="0"/>
        <w:adjustRightInd w:val="0"/>
        <w:snapToGrid w:val="0"/>
        <w:spacing w:line="594" w:lineRule="exact"/>
        <w:ind w:firstLine="0" w:firstLineChars="0"/>
        <w:jc w:val="center"/>
        <w:textAlignment w:val="auto"/>
        <w:rPr>
          <w:rFonts w:hint="default" w:ascii="Times New Roman" w:hAnsi="Times New Roman" w:eastAsia="方正仿宋_GBK" w:cs="Times New Roman"/>
          <w:color w:val="000000"/>
          <w:sz w:val="32"/>
          <w:szCs w:val="20"/>
          <w:lang w:eastAsia="zh-CN"/>
        </w:rPr>
      </w:pPr>
    </w:p>
    <w:p>
      <w:pPr>
        <w:keepNext w:val="0"/>
        <w:keepLines w:val="0"/>
        <w:pageBreakBefore w:val="0"/>
        <w:kinsoku/>
        <w:overflowPunct/>
        <w:topLinePunct w:val="0"/>
        <w:autoSpaceDE/>
        <w:bidi w:val="0"/>
        <w:adjustRightInd w:val="0"/>
        <w:snapToGrid w:val="0"/>
        <w:spacing w:line="594" w:lineRule="exact"/>
        <w:ind w:firstLine="0" w:firstLineChars="0"/>
        <w:jc w:val="center"/>
        <w:textAlignment w:val="auto"/>
        <w:rPr>
          <w:rFonts w:hint="default" w:ascii="Times New Roman" w:hAnsi="Times New Roman" w:eastAsia="方正仿宋_GBK" w:cs="Times New Roman"/>
          <w:color w:val="000000"/>
          <w:sz w:val="32"/>
          <w:szCs w:val="20"/>
          <w:lang w:eastAsia="zh-CN"/>
        </w:rPr>
      </w:pPr>
    </w:p>
    <w:p>
      <w:pPr>
        <w:keepNext w:val="0"/>
        <w:keepLines w:val="0"/>
        <w:pageBreakBefore w:val="0"/>
        <w:kinsoku/>
        <w:overflowPunct/>
        <w:topLinePunct w:val="0"/>
        <w:autoSpaceDE/>
        <w:bidi w:val="0"/>
        <w:adjustRightInd w:val="0"/>
        <w:snapToGrid w:val="0"/>
        <w:spacing w:line="594" w:lineRule="exact"/>
        <w:ind w:firstLine="0" w:firstLineChars="0"/>
        <w:jc w:val="center"/>
        <w:textAlignment w:val="auto"/>
        <w:rPr>
          <w:rFonts w:hint="default" w:ascii="Times New Roman" w:hAnsi="Times New Roman" w:eastAsia="方正仿宋_GBK" w:cs="Times New Roman"/>
          <w:color w:val="000000"/>
          <w:sz w:val="32"/>
          <w:szCs w:val="20"/>
        </w:rPr>
      </w:pPr>
      <w:r>
        <w:rPr>
          <w:rFonts w:hint="default" w:ascii="Times New Roman" w:hAnsi="Times New Roman" w:eastAsia="方正仿宋_GBK" w:cs="Times New Roman"/>
          <w:color w:val="000000"/>
          <w:sz w:val="32"/>
          <w:szCs w:val="20"/>
          <w:lang w:eastAsia="zh-CN"/>
        </w:rPr>
        <w:t>铜科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20"/>
          <w:lang w:val="en-US" w:eastAsia="zh-CN"/>
        </w:rPr>
        <w:t>局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20"/>
        </w:rPr>
        <w:t>〔20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20"/>
          <w:lang w:val="en-US" w:eastAsia="zh-CN"/>
        </w:rPr>
        <w:t>2</w:t>
      </w:r>
      <w:r>
        <w:rPr>
          <w:rFonts w:hint="eastAsia" w:ascii="Times New Roman" w:hAnsi="Times New Roman" w:eastAsia="方正仿宋_GBK" w:cs="Times New Roman"/>
          <w:color w:val="000000"/>
          <w:sz w:val="32"/>
          <w:szCs w:val="20"/>
          <w:lang w:val="en-US" w:eastAsia="zh-CN"/>
        </w:rPr>
        <w:t>5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20"/>
        </w:rPr>
        <w:t>〕</w:t>
      </w:r>
      <w:r>
        <w:rPr>
          <w:rFonts w:hint="eastAsia" w:ascii="Times New Roman" w:hAnsi="Times New Roman" w:eastAsia="方正仿宋_GBK" w:cs="Times New Roman"/>
          <w:color w:val="000000"/>
          <w:sz w:val="32"/>
          <w:szCs w:val="20"/>
          <w:lang w:val="en-US" w:eastAsia="zh-CN"/>
        </w:rPr>
        <w:t>12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20"/>
        </w:rPr>
        <w:t>号</w:t>
      </w:r>
    </w:p>
    <w:p>
      <w:pPr>
        <w:keepNext w:val="0"/>
        <w:keepLines w:val="0"/>
        <w:pageBreakBefore w:val="0"/>
        <w:kinsoku/>
        <w:overflowPunct/>
        <w:topLinePunct w:val="0"/>
        <w:autoSpaceDE/>
        <w:bidi w:val="0"/>
        <w:spacing w:line="594" w:lineRule="exact"/>
        <w:textAlignment w:val="auto"/>
        <w:rPr>
          <w:rFonts w:hint="default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94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关于申报2024年度市级科技创新平台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94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补助资金的通知</w:t>
      </w:r>
    </w:p>
    <w:p>
      <w:pPr>
        <w:pStyle w:val="4"/>
        <w:keepNext w:val="0"/>
        <w:keepLines w:val="0"/>
        <w:pageBreakBefore w:val="0"/>
        <w:kinsoku/>
        <w:overflowPunct/>
        <w:topLinePunct w:val="0"/>
        <w:autoSpaceDE/>
        <w:bidi w:val="0"/>
        <w:spacing w:line="594" w:lineRule="exact"/>
        <w:textAlignment w:val="auto"/>
        <w:rPr>
          <w:rFonts w:hint="default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i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  <w:t>各</w:t>
      </w:r>
      <w:r>
        <w:rPr>
          <w:rFonts w:hint="default" w:ascii="Times New Roman" w:hAnsi="Times New Roman" w:eastAsia="方正仿宋_GBK" w:cs="Times New Roman"/>
          <w:i w:val="0"/>
          <w:caps w:val="0"/>
          <w:color w:val="000000"/>
          <w:spacing w:val="0"/>
          <w:sz w:val="32"/>
          <w:szCs w:val="32"/>
          <w:shd w:val="clear" w:color="auto" w:fill="FFFFFF"/>
        </w:rPr>
        <w:t>有关</w:t>
      </w:r>
      <w:r>
        <w:rPr>
          <w:rFonts w:hint="eastAsia" w:ascii="方正仿宋_GBK" w:hAnsi="方正仿宋_GBK" w:eastAsia="方正仿宋_GBK" w:cs="方正仿宋_GBK"/>
          <w:i w:val="0"/>
          <w:caps w:val="0"/>
          <w:color w:val="000000"/>
          <w:spacing w:val="0"/>
          <w:sz w:val="32"/>
          <w:szCs w:val="32"/>
          <w:shd w:val="clear" w:color="auto" w:fill="FFFFFF"/>
          <w:lang w:eastAsia="zh-CN"/>
        </w:rPr>
        <w:t>单位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jc w:val="both"/>
        <w:textAlignment w:val="auto"/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为深入贯彻落实习近平总书记关于科技创新重要论述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u w:val="none" w:color="auto"/>
          <w:lang w:val="en-US" w:eastAsia="zh-CN"/>
        </w:rPr>
        <w:t>，</w:t>
      </w:r>
      <w:r>
        <w:rPr>
          <w:rFonts w:hint="eastAsia" w:ascii="方正仿宋_GBK" w:hAnsi="方正仿宋_GBK" w:eastAsia="方正仿宋_GBK" w:cs="方正仿宋_GBK"/>
          <w:b w:val="0"/>
          <w:bCs w:val="0"/>
          <w:snapToGrid/>
          <w:color w:val="000000"/>
          <w:sz w:val="32"/>
          <w:szCs w:val="32"/>
          <w:lang w:val="en-US" w:eastAsia="zh-CN"/>
        </w:rPr>
        <w:t>加快培育高水平、引领性科技创新平台，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u w:val="none" w:color="auto"/>
          <w:lang w:val="en-US" w:eastAsia="zh-CN"/>
        </w:rPr>
        <w:t>突破关键核心技术，推动产学研深度融合，提升区域科技创新整体效能，</w:t>
      </w:r>
      <w:r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u w:val="none"/>
          <w:lang w:val="en-US" w:eastAsia="zh-CN"/>
        </w:rPr>
        <w:t>根据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《铜梁区促进科技创新高质量发展十二条措施》（铜科局〔2024〕13号）第四条要求，拟开展2024年度市级科技创新平台补助资金申报工作，现将有关事项通知如下：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b/>
          <w:bCs/>
          <w:sz w:val="32"/>
          <w:szCs w:val="32"/>
          <w:u w:val="none"/>
          <w:lang w:val="en-US" w:eastAsia="zh-CN"/>
        </w:rPr>
      </w:pPr>
      <w:r>
        <w:rPr>
          <w:rFonts w:hint="eastAsia" w:ascii="方正黑体_GBK" w:hAnsi="方正黑体_GBK" w:eastAsia="方正黑体_GBK" w:cs="方正黑体_GBK"/>
          <w:b w:val="0"/>
          <w:bCs w:val="0"/>
          <w:sz w:val="32"/>
          <w:szCs w:val="32"/>
          <w:u w:val="none"/>
          <w:lang w:val="en-US" w:eastAsia="zh-CN"/>
        </w:rPr>
        <w:t>一、申报主体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/>
        <w:jc w:val="both"/>
        <w:textAlignment w:val="auto"/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u w:val="none"/>
          <w:lang w:val="en-US" w:eastAsia="zh-CN"/>
        </w:rPr>
      </w:pP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u w:val="none"/>
          <w:lang w:val="en-US" w:eastAsia="zh-CN"/>
        </w:rPr>
        <w:t>在铜梁区依法登记注册</w:t>
      </w:r>
      <w:r>
        <w:rPr>
          <w:rFonts w:hint="eastAsia" w:ascii="Times New Roman" w:hAnsi="Times New Roman" w:eastAsia="方正仿宋_GBK" w:cs="Times New Roman"/>
          <w:b w:val="0"/>
          <w:bCs w:val="0"/>
          <w:color w:val="auto"/>
          <w:sz w:val="32"/>
          <w:szCs w:val="32"/>
          <w:u w:val="none"/>
          <w:lang w:val="en-US" w:eastAsia="zh-CN"/>
        </w:rPr>
        <w:t>、经营状况良好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u w:val="none"/>
          <w:lang w:val="en-US" w:eastAsia="zh-CN"/>
        </w:rPr>
        <w:t>的</w:t>
      </w:r>
      <w:r>
        <w:rPr>
          <w:rFonts w:hint="eastAsia" w:ascii="Times New Roman" w:hAnsi="Times New Roman" w:eastAsia="方正仿宋_GBK" w:cs="Times New Roman"/>
          <w:b w:val="0"/>
          <w:bCs w:val="0"/>
          <w:color w:val="auto"/>
          <w:sz w:val="32"/>
          <w:szCs w:val="32"/>
          <w:u w:val="none"/>
          <w:lang w:val="en-US" w:eastAsia="zh-CN"/>
        </w:rPr>
        <w:t>具有独立法人资格的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u w:val="none"/>
          <w:lang w:val="en-US" w:eastAsia="zh-CN"/>
        </w:rPr>
        <w:t>企业</w:t>
      </w:r>
      <w:r>
        <w:rPr>
          <w:rFonts w:hint="eastAsia" w:ascii="Times New Roman" w:hAnsi="Times New Roman" w:eastAsia="方正仿宋_GBK" w:cs="Times New Roman"/>
          <w:b w:val="0"/>
          <w:bCs w:val="0"/>
          <w:color w:val="auto"/>
          <w:sz w:val="32"/>
          <w:szCs w:val="32"/>
          <w:u w:val="none"/>
          <w:lang w:val="en-US" w:eastAsia="zh-CN"/>
        </w:rPr>
        <w:t>、科研机构、事业单位、高等院校及</w:t>
      </w: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  <w:highlight w:val="none"/>
          <w:u w:val="none" w:color="auto"/>
        </w:rPr>
        <w:t>服务高新技术产业发展的行业协会等社会组织</w:t>
      </w:r>
      <w:r>
        <w:rPr>
          <w:rFonts w:hint="eastAsia" w:ascii="Times New Roman" w:hAnsi="Times New Roman" w:eastAsia="方正仿宋_GBK" w:cs="Times New Roman"/>
          <w:b w:val="0"/>
          <w:bCs w:val="0"/>
          <w:color w:val="auto"/>
          <w:sz w:val="32"/>
          <w:szCs w:val="32"/>
          <w:u w:val="none"/>
          <w:lang w:val="en-US" w:eastAsia="zh-CN"/>
        </w:rPr>
        <w:t>；申报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u w:val="none"/>
          <w:lang w:val="en-US" w:eastAsia="zh-CN"/>
        </w:rPr>
        <w:t>单位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highlight w:val="none"/>
          <w:u w:val="none" w:color="auto"/>
          <w:lang w:eastAsia="zh-CN"/>
        </w:rPr>
        <w:t>近三年</w:t>
      </w: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  <w:highlight w:val="none"/>
          <w:u w:val="none" w:color="auto"/>
          <w:lang w:eastAsia="zh-CN"/>
        </w:rPr>
        <w:t>不存在重大税收违法行为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highlight w:val="none"/>
          <w:u w:val="none" w:color="auto"/>
          <w:lang w:eastAsia="zh-CN"/>
        </w:rPr>
        <w:t>、</w:t>
      </w: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  <w:highlight w:val="none"/>
          <w:u w:val="none" w:color="auto"/>
          <w:lang w:eastAsia="zh-CN"/>
        </w:rPr>
        <w:t>未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highlight w:val="none"/>
          <w:u w:val="none" w:color="auto"/>
        </w:rPr>
        <w:t>发生重大安全</w:t>
      </w: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  <w:highlight w:val="none"/>
          <w:u w:val="none" w:color="auto"/>
          <w:lang w:eastAsia="zh-CN"/>
        </w:rPr>
        <w:t>事故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highlight w:val="none"/>
          <w:u w:val="none" w:color="auto"/>
        </w:rPr>
        <w:t>、</w:t>
      </w: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  <w:highlight w:val="none"/>
          <w:u w:val="none" w:color="auto"/>
          <w:lang w:eastAsia="zh-CN"/>
        </w:rPr>
        <w:t>重大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highlight w:val="none"/>
          <w:u w:val="none" w:color="auto"/>
        </w:rPr>
        <w:t>质量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highlight w:val="none"/>
          <w:u w:val="none" w:color="auto"/>
          <w:lang w:eastAsia="zh-CN"/>
        </w:rPr>
        <w:t>事故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highlight w:val="none"/>
          <w:u w:val="none" w:color="auto"/>
        </w:rPr>
        <w:t>和</w:t>
      </w: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  <w:highlight w:val="none"/>
          <w:u w:val="none" w:color="auto"/>
          <w:lang w:eastAsia="zh-CN"/>
        </w:rPr>
        <w:t>重大环境污染事故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highlight w:val="none"/>
          <w:u w:val="none" w:color="auto"/>
          <w:lang w:eastAsia="zh-CN"/>
        </w:rPr>
        <w:t>、</w:t>
      </w: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  <w:highlight w:val="none"/>
          <w:u w:val="none" w:color="auto"/>
          <w:lang w:eastAsia="zh-CN"/>
        </w:rPr>
        <w:t>不存在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highlight w:val="none"/>
          <w:u w:val="none" w:color="auto"/>
          <w:lang w:eastAsia="zh-CN"/>
        </w:rPr>
        <w:t>科研严重失信行为</w:t>
      </w: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  <w:highlight w:val="none"/>
          <w:u w:val="none" w:color="auto"/>
          <w:lang w:eastAsia="zh-CN"/>
        </w:rPr>
        <w:t>且未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highlight w:val="none"/>
          <w:u w:val="none" w:color="auto"/>
        </w:rPr>
        <w:t>被国家、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highlight w:val="none"/>
          <w:u w:val="none" w:color="auto"/>
          <w:lang w:eastAsia="zh-CN"/>
        </w:rPr>
        <w:t>市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highlight w:val="none"/>
          <w:u w:val="none" w:color="auto"/>
        </w:rPr>
        <w:t>、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highlight w:val="none"/>
          <w:u w:val="none" w:color="auto"/>
          <w:lang w:eastAsia="zh-CN"/>
        </w:rPr>
        <w:t>区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highlight w:val="none"/>
          <w:u w:val="none" w:color="auto"/>
        </w:rPr>
        <w:t>相关部门列入失信联合惩戒对象名单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u w:val="none"/>
          <w:lang w:val="en-US" w:eastAsia="zh-CN"/>
        </w:rPr>
        <w:t>。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u w:val="none"/>
          <w:lang w:val="en-US" w:eastAsia="zh-CN"/>
        </w:rPr>
        <w:t>申报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u w:val="none"/>
          <w:lang w:val="en-US" w:eastAsia="zh-CN"/>
        </w:rPr>
        <w:t>单位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u w:val="none"/>
          <w:lang w:val="en-US" w:eastAsia="zh-CN"/>
        </w:rPr>
        <w:t>若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u w:val="none"/>
          <w:lang w:val="en-US" w:eastAsia="zh-CN"/>
        </w:rPr>
        <w:t>为企业的，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u w:val="none"/>
          <w:lang w:val="en-US" w:eastAsia="zh-CN"/>
        </w:rPr>
        <w:t>应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u w:val="none"/>
          <w:lang w:val="en-US" w:eastAsia="zh-CN"/>
        </w:rPr>
        <w:t>入库重庆科技型企业管理系统，且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u w:val="none"/>
          <w:lang w:val="en-US" w:eastAsia="zh-CN"/>
        </w:rPr>
        <w:t>按规定更新年度报表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u w:val="none"/>
          <w:lang w:val="en-US" w:eastAsia="zh-CN"/>
        </w:rPr>
        <w:t>。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u w:val="none"/>
          <w:lang w:val="en-US" w:eastAsia="zh-CN"/>
        </w:rPr>
        <w:t>申报单位的市级科技创新平台认定时间在2024年1月1日—2024年12月31日之间。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b/>
          <w:bCs/>
          <w:sz w:val="32"/>
          <w:szCs w:val="32"/>
          <w:u w:val="none"/>
          <w:lang w:val="en-US" w:eastAsia="zh-CN"/>
        </w:rPr>
      </w:pPr>
      <w:r>
        <w:rPr>
          <w:rFonts w:hint="eastAsia" w:ascii="方正黑体_GBK" w:hAnsi="方正黑体_GBK" w:eastAsia="方正黑体_GBK" w:cs="方正黑体_GBK"/>
          <w:b w:val="0"/>
          <w:bCs w:val="0"/>
          <w:sz w:val="32"/>
          <w:szCs w:val="32"/>
          <w:u w:val="none"/>
          <w:lang w:val="en-US" w:eastAsia="zh-CN"/>
        </w:rPr>
        <w:t>二、申报类型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jc w:val="both"/>
        <w:textAlignment w:val="auto"/>
        <w:rPr>
          <w:rFonts w:hint="eastAsia" w:ascii="方正仿宋_GBK" w:hAnsi="方正仿宋_GBK" w:eastAsia="方正仿宋_GBK" w:cs="方正仿宋_GBK"/>
          <w:b w:val="0"/>
          <w:bCs w:val="0"/>
          <w:snapToGrid/>
          <w:color w:val="000000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snapToGrid/>
          <w:color w:val="000000"/>
          <w:sz w:val="32"/>
          <w:szCs w:val="32"/>
          <w:lang w:val="en-US" w:eastAsia="zh-CN"/>
        </w:rPr>
        <w:t>本次补助的市级科技创新平台包括以下三类：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eastAsia="zh-CN"/>
        </w:rPr>
        <w:t>重庆实验室、重庆市重点实验室、重庆市技术创新中心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b/>
          <w:bCs/>
          <w:sz w:val="32"/>
          <w:szCs w:val="32"/>
          <w:u w:val="none"/>
          <w:lang w:val="en-US" w:eastAsia="zh-CN"/>
        </w:rPr>
      </w:pPr>
      <w:r>
        <w:rPr>
          <w:rFonts w:hint="eastAsia" w:ascii="方正黑体_GBK" w:hAnsi="方正黑体_GBK" w:eastAsia="方正黑体_GBK" w:cs="方正黑体_GBK"/>
          <w:b w:val="0"/>
          <w:bCs w:val="0"/>
          <w:sz w:val="32"/>
          <w:szCs w:val="32"/>
          <w:u w:val="none"/>
          <w:lang w:val="en-US" w:eastAsia="zh-CN"/>
        </w:rPr>
        <w:t>三、支持政策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eastAsia="zh-CN"/>
        </w:rPr>
        <w:t>对新认定的重庆实验室、重庆市重点实验室、重庆市技术创新中心，分别给予200万元、50万元、40万元一次性建设补助。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hint="eastAsia" w:ascii="方正黑体_GBK" w:hAnsi="方正黑体_GBK" w:eastAsia="方正黑体_GBK" w:cs="方正黑体_GBK"/>
          <w:b w:val="0"/>
          <w:bCs w:val="0"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方正黑体_GBK" w:hAnsi="方正黑体_GBK" w:eastAsia="方正黑体_GBK" w:cs="方正黑体_GBK"/>
          <w:b w:val="0"/>
          <w:bCs w:val="0"/>
          <w:color w:val="auto"/>
          <w:sz w:val="32"/>
          <w:szCs w:val="32"/>
          <w:u w:val="none"/>
          <w:lang w:val="en-US" w:eastAsia="zh-CN"/>
        </w:rPr>
        <w:t>四、申报材料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b w:val="0"/>
          <w:bCs w:val="0"/>
          <w:snapToGrid/>
          <w:color w:val="00000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b w:val="0"/>
          <w:bCs w:val="0"/>
          <w:snapToGrid/>
          <w:color w:val="000000"/>
          <w:sz w:val="32"/>
          <w:szCs w:val="32"/>
          <w:u w:val="none"/>
          <w:lang w:val="en-US" w:eastAsia="zh-CN"/>
        </w:rPr>
        <w:t>申报单位请将以下材料按顺序装订，并加盖骑缝章，一式二份于</w:t>
      </w:r>
      <w:r>
        <w:rPr>
          <w:rFonts w:hint="default" w:ascii="Times New Roman" w:hAnsi="Times New Roman" w:eastAsia="方正仿宋_GBK" w:cs="Times New Roman"/>
          <w:b w:val="0"/>
          <w:bCs w:val="0"/>
          <w:snapToGrid/>
          <w:color w:val="000000"/>
          <w:sz w:val="32"/>
          <w:szCs w:val="32"/>
          <w:u w:val="none"/>
          <w:lang w:val="en-US" w:eastAsia="zh-CN"/>
        </w:rPr>
        <w:t>202</w:t>
      </w:r>
      <w:r>
        <w:rPr>
          <w:rFonts w:hint="eastAsia" w:ascii="Times New Roman" w:hAnsi="Times New Roman" w:eastAsia="方正仿宋_GBK" w:cs="Times New Roman"/>
          <w:b w:val="0"/>
          <w:bCs w:val="0"/>
          <w:snapToGrid/>
          <w:color w:val="000000"/>
          <w:sz w:val="32"/>
          <w:szCs w:val="32"/>
          <w:u w:val="none"/>
          <w:lang w:val="en-US" w:eastAsia="zh-CN"/>
        </w:rPr>
        <w:t>5</w:t>
      </w:r>
      <w:r>
        <w:rPr>
          <w:rFonts w:hint="default" w:ascii="Times New Roman" w:hAnsi="Times New Roman" w:eastAsia="方正仿宋_GBK" w:cs="Times New Roman"/>
          <w:b w:val="0"/>
          <w:bCs w:val="0"/>
          <w:snapToGrid/>
          <w:color w:val="000000"/>
          <w:sz w:val="32"/>
          <w:szCs w:val="32"/>
          <w:u w:val="none"/>
          <w:lang w:val="en-US" w:eastAsia="zh-CN"/>
        </w:rPr>
        <w:t>年</w:t>
      </w:r>
      <w:r>
        <w:rPr>
          <w:rFonts w:hint="eastAsia" w:ascii="Times New Roman" w:hAnsi="Times New Roman" w:eastAsia="方正仿宋_GBK" w:cs="Times New Roman"/>
          <w:b w:val="0"/>
          <w:bCs w:val="0"/>
          <w:snapToGrid/>
          <w:color w:val="000000"/>
          <w:sz w:val="32"/>
          <w:szCs w:val="32"/>
          <w:u w:val="none"/>
          <w:lang w:val="en-US" w:eastAsia="zh-CN"/>
        </w:rPr>
        <w:t>9</w:t>
      </w:r>
      <w:r>
        <w:rPr>
          <w:rFonts w:hint="default" w:ascii="Times New Roman" w:hAnsi="Times New Roman" w:eastAsia="方正仿宋_GBK" w:cs="Times New Roman"/>
          <w:b w:val="0"/>
          <w:bCs w:val="0"/>
          <w:snapToGrid/>
          <w:color w:val="000000"/>
          <w:sz w:val="32"/>
          <w:szCs w:val="32"/>
          <w:u w:val="none"/>
          <w:lang w:val="en-US" w:eastAsia="zh-CN"/>
        </w:rPr>
        <w:t>月</w:t>
      </w:r>
      <w:r>
        <w:rPr>
          <w:rFonts w:hint="eastAsia" w:ascii="Times New Roman" w:hAnsi="Times New Roman" w:eastAsia="方正仿宋_GBK" w:cs="Times New Roman"/>
          <w:b w:val="0"/>
          <w:bCs w:val="0"/>
          <w:snapToGrid/>
          <w:color w:val="000000"/>
          <w:sz w:val="32"/>
          <w:szCs w:val="32"/>
          <w:u w:val="none"/>
          <w:lang w:val="en-US" w:eastAsia="zh-CN"/>
        </w:rPr>
        <w:t>15</w:t>
      </w:r>
      <w:r>
        <w:rPr>
          <w:rFonts w:hint="default" w:ascii="Times New Roman" w:hAnsi="Times New Roman" w:eastAsia="方正仿宋_GBK" w:cs="Times New Roman"/>
          <w:b w:val="0"/>
          <w:bCs w:val="0"/>
          <w:snapToGrid/>
          <w:color w:val="000000"/>
          <w:sz w:val="32"/>
          <w:szCs w:val="32"/>
          <w:u w:val="none"/>
          <w:lang w:val="en-US" w:eastAsia="zh-CN"/>
        </w:rPr>
        <w:t>日前交区科技局401室，并将电子档发送到</w:t>
      </w:r>
      <w:r>
        <w:rPr>
          <w:rFonts w:hint="eastAsia" w:ascii="Times New Roman" w:hAnsi="Times New Roman" w:eastAsia="方正仿宋_GBK" w:cs="Times New Roman"/>
          <w:b w:val="0"/>
          <w:bCs w:val="0"/>
          <w:snapToGrid/>
          <w:color w:val="000000"/>
          <w:sz w:val="32"/>
          <w:szCs w:val="32"/>
          <w:u w:val="none"/>
          <w:lang w:val="en-US" w:eastAsia="zh-CN"/>
        </w:rPr>
        <w:t>1847838437</w:t>
      </w:r>
      <w:r>
        <w:rPr>
          <w:rFonts w:hint="default" w:ascii="Times New Roman" w:hAnsi="Times New Roman" w:eastAsia="方正仿宋_GBK" w:cs="Times New Roman"/>
          <w:b w:val="0"/>
          <w:bCs w:val="0"/>
          <w:snapToGrid/>
          <w:color w:val="000000"/>
          <w:sz w:val="32"/>
          <w:szCs w:val="32"/>
          <w:u w:val="none"/>
          <w:lang w:val="en-US" w:eastAsia="zh-CN"/>
        </w:rPr>
        <w:t>@qq.com，逾期不予受理。</w:t>
      </w:r>
    </w:p>
    <w:p>
      <w:pPr>
        <w:pStyle w:val="4"/>
        <w:keepNext w:val="0"/>
        <w:keepLines w:val="0"/>
        <w:pageBreakBefore w:val="0"/>
        <w:numPr>
          <w:ilvl w:val="0"/>
          <w:numId w:val="0"/>
        </w:numPr>
        <w:kinsoku/>
        <w:overflowPunct/>
        <w:topLinePunct w:val="0"/>
        <w:autoSpaceDE/>
        <w:bidi w:val="0"/>
        <w:spacing w:line="594" w:lineRule="exact"/>
        <w:ind w:left="0" w:leftChars="0"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1.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铜梁区促进科技创新高质量发展十二条措施扶持项目申报表；</w:t>
      </w:r>
    </w:p>
    <w:p>
      <w:pPr>
        <w:pStyle w:val="4"/>
        <w:keepNext w:val="0"/>
        <w:keepLines w:val="0"/>
        <w:pageBreakBefore w:val="0"/>
        <w:widowControl w:val="0"/>
        <w:numPr>
          <w:ilvl w:val="0"/>
          <w:numId w:val="0"/>
        </w:numPr>
        <w:kinsoku/>
        <w:overflowPunct/>
        <w:topLinePunct w:val="0"/>
        <w:autoSpaceDE/>
        <w:bidi w:val="0"/>
        <w:spacing w:line="594" w:lineRule="exact"/>
        <w:ind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2.申报材料真实性承诺书；</w:t>
      </w:r>
    </w:p>
    <w:p>
      <w:pPr>
        <w:pStyle w:val="4"/>
        <w:keepNext w:val="0"/>
        <w:keepLines w:val="0"/>
        <w:pageBreakBefore w:val="0"/>
        <w:widowControl w:val="0"/>
        <w:numPr>
          <w:ilvl w:val="0"/>
          <w:numId w:val="0"/>
        </w:numPr>
        <w:kinsoku/>
        <w:overflowPunct/>
        <w:topLinePunct w:val="0"/>
        <w:autoSpaceDE/>
        <w:bidi w:val="0"/>
        <w:spacing w:line="594" w:lineRule="exact"/>
        <w:ind w:firstLine="640" w:firstLineChars="200"/>
        <w:jc w:val="left"/>
        <w:textAlignment w:val="auto"/>
        <w:rPr>
          <w:rFonts w:hint="default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3.市级平台认定文件等相关资料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；</w:t>
      </w:r>
    </w:p>
    <w:p>
      <w:pPr>
        <w:pStyle w:val="4"/>
        <w:keepNext w:val="0"/>
        <w:keepLines w:val="0"/>
        <w:pageBreakBefore w:val="0"/>
        <w:widowControl w:val="0"/>
        <w:numPr>
          <w:ilvl w:val="0"/>
          <w:numId w:val="0"/>
        </w:numPr>
        <w:kinsoku/>
        <w:overflowPunct/>
        <w:topLinePunct w:val="0"/>
        <w:autoSpaceDE/>
        <w:bidi w:val="0"/>
        <w:spacing w:line="594" w:lineRule="exact"/>
        <w:ind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Times New Roman" w:hAnsi="Times New Roman" w:eastAsia="方正仿宋_GBK" w:cs="Times New Roman"/>
          <w:b w:val="0"/>
          <w:bCs w:val="0"/>
          <w:color w:val="auto"/>
          <w:sz w:val="32"/>
          <w:szCs w:val="32"/>
          <w:u w:val="none"/>
          <w:lang w:val="en-US" w:eastAsia="zh-CN"/>
        </w:rPr>
        <w:t>4.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u w:val="none"/>
          <w:lang w:val="en-US" w:eastAsia="zh-CN"/>
        </w:rPr>
        <w:t>营业执照副本复印件（如有企业名称变更的，需提供工商变更证明）</w:t>
      </w:r>
      <w:r>
        <w:rPr>
          <w:rFonts w:hint="default" w:ascii="Times New Roman" w:hAnsi="Times New Roman" w:eastAsia="方正仿宋_GBK" w:cs="Times New Roman"/>
          <w:b w:val="0"/>
          <w:bCs w:val="0"/>
          <w:snapToGrid/>
          <w:color w:val="000000"/>
          <w:sz w:val="32"/>
          <w:szCs w:val="32"/>
          <w:lang w:val="en-US" w:eastAsia="zh-CN"/>
        </w:rPr>
        <w:t>及法定代表人身份证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highlight w:val="none"/>
          <w:lang w:val="en-US" w:eastAsia="zh-CN"/>
        </w:rPr>
        <w:t>复印件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u w:val="none"/>
          <w:lang w:val="en-US" w:eastAsia="zh-CN"/>
        </w:rPr>
        <w:t>，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信用中国查询结果（含水印）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u w:val="none"/>
          <w:lang w:val="en-US" w:eastAsia="zh-CN"/>
        </w:rPr>
        <w:t>。</w:t>
      </w:r>
    </w:p>
    <w:p>
      <w:pPr>
        <w:pStyle w:val="4"/>
        <w:keepNext w:val="0"/>
        <w:keepLines w:val="0"/>
        <w:pageBreakBefore w:val="0"/>
        <w:widowControl w:val="0"/>
        <w:numPr>
          <w:ilvl w:val="0"/>
          <w:numId w:val="0"/>
        </w:numPr>
        <w:kinsoku/>
        <w:overflowPunct/>
        <w:topLinePunct w:val="0"/>
        <w:autoSpaceDE/>
        <w:bidi w:val="0"/>
        <w:spacing w:line="594" w:lineRule="exact"/>
        <w:jc w:val="left"/>
        <w:textAlignment w:val="auto"/>
        <w:rPr>
          <w:rFonts w:hint="default" w:ascii="方正仿宋_GBK" w:hAnsi="方正仿宋_GBK" w:eastAsia="方正仿宋_GBK" w:cs="方正仿宋_GBK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left="1598" w:leftChars="304" w:hanging="960" w:hangingChars="300"/>
        <w:textAlignment w:val="auto"/>
        <w:rPr>
          <w:rFonts w:hint="eastAsia" w:ascii="Times New Roman" w:hAnsi="Times New Roman" w:eastAsia="方正仿宋_GBK" w:cs="Times New Roman"/>
          <w:b w:val="0"/>
          <w:bCs w:val="0"/>
          <w:snapToGrid/>
          <w:color w:val="0000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u w:val="none"/>
          <w:lang w:val="en-US" w:eastAsia="zh-CN"/>
        </w:rPr>
        <w:t>附</w:t>
      </w:r>
      <w:r>
        <w:rPr>
          <w:rFonts w:hint="eastAsia" w:ascii="Times New Roman" w:hAnsi="Times New Roman" w:eastAsia="方正仿宋_GBK" w:cs="Times New Roman"/>
          <w:b w:val="0"/>
          <w:bCs w:val="0"/>
          <w:color w:val="auto"/>
          <w:sz w:val="32"/>
          <w:szCs w:val="32"/>
          <w:u w:val="none"/>
          <w:lang w:val="en-US" w:eastAsia="zh-CN"/>
        </w:rPr>
        <w:t>件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u w:val="none"/>
          <w:lang w:val="en-US" w:eastAsia="zh-CN"/>
        </w:rPr>
        <w:t>：</w:t>
      </w:r>
      <w:r>
        <w:rPr>
          <w:rFonts w:hint="eastAsia" w:ascii="Times New Roman" w:hAnsi="Times New Roman" w:eastAsia="方正仿宋_GBK" w:cs="Times New Roman"/>
          <w:b w:val="0"/>
          <w:bCs w:val="0"/>
          <w:color w:val="auto"/>
          <w:sz w:val="32"/>
          <w:szCs w:val="32"/>
          <w:u w:val="none"/>
          <w:lang w:val="en-US" w:eastAsia="zh-CN"/>
        </w:rPr>
        <w:t>1.</w:t>
      </w:r>
      <w:r>
        <w:rPr>
          <w:rFonts w:hint="eastAsia" w:ascii="Times New Roman" w:hAnsi="Times New Roman" w:eastAsia="方正仿宋_GBK" w:cs="Times New Roman"/>
          <w:b w:val="0"/>
          <w:bCs w:val="0"/>
          <w:snapToGrid/>
          <w:color w:val="000000"/>
          <w:sz w:val="32"/>
          <w:szCs w:val="32"/>
          <w:lang w:val="en-US" w:eastAsia="zh-CN"/>
        </w:rPr>
        <w:t>铜梁区促进科技创新高质量发展十二条措施扶持项目申报表</w:t>
      </w:r>
    </w:p>
    <w:p>
      <w:pPr>
        <w:pStyle w:val="2"/>
        <w:ind w:firstLine="1600" w:firstLineChars="500"/>
        <w:jc w:val="left"/>
        <w:rPr>
          <w:rFonts w:hint="default" w:ascii="Times New Roman" w:hAnsi="Times New Roman" w:eastAsia="方正仿宋_GBK" w:cs="Times New Roman"/>
          <w:b w:val="0"/>
          <w:bCs w:val="0"/>
          <w:snapToGrid/>
          <w:color w:val="00000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b w:val="0"/>
          <w:bCs w:val="0"/>
          <w:snapToGrid/>
          <w:color w:val="000000"/>
          <w:sz w:val="32"/>
          <w:szCs w:val="32"/>
          <w:lang w:val="en-US" w:eastAsia="zh-CN"/>
        </w:rPr>
        <w:t>2.申报材料真实性承诺书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hint="eastAsia" w:ascii="Times New Roman" w:hAnsi="Times New Roman" w:eastAsia="方正仿宋_GBK" w:cs="Times New Roman"/>
          <w:b w:val="0"/>
          <w:bCs w:val="0"/>
          <w:color w:val="auto"/>
          <w:sz w:val="32"/>
          <w:szCs w:val="32"/>
          <w:u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textAlignment w:val="auto"/>
        <w:rPr>
          <w:rFonts w:hint="eastAsia" w:ascii="Times New Roman" w:hAnsi="Times New Roman" w:eastAsia="方正仿宋_GBK" w:cs="Times New Roman"/>
          <w:b w:val="0"/>
          <w:bCs w:val="0"/>
          <w:color w:val="auto"/>
          <w:sz w:val="32"/>
          <w:szCs w:val="32"/>
          <w:u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jc w:val="right"/>
        <w:textAlignment w:val="auto"/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Times New Roman" w:hAnsi="Times New Roman" w:eastAsia="方正仿宋_GBK" w:cs="Times New Roman"/>
          <w:b w:val="0"/>
          <w:bCs w:val="0"/>
          <w:color w:val="auto"/>
          <w:sz w:val="32"/>
          <w:szCs w:val="32"/>
          <w:u w:val="none"/>
          <w:lang w:val="en-US" w:eastAsia="zh-CN"/>
        </w:rPr>
        <w:t xml:space="preserve">重庆市铜梁区科学技术局    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jc w:val="right"/>
        <w:textAlignment w:val="auto"/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Times New Roman" w:hAnsi="Times New Roman" w:eastAsia="方正仿宋_GBK" w:cs="Times New Roman"/>
          <w:b w:val="0"/>
          <w:bCs w:val="0"/>
          <w:color w:val="auto"/>
          <w:sz w:val="32"/>
          <w:szCs w:val="32"/>
          <w:u w:val="none"/>
          <w:lang w:val="en-US" w:eastAsia="zh-CN"/>
        </w:rPr>
        <w:t xml:space="preserve">2025年9月10日      </w:t>
      </w:r>
    </w:p>
    <w:p>
      <w:pPr>
        <w:pStyle w:val="4"/>
        <w:keepNext w:val="0"/>
        <w:keepLines w:val="0"/>
        <w:pageBreakBefore w:val="0"/>
        <w:kinsoku/>
        <w:overflowPunct/>
        <w:topLinePunct w:val="0"/>
        <w:autoSpaceDE/>
        <w:bidi w:val="0"/>
        <w:spacing w:line="594" w:lineRule="exact"/>
        <w:ind w:left="0" w:leftChars="0" w:firstLine="640" w:firstLineChars="0"/>
        <w:jc w:val="left"/>
        <w:textAlignment w:val="auto"/>
        <w:rPr>
          <w:rFonts w:hint="default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（联系人：邹杰；联系电话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：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023-</w:t>
      </w:r>
      <w:r>
        <w:rPr>
          <w:rFonts w:hint="default" w:ascii="Times New Roman" w:hAnsi="Times New Roman" w:eastAsia="方正仿宋_GBK" w:cs="Times New Roman"/>
          <w:sz w:val="32"/>
          <w:szCs w:val="32"/>
          <w:vertAlign w:val="baseline"/>
          <w:lang w:val="en-US" w:eastAsia="zh-CN"/>
        </w:rPr>
        <w:t>4567</w:t>
      </w:r>
      <w:r>
        <w:rPr>
          <w:rFonts w:hint="eastAsia" w:ascii="Times New Roman" w:hAnsi="Times New Roman" w:cs="Times New Roman"/>
          <w:sz w:val="32"/>
          <w:szCs w:val="32"/>
          <w:vertAlign w:val="baseline"/>
          <w:lang w:val="en-US" w:eastAsia="zh-CN"/>
        </w:rPr>
        <w:t>2394</w:t>
      </w:r>
      <w:r>
        <w:rPr>
          <w:rFonts w:hint="eastAsia" w:ascii="Times New Roman" w:hAnsi="Times New Roman" w:eastAsia="方正仿宋_GBK" w:cs="Times New Roman"/>
          <w:sz w:val="32"/>
          <w:szCs w:val="32"/>
          <w:vertAlign w:val="baseline"/>
          <w:lang w:val="en-US" w:eastAsia="zh-CN"/>
        </w:rPr>
        <w:t>）</w:t>
      </w:r>
    </w:p>
    <w:p/>
    <w:sectPr>
      <w:pgSz w:w="11906" w:h="16838"/>
      <w:pgMar w:top="1984" w:right="1446" w:bottom="1644" w:left="1446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57E2E52"/>
    <w:rsid w:val="757E2E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qFormat="1"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6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jc w:val="center"/>
    </w:pPr>
    <w:rPr>
      <w:rFonts w:eastAsia="黑体"/>
      <w:sz w:val="44"/>
      <w:szCs w:val="24"/>
    </w:rPr>
  </w:style>
  <w:style w:type="paragraph" w:styleId="3">
    <w:name w:val="toc 5"/>
    <w:basedOn w:val="1"/>
    <w:next w:val="1"/>
    <w:qFormat/>
    <w:uiPriority w:val="0"/>
    <w:pPr>
      <w:ind w:left="1680" w:leftChars="800"/>
    </w:pPr>
    <w:rPr>
      <w:rFonts w:ascii="Times New Roman" w:hAnsi="Times New Roman" w:eastAsia="宋体" w:cs="Times New Roman"/>
    </w:rPr>
  </w:style>
  <w:style w:type="paragraph" w:styleId="4">
    <w:name w:val="Body Text First Indent"/>
    <w:basedOn w:val="2"/>
    <w:unhideWhenUsed/>
    <w:qFormat/>
    <w:uiPriority w:val="99"/>
    <w:pPr>
      <w:ind w:firstLine="420" w:firstLineChars="1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Office_11.8.2.8053_F1E327BC-269C-435d-A152-05C5408002CA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2025-09-10T09:01:00Z</dcterms:created>
  <dc:creator>噔哩个铛</dc:creator>
  <cp:lastModifiedBy>噔哩个铛</cp:lastModifiedBy>
  <dcterms:modified xsi:type="dcterms:W3CDTF">2025-09-10T09:06:51Z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2052-11.8.2.8053</vt:lpwstr>
  </property>
</Properties>
</file>