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ascii="sans-serif" w:hAnsi="sans-serif" w:eastAsia="sans-serif" w:cs="sans-serif"/>
          <w:i w:val="0"/>
          <w:caps w:val="0"/>
          <w:color w:val="000000"/>
          <w:spacing w:val="0"/>
          <w:sz w:val="27"/>
          <w:szCs w:val="27"/>
        </w:rPr>
      </w:pPr>
      <w:r>
        <w:rPr>
          <w:rFonts w:ascii="方正小标宋_GBK" w:hAnsi="方正小标宋_GBK" w:eastAsia="方正小标宋_GBK" w:cs="方正小标宋_GBK"/>
          <w:i w:val="0"/>
          <w:caps w:val="0"/>
          <w:color w:val="000000"/>
          <w:spacing w:val="0"/>
          <w:sz w:val="44"/>
          <w:szCs w:val="44"/>
        </w:rPr>
        <w:t>重庆市铜梁区农业农村委员会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0"/>
          <w:sz w:val="44"/>
          <w:szCs w:val="44"/>
        </w:rPr>
        <w:t>关于</w:t>
      </w:r>
      <w:r>
        <w:rPr>
          <w:rFonts w:hint="eastAsia" w:ascii="方正小标宋_GBK" w:hAnsi="方正小标宋_GBK" w:eastAsia="方正小标宋_GBK" w:cs="方正小标宋_GBK"/>
          <w:i w:val="0"/>
          <w:caps w:val="0"/>
          <w:color w:val="000000"/>
          <w:spacing w:val="-20"/>
          <w:sz w:val="44"/>
          <w:szCs w:val="44"/>
        </w:rPr>
        <w:t>《铜梁区农业财政资金补助项目监督管理办法》的起草说明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sans-serif" w:hAnsi="sans-serif" w:eastAsia="sans-serif" w:cs="sans-serif"/>
          <w:i w:val="0"/>
          <w:caps w:val="0"/>
          <w:color w:val="000000"/>
          <w:spacing w:val="0"/>
          <w:sz w:val="27"/>
          <w:szCs w:val="27"/>
        </w:rPr>
      </w:pPr>
      <w:r>
        <w:rPr>
          <w:rFonts w:ascii="Calibri" w:hAnsi="Calibri" w:eastAsia="sans-serif" w:cs="Calibri"/>
          <w:i w:val="0"/>
          <w:caps w:val="0"/>
          <w:color w:val="000000"/>
          <w:spacing w:val="0"/>
          <w:sz w:val="32"/>
          <w:szCs w:val="32"/>
        </w:rPr>
        <w:t> </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ascii="方正黑体_GBK" w:hAnsi="方正黑体_GBK" w:eastAsia="方正黑体_GBK" w:cs="方正黑体_GBK"/>
          <w:i w:val="0"/>
          <w:caps w:val="0"/>
          <w:color w:val="000000"/>
          <w:spacing w:val="0"/>
          <w:sz w:val="32"/>
          <w:szCs w:val="32"/>
        </w:rPr>
        <w:t>一、文件修订定背景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ascii="方正仿宋_GBK" w:hAnsi="方正仿宋_GBK" w:eastAsia="方正仿宋_GBK" w:cs="方正仿宋_GBK"/>
          <w:i w:val="0"/>
          <w:caps w:val="0"/>
          <w:color w:val="000000"/>
          <w:spacing w:val="0"/>
          <w:sz w:val="32"/>
          <w:szCs w:val="32"/>
        </w:rPr>
        <w:t>根据《铜梁区农业财政资金补助项目监督管理办法》（铜府办发〔</w:t>
      </w:r>
      <w:r>
        <w:rPr>
          <w:rFonts w:hint="default" w:ascii="Times New Roman" w:hAnsi="Times New Roman" w:eastAsia="sans-serif" w:cs="Times New Roman"/>
          <w:i w:val="0"/>
          <w:caps w:val="0"/>
          <w:color w:val="000000"/>
          <w:spacing w:val="0"/>
          <w:sz w:val="32"/>
          <w:szCs w:val="32"/>
        </w:rPr>
        <w:t>2022</w:t>
      </w: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14</w:t>
      </w:r>
      <w:r>
        <w:rPr>
          <w:rFonts w:hint="eastAsia" w:ascii="方正仿宋_GBK" w:hAnsi="方正仿宋_GBK" w:eastAsia="方正仿宋_GBK" w:cs="方正仿宋_GBK"/>
          <w:i w:val="0"/>
          <w:caps w:val="0"/>
          <w:color w:val="000000"/>
          <w:spacing w:val="0"/>
          <w:sz w:val="32"/>
          <w:szCs w:val="32"/>
        </w:rPr>
        <w:t>号）实施以来的情况，发现部分规定存在瑕疵，需进一步完善。</w:t>
      </w:r>
      <w:r>
        <w:rPr>
          <w:rFonts w:hint="eastAsia" w:ascii="方正仿宋_GBK" w:hAnsi="方正仿宋_GBK" w:eastAsia="方正仿宋_GBK" w:cs="方正仿宋_GBK"/>
          <w:b/>
          <w:i w:val="0"/>
          <w:caps w:val="0"/>
          <w:color w:val="000000"/>
          <w:spacing w:val="0"/>
          <w:sz w:val="32"/>
          <w:szCs w:val="32"/>
        </w:rPr>
        <w:t>一是</w:t>
      </w:r>
      <w:r>
        <w:rPr>
          <w:rFonts w:hint="eastAsia" w:ascii="方正仿宋_GBK" w:hAnsi="方正仿宋_GBK" w:eastAsia="方正仿宋_GBK" w:cs="方正仿宋_GBK"/>
          <w:i w:val="0"/>
          <w:caps w:val="0"/>
          <w:color w:val="000000"/>
          <w:spacing w:val="0"/>
          <w:sz w:val="32"/>
          <w:szCs w:val="32"/>
        </w:rPr>
        <w:t>项目申报条件需完善。比如：某公司因未按规定组织道路运输驾驶员教育培训被铜梁区道路运输管理所处罚</w:t>
      </w:r>
      <w:r>
        <w:rPr>
          <w:rFonts w:hint="default" w:ascii="Times New Roman" w:hAnsi="Times New Roman" w:eastAsia="sans-serif" w:cs="Times New Roman"/>
          <w:i w:val="0"/>
          <w:caps w:val="0"/>
          <w:color w:val="000000"/>
          <w:spacing w:val="0"/>
          <w:sz w:val="32"/>
          <w:szCs w:val="32"/>
        </w:rPr>
        <w:t>1000</w:t>
      </w:r>
      <w:r>
        <w:rPr>
          <w:rFonts w:hint="eastAsia" w:ascii="方正仿宋_GBK" w:hAnsi="方正仿宋_GBK" w:eastAsia="方正仿宋_GBK" w:cs="方正仿宋_GBK"/>
          <w:i w:val="0"/>
          <w:caps w:val="0"/>
          <w:color w:val="000000"/>
          <w:spacing w:val="0"/>
          <w:sz w:val="32"/>
          <w:szCs w:val="32"/>
        </w:rPr>
        <w:t>元；某公司因使用未经检验的叉车被市场监管局处罚</w:t>
      </w:r>
      <w:r>
        <w:rPr>
          <w:rFonts w:hint="default" w:ascii="Times New Roman" w:hAnsi="Times New Roman" w:eastAsia="sans-serif" w:cs="Times New Roman"/>
          <w:i w:val="0"/>
          <w:caps w:val="0"/>
          <w:color w:val="000000"/>
          <w:spacing w:val="0"/>
          <w:sz w:val="32"/>
          <w:szCs w:val="32"/>
        </w:rPr>
        <w:t>5000</w:t>
      </w:r>
      <w:r>
        <w:rPr>
          <w:rFonts w:hint="eastAsia" w:ascii="方正仿宋_GBK" w:hAnsi="方正仿宋_GBK" w:eastAsia="方正仿宋_GBK" w:cs="方正仿宋_GBK"/>
          <w:i w:val="0"/>
          <w:caps w:val="0"/>
          <w:color w:val="000000"/>
          <w:spacing w:val="0"/>
          <w:sz w:val="32"/>
          <w:szCs w:val="32"/>
        </w:rPr>
        <w:t>元；上述违法行为均不属于重大违法行为，未造成社会不良影响。因其受到执法机构处罚，按照《铜梁区农业财政资金补助项目监督管理办法》规定近两年内无法申报项目。类似的小微农业企业的情况较多，很大程度抑制了农业企业的发展。看似一视同仁，实际上却造成“不同违法却同等待遇”的不公平。</w:t>
      </w:r>
      <w:r>
        <w:rPr>
          <w:rFonts w:hint="eastAsia" w:ascii="方正仿宋_GBK" w:hAnsi="方正仿宋_GBK" w:eastAsia="方正仿宋_GBK" w:cs="方正仿宋_GBK"/>
          <w:b/>
          <w:i w:val="0"/>
          <w:caps w:val="0"/>
          <w:color w:val="000000"/>
          <w:spacing w:val="0"/>
          <w:sz w:val="32"/>
          <w:szCs w:val="32"/>
        </w:rPr>
        <w:t>二是</w:t>
      </w:r>
      <w:r>
        <w:rPr>
          <w:rFonts w:hint="eastAsia" w:ascii="方正仿宋_GBK" w:hAnsi="方正仿宋_GBK" w:eastAsia="方正仿宋_GBK" w:cs="方正仿宋_GBK"/>
          <w:i w:val="0"/>
          <w:caps w:val="0"/>
          <w:color w:val="000000"/>
          <w:spacing w:val="0"/>
          <w:sz w:val="32"/>
          <w:szCs w:val="32"/>
        </w:rPr>
        <w:t>项目调整需优化。各镇街在项目监督管理过程中，因项目变更调整金额和比例限制（</w:t>
      </w:r>
      <w:r>
        <w:rPr>
          <w:rFonts w:hint="default" w:ascii="Times New Roman" w:hAnsi="Times New Roman" w:eastAsia="sans-serif" w:cs="Times New Roman"/>
          <w:i w:val="0"/>
          <w:caps w:val="0"/>
          <w:color w:val="000000"/>
          <w:spacing w:val="0"/>
          <w:sz w:val="32"/>
          <w:szCs w:val="32"/>
        </w:rPr>
        <w:t>20</w:t>
      </w:r>
      <w:r>
        <w:rPr>
          <w:rFonts w:hint="eastAsia" w:ascii="方正仿宋_GBK" w:hAnsi="方正仿宋_GBK" w:eastAsia="方正仿宋_GBK" w:cs="方正仿宋_GBK"/>
          <w:i w:val="0"/>
          <w:caps w:val="0"/>
          <w:color w:val="000000"/>
          <w:spacing w:val="0"/>
          <w:sz w:val="32"/>
          <w:szCs w:val="32"/>
        </w:rPr>
        <w:t>万元以下且调整金额占投资总额的</w:t>
      </w:r>
      <w:r>
        <w:rPr>
          <w:rFonts w:hint="default" w:ascii="Times New Roman" w:hAnsi="Times New Roman" w:eastAsia="sans-serif" w:cs="Times New Roman"/>
          <w:i w:val="0"/>
          <w:caps w:val="0"/>
          <w:color w:val="000000"/>
          <w:spacing w:val="0"/>
          <w:sz w:val="32"/>
          <w:szCs w:val="32"/>
        </w:rPr>
        <w:t>20%</w:t>
      </w:r>
      <w:r>
        <w:rPr>
          <w:rFonts w:hint="eastAsia" w:ascii="方正仿宋_GBK" w:hAnsi="方正仿宋_GBK" w:eastAsia="方正仿宋_GBK" w:cs="方正仿宋_GBK"/>
          <w:i w:val="0"/>
          <w:caps w:val="0"/>
          <w:color w:val="000000"/>
          <w:spacing w:val="0"/>
          <w:sz w:val="32"/>
          <w:szCs w:val="32"/>
        </w:rPr>
        <w:t>以下），由本级政府党工委集体决策批准后还需报主管部门党工委集体决策批准，来回程序繁琐且周期长，不利于农业项目实施。为减少中间环节，缩短调整时间，压紧压实监管责任。根据项目实施特性，分类拟定项目批准单位。</w:t>
      </w:r>
      <w:r>
        <w:rPr>
          <w:rFonts w:hint="eastAsia" w:ascii="方正仿宋_GBK" w:hAnsi="方正仿宋_GBK" w:eastAsia="方正仿宋_GBK" w:cs="方正仿宋_GBK"/>
          <w:b/>
          <w:i w:val="0"/>
          <w:caps w:val="0"/>
          <w:color w:val="000000"/>
          <w:spacing w:val="0"/>
          <w:sz w:val="32"/>
          <w:szCs w:val="32"/>
        </w:rPr>
        <w:t>三是</w:t>
      </w:r>
      <w:r>
        <w:rPr>
          <w:rFonts w:hint="eastAsia" w:ascii="方正仿宋_GBK" w:hAnsi="方正仿宋_GBK" w:eastAsia="方正仿宋_GBK" w:cs="方正仿宋_GBK"/>
          <w:i w:val="0"/>
          <w:caps w:val="0"/>
          <w:color w:val="000000"/>
          <w:spacing w:val="0"/>
          <w:sz w:val="32"/>
          <w:szCs w:val="32"/>
        </w:rPr>
        <w:t>项目评审需减少非必要支出。项目前期，对于建设内容无农业农村部门或其他相关部门制定的建设标准且投资金额在 </w:t>
      </w:r>
      <w:r>
        <w:rPr>
          <w:rFonts w:hint="default" w:ascii="Times New Roman" w:hAnsi="Times New Roman" w:eastAsia="sans-serif" w:cs="Times New Roman"/>
          <w:i w:val="0"/>
          <w:caps w:val="0"/>
          <w:color w:val="000000"/>
          <w:spacing w:val="0"/>
          <w:sz w:val="32"/>
          <w:szCs w:val="32"/>
        </w:rPr>
        <w:t>10 </w:t>
      </w:r>
      <w:r>
        <w:rPr>
          <w:rFonts w:hint="eastAsia" w:ascii="方正仿宋_GBK" w:hAnsi="方正仿宋_GBK" w:eastAsia="方正仿宋_GBK" w:cs="方正仿宋_GBK"/>
          <w:i w:val="0"/>
          <w:caps w:val="0"/>
          <w:color w:val="000000"/>
          <w:spacing w:val="0"/>
          <w:sz w:val="32"/>
          <w:szCs w:val="32"/>
        </w:rPr>
        <w:t>万元及以上的项目需委托有资质的专业机构对其投资预算进行审核，多数未评上的项目结算审核报告是资源的浪费。综上所述，开展了本次《铜梁区农业财政资金补助项目监督管理办法》（以下简称《办法》）的编制起草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2"/>
          <w:szCs w:val="32"/>
        </w:rPr>
        <w:t>二、新旧政策差异对比</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ascii="方正楷体_GBK" w:hAnsi="方正楷体_GBK" w:eastAsia="方正楷体_GBK" w:cs="方正楷体_GBK"/>
          <w:i w:val="0"/>
          <w:caps w:val="0"/>
          <w:color w:val="000000"/>
          <w:spacing w:val="0"/>
          <w:sz w:val="32"/>
          <w:szCs w:val="32"/>
        </w:rPr>
        <w:t>第二章 项目申报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第八条 </w:t>
      </w:r>
      <w:r>
        <w:rPr>
          <w:rFonts w:hint="eastAsia" w:ascii="方正仿宋_GBK" w:hAnsi="方正仿宋_GBK" w:eastAsia="方正仿宋_GBK" w:cs="方正仿宋_GBK"/>
          <w:i w:val="0"/>
          <w:caps w:val="0"/>
          <w:color w:val="000000"/>
          <w:spacing w:val="0"/>
          <w:sz w:val="32"/>
          <w:szCs w:val="32"/>
        </w:rPr>
        <w:t>申报主体应具备以下基本条件：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（一）申报主体为企事业单位的，财务制度要健全；申报主体为农民合作社的，会计核算要规范；申报主体为家庭农场和专业大户的，收支要明晰。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二）无违反国家土地、环保等相关法律法规情况；近两年未受到执法机构除警告外的行政处罚；不存在被区级及以上有关部门通报批评以及对存在的问题整改不落实情况；不存在损害群众合法利益，拖欠土地租金或农民工工资情况。</w:t>
      </w:r>
      <w:r>
        <w:rPr>
          <w:rFonts w:hint="eastAsia" w:ascii="方正仿宋_GBK" w:hAnsi="方正仿宋_GBK" w:eastAsia="方正仿宋_GBK" w:cs="方正仿宋_GBK"/>
          <w:b/>
          <w:i w:val="0"/>
          <w:caps w:val="0"/>
          <w:color w:val="000000"/>
          <w:spacing w:val="0"/>
          <w:sz w:val="32"/>
          <w:szCs w:val="32"/>
        </w:rPr>
        <w:t>调整为</w:t>
      </w:r>
      <w:r>
        <w:rPr>
          <w:rFonts w:hint="eastAsia" w:ascii="方正仿宋_GBK" w:hAnsi="方正仿宋_GBK" w:eastAsia="方正仿宋_GBK" w:cs="方正仿宋_GBK"/>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u w:val="single"/>
        </w:rPr>
        <w:t>上一年度未受到土地、环保、农业、食品安全除警告外的行政处罚。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（三）项目建设内容无农业农村部门或其他相关部门制定的建设标准且投资金额超过 </w:t>
      </w:r>
      <w:r>
        <w:rPr>
          <w:rFonts w:hint="default" w:ascii="Times New Roman" w:hAnsi="Times New Roman" w:eastAsia="sans-serif" w:cs="Times New Roman"/>
          <w:i w:val="0"/>
          <w:caps w:val="0"/>
          <w:color w:val="000000"/>
          <w:spacing w:val="0"/>
          <w:sz w:val="32"/>
          <w:szCs w:val="32"/>
        </w:rPr>
        <w:t>10 </w:t>
      </w:r>
      <w:r>
        <w:rPr>
          <w:rFonts w:hint="eastAsia" w:ascii="方正仿宋_GBK" w:hAnsi="方正仿宋_GBK" w:eastAsia="方正仿宋_GBK" w:cs="方正仿宋_GBK"/>
          <w:i w:val="0"/>
          <w:caps w:val="0"/>
          <w:color w:val="000000"/>
          <w:spacing w:val="0"/>
          <w:sz w:val="32"/>
          <w:szCs w:val="32"/>
        </w:rPr>
        <w:t>万元以上的，属工程建设的申报主体应提交达到施工深度的设计方案（含施工图）和具有资质的专业机构出具的预算报告；属设备材料采购的申报主体应提交询价资料和具有资质的专业机构出具的预算报告。</w:t>
      </w:r>
      <w:r>
        <w:rPr>
          <w:rFonts w:hint="eastAsia" w:ascii="方正仿宋_GBK" w:hAnsi="方正仿宋_GBK" w:eastAsia="方正仿宋_GBK" w:cs="方正仿宋_GBK"/>
          <w:b/>
          <w:i w:val="0"/>
          <w:caps w:val="0"/>
          <w:color w:val="000000"/>
          <w:spacing w:val="0"/>
          <w:sz w:val="32"/>
          <w:szCs w:val="32"/>
        </w:rPr>
        <w:t>调整为</w:t>
      </w:r>
      <w:r>
        <w:rPr>
          <w:rFonts w:hint="eastAsia" w:ascii="方正仿宋_GBK" w:hAnsi="方正仿宋_GBK" w:eastAsia="方正仿宋_GBK" w:cs="方正仿宋_GBK"/>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u w:val="single"/>
        </w:rPr>
        <w:t>项目建设内容无农业农村部门或其他相关部门制定的建设标准且投资金额超过 </w:t>
      </w:r>
      <w:r>
        <w:rPr>
          <w:rFonts w:hint="default" w:ascii="Times New Roman" w:hAnsi="Times New Roman" w:eastAsia="sans-serif" w:cs="Times New Roman"/>
          <w:i w:val="0"/>
          <w:caps w:val="0"/>
          <w:color w:val="000000"/>
          <w:spacing w:val="0"/>
          <w:sz w:val="32"/>
          <w:szCs w:val="32"/>
          <w:u w:val="single"/>
        </w:rPr>
        <w:t>10 </w:t>
      </w:r>
      <w:r>
        <w:rPr>
          <w:rFonts w:hint="eastAsia" w:ascii="方正仿宋_GBK" w:hAnsi="方正仿宋_GBK" w:eastAsia="方正仿宋_GBK" w:cs="方正仿宋_GBK"/>
          <w:i w:val="0"/>
          <w:caps w:val="0"/>
          <w:color w:val="000000"/>
          <w:spacing w:val="0"/>
          <w:sz w:val="32"/>
          <w:szCs w:val="32"/>
          <w:u w:val="single"/>
        </w:rPr>
        <w:t>万元及以上的，申报主体应提交具有资质的专业机构出具的预算报告。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（四）符合项目申报使用资金的其他要求。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第三章 项目评审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第十二条</w:t>
      </w:r>
      <w:r>
        <w:rPr>
          <w:rFonts w:hint="eastAsia" w:ascii="方正仿宋_GBK" w:hAnsi="方正仿宋_GBK" w:eastAsia="方正仿宋_GBK" w:cs="方正仿宋_GBK"/>
          <w:i w:val="0"/>
          <w:caps w:val="0"/>
          <w:color w:val="000000"/>
          <w:spacing w:val="0"/>
          <w:sz w:val="32"/>
          <w:szCs w:val="32"/>
        </w:rPr>
        <w:t> 项目评审内容主要包括项目建设的必要性、项目申报单位的合规性、技术方案的可行性、投资方案和效益分析的合理性、资料数据的真实性以及申报材料的规范性等方面是否符合申报要求。项目评审前</w:t>
      </w:r>
      <w:r>
        <w:rPr>
          <w:rFonts w:hint="eastAsia" w:ascii="方正仿宋_GBK" w:hAnsi="方正仿宋_GBK" w:eastAsia="方正仿宋_GBK" w:cs="方正仿宋_GBK"/>
          <w:b/>
          <w:i w:val="0"/>
          <w:caps w:val="0"/>
          <w:color w:val="000000"/>
          <w:spacing w:val="0"/>
          <w:sz w:val="32"/>
          <w:szCs w:val="32"/>
        </w:rPr>
        <w:t>调整为</w:t>
      </w:r>
      <w:r>
        <w:rPr>
          <w:rFonts w:hint="eastAsia" w:ascii="方正仿宋_GBK" w:hAnsi="方正仿宋_GBK" w:eastAsia="方正仿宋_GBK" w:cs="方正仿宋_GBK"/>
          <w:i w:val="0"/>
          <w:caps w:val="0"/>
          <w:color w:val="000000"/>
          <w:spacing w:val="0"/>
          <w:sz w:val="32"/>
          <w:szCs w:val="32"/>
          <w:u w:val="single"/>
        </w:rPr>
        <w:t>：项目评审后</w:t>
      </w:r>
      <w:r>
        <w:rPr>
          <w:rFonts w:hint="eastAsia" w:ascii="方正仿宋_GBK" w:hAnsi="方正仿宋_GBK" w:eastAsia="方正仿宋_GBK" w:cs="方正仿宋_GBK"/>
          <w:i w:val="0"/>
          <w:caps w:val="0"/>
          <w:color w:val="000000"/>
          <w:spacing w:val="0"/>
          <w:sz w:val="32"/>
          <w:szCs w:val="32"/>
        </w:rPr>
        <w:t>，对于建设内容无农业农村部门或其他相关部门制定的建设标准且投资金额在 </w:t>
      </w:r>
      <w:r>
        <w:rPr>
          <w:rFonts w:hint="default" w:ascii="Times New Roman" w:hAnsi="Times New Roman" w:eastAsia="sans-serif" w:cs="Times New Roman"/>
          <w:i w:val="0"/>
          <w:caps w:val="0"/>
          <w:color w:val="000000"/>
          <w:spacing w:val="0"/>
          <w:sz w:val="32"/>
          <w:szCs w:val="32"/>
        </w:rPr>
        <w:t>10 </w:t>
      </w:r>
      <w:r>
        <w:rPr>
          <w:rFonts w:hint="eastAsia" w:ascii="方正仿宋_GBK" w:hAnsi="方正仿宋_GBK" w:eastAsia="方正仿宋_GBK" w:cs="方正仿宋_GBK"/>
          <w:i w:val="0"/>
          <w:caps w:val="0"/>
          <w:color w:val="000000"/>
          <w:spacing w:val="0"/>
          <w:sz w:val="32"/>
          <w:szCs w:val="32"/>
        </w:rPr>
        <w:t>万元及以上的项目，由区农业农村委委托有资质的专业机构对其投资预算进行审核，以审核金额作为项目投资总额，并按照相关规定确定计划补助金额；审核投资额度低于报送投资总额 </w:t>
      </w:r>
      <w:r>
        <w:rPr>
          <w:rFonts w:hint="default" w:ascii="Times New Roman" w:hAnsi="Times New Roman" w:eastAsia="sans-serif" w:cs="Times New Roman"/>
          <w:i w:val="0"/>
          <w:caps w:val="0"/>
          <w:color w:val="000000"/>
          <w:spacing w:val="0"/>
          <w:sz w:val="32"/>
          <w:szCs w:val="32"/>
        </w:rPr>
        <w:t>70%</w:t>
      </w:r>
      <w:r>
        <w:rPr>
          <w:rFonts w:hint="eastAsia" w:ascii="方正仿宋_GBK" w:hAnsi="方正仿宋_GBK" w:eastAsia="方正仿宋_GBK" w:cs="方正仿宋_GBK"/>
          <w:i w:val="0"/>
          <w:caps w:val="0"/>
          <w:color w:val="000000"/>
          <w:spacing w:val="0"/>
          <w:sz w:val="32"/>
          <w:szCs w:val="32"/>
        </w:rPr>
        <w:t>的，取消项目评审资格</w:t>
      </w:r>
      <w:r>
        <w:rPr>
          <w:rFonts w:hint="eastAsia" w:ascii="方正仿宋_GBK" w:hAnsi="方正仿宋_GBK" w:eastAsia="方正仿宋_GBK" w:cs="方正仿宋_GBK"/>
          <w:b/>
          <w:i w:val="0"/>
          <w:caps w:val="0"/>
          <w:color w:val="000000"/>
          <w:spacing w:val="0"/>
          <w:sz w:val="32"/>
          <w:szCs w:val="32"/>
        </w:rPr>
        <w:t>调整为</w:t>
      </w:r>
      <w:r>
        <w:rPr>
          <w:rFonts w:hint="eastAsia" w:ascii="方正仿宋_GBK" w:hAnsi="方正仿宋_GBK" w:eastAsia="方正仿宋_GBK" w:cs="方正仿宋_GBK"/>
          <w:i w:val="0"/>
          <w:caps w:val="0"/>
          <w:color w:val="000000"/>
          <w:spacing w:val="0"/>
          <w:sz w:val="32"/>
          <w:szCs w:val="32"/>
          <w:u w:val="single"/>
        </w:rPr>
        <w:t>：取消项目资格。</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2"/>
          <w:szCs w:val="32"/>
        </w:rPr>
        <w:t>第十四条 </w:t>
      </w:r>
      <w:r>
        <w:rPr>
          <w:rFonts w:hint="eastAsia" w:ascii="方正仿宋_GBK" w:hAnsi="方正仿宋_GBK" w:eastAsia="方正仿宋_GBK" w:cs="方正仿宋_GBK"/>
          <w:i w:val="0"/>
          <w:caps w:val="0"/>
          <w:color w:val="000000"/>
          <w:spacing w:val="0"/>
          <w:sz w:val="32"/>
          <w:szCs w:val="32"/>
        </w:rPr>
        <w:t>凡有以下情形之一的，不予通过评审：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（一）不符合申报文件规定的投资方向或建设内容要求的。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（二）不具备申报文件规定的申报主体资格的。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（三）未按规定完成前期工作或未按规定程序申报的。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（四）项目实施方案或可行性研究报告等存在严重缺陷的。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（五）提供虚假资料（信息）的。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（六）财务管理混乱的。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（七）</w:t>
      </w:r>
      <w:r>
        <w:rPr>
          <w:rFonts w:hint="eastAsia" w:ascii="方正仿宋_GBK" w:hAnsi="方正仿宋_GBK" w:eastAsia="方正仿宋_GBK" w:cs="方正仿宋_GBK"/>
          <w:i w:val="0"/>
          <w:caps w:val="0"/>
          <w:color w:val="000000"/>
          <w:spacing w:val="0"/>
          <w:sz w:val="32"/>
          <w:szCs w:val="32"/>
          <w:u w:val="single"/>
        </w:rPr>
        <w:t>违反国家土地、环保等相关法律法规，近两年受到执法机构除警告外的行政处罚的。</w:t>
      </w:r>
      <w:r>
        <w:rPr>
          <w:rFonts w:hint="eastAsia" w:ascii="方正仿宋_GBK" w:hAnsi="方正仿宋_GBK" w:eastAsia="方正仿宋_GBK" w:cs="方正仿宋_GBK"/>
          <w:b/>
          <w:i w:val="0"/>
          <w:caps w:val="0"/>
          <w:color w:val="000000"/>
          <w:spacing w:val="0"/>
          <w:sz w:val="32"/>
          <w:szCs w:val="32"/>
        </w:rPr>
        <w:t>取消该条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（八）对申报企业列入重庆市公共信用平台联合奖惩子系统“异常经营名录”及“黑名单”的。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b/>
          <w:i w:val="0"/>
          <w:caps w:val="0"/>
          <w:color w:val="000000"/>
          <w:spacing w:val="0"/>
          <w:sz w:val="32"/>
          <w:szCs w:val="32"/>
        </w:rPr>
        <w:t>第五章 项目实施过程的监督管理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640"/>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b/>
          <w:i w:val="0"/>
          <w:caps w:val="0"/>
          <w:color w:val="000000"/>
          <w:spacing w:val="0"/>
          <w:sz w:val="32"/>
          <w:szCs w:val="32"/>
        </w:rPr>
        <w:t>第二十条</w:t>
      </w:r>
      <w:r>
        <w:rPr>
          <w:rFonts w:hint="eastAsia" w:ascii="方正仿宋_GBK" w:hAnsi="方正仿宋_GBK" w:eastAsia="方正仿宋_GBK" w:cs="方正仿宋_GBK"/>
          <w:i w:val="0"/>
          <w:caps w:val="0"/>
          <w:color w:val="000000"/>
          <w:spacing w:val="0"/>
          <w:sz w:val="32"/>
          <w:szCs w:val="32"/>
        </w:rPr>
        <w:t> 项目实施主体必须严格按照批准的实施方案组织实施，按时完成建设任务。项目资金必须用于批准方案中的建设内容，项目实施主体不得擅自改变项目建设计划和使用方案。因客观原因发生变化，在不超过投资总额的前提下，确需调整项目实施方案和内容的，调整金额在</w:t>
      </w:r>
      <w:r>
        <w:rPr>
          <w:rFonts w:hint="default" w:ascii="Times New Roman" w:hAnsi="Times New Roman" w:eastAsia="sans-serif" w:cs="Times New Roman"/>
          <w:i w:val="0"/>
          <w:caps w:val="0"/>
          <w:color w:val="000000"/>
          <w:spacing w:val="0"/>
          <w:sz w:val="32"/>
          <w:szCs w:val="32"/>
        </w:rPr>
        <w:t>20</w:t>
      </w:r>
      <w:r>
        <w:rPr>
          <w:rFonts w:hint="eastAsia" w:ascii="方正仿宋_GBK" w:hAnsi="方正仿宋_GBK" w:eastAsia="方正仿宋_GBK" w:cs="方正仿宋_GBK"/>
          <w:i w:val="0"/>
          <w:caps w:val="0"/>
          <w:color w:val="000000"/>
          <w:spacing w:val="0"/>
          <w:sz w:val="32"/>
          <w:szCs w:val="32"/>
        </w:rPr>
        <w:t>万元以下且调整金额占投资总额的</w:t>
      </w:r>
      <w:r>
        <w:rPr>
          <w:rFonts w:hint="default" w:ascii="Times New Roman" w:hAnsi="Times New Roman" w:eastAsia="sans-serif" w:cs="Times New Roman"/>
          <w:i w:val="0"/>
          <w:caps w:val="0"/>
          <w:color w:val="000000"/>
          <w:spacing w:val="0"/>
          <w:sz w:val="32"/>
          <w:szCs w:val="32"/>
        </w:rPr>
        <w:t>20%</w:t>
      </w:r>
      <w:r>
        <w:rPr>
          <w:rFonts w:hint="eastAsia" w:ascii="方正仿宋_GBK" w:hAnsi="方正仿宋_GBK" w:eastAsia="方正仿宋_GBK" w:cs="方正仿宋_GBK"/>
          <w:i w:val="0"/>
          <w:caps w:val="0"/>
          <w:color w:val="000000"/>
          <w:spacing w:val="0"/>
          <w:sz w:val="32"/>
          <w:szCs w:val="32"/>
        </w:rPr>
        <w:t>以下的，由实施主体提出申请，镇人民政府、街道办事处批准后方可调整实施；其他调整则需经区农业农村委批准后方可调整实施。涉及重大调整的，经区农业农村委报请区政府批准后方可调整实施。</w:t>
      </w:r>
      <w:r>
        <w:rPr>
          <w:rFonts w:hint="eastAsia" w:ascii="方正仿宋_GBK" w:hAnsi="方正仿宋_GBK" w:eastAsia="方正仿宋_GBK" w:cs="方正仿宋_GBK"/>
          <w:b/>
          <w:i w:val="0"/>
          <w:caps w:val="0"/>
          <w:color w:val="000000"/>
          <w:spacing w:val="0"/>
          <w:sz w:val="32"/>
          <w:szCs w:val="32"/>
        </w:rPr>
        <w:t>调整为</w:t>
      </w:r>
      <w:r>
        <w:rPr>
          <w:rFonts w:hint="eastAsia" w:ascii="方正仿宋_GBK" w:hAnsi="方正仿宋_GBK" w:eastAsia="方正仿宋_GBK" w:cs="方正仿宋_GBK"/>
          <w:i w:val="0"/>
          <w:caps w:val="0"/>
          <w:color w:val="000000"/>
          <w:spacing w:val="0"/>
          <w:sz w:val="32"/>
          <w:szCs w:val="32"/>
        </w:rPr>
        <w:t>：</w:t>
      </w:r>
      <w:r>
        <w:rPr>
          <w:rFonts w:hint="eastAsia" w:ascii="方正仿宋_GBK" w:hAnsi="方正仿宋_GBK" w:eastAsia="方正仿宋_GBK" w:cs="方正仿宋_GBK"/>
          <w:i w:val="0"/>
          <w:caps w:val="0"/>
          <w:color w:val="000000"/>
          <w:spacing w:val="0"/>
          <w:sz w:val="32"/>
          <w:szCs w:val="32"/>
          <w:u w:val="single"/>
        </w:rPr>
        <w:t>项目实施主体必须严格按照批准的实施方案组织实施，按时完成建设任务。项目资金必须用于批准方案中的建设内容，项目实施主体不得擅自改变项目建设计划和使用方案。因客观原因发生变化，确需调整项目建设工程量的，在不超过项目投资总额的前提下，由实施主体提出申请，镇人民政府、街道办事处批准，确需调整项目建设内容或工程量超过</w:t>
      </w:r>
      <w:r>
        <w:rPr>
          <w:rFonts w:hint="default" w:ascii="Times New Roman" w:hAnsi="Times New Roman" w:eastAsia="sans-serif" w:cs="Times New Roman"/>
          <w:i w:val="0"/>
          <w:caps w:val="0"/>
          <w:color w:val="000000"/>
          <w:spacing w:val="0"/>
          <w:sz w:val="32"/>
          <w:szCs w:val="32"/>
          <w:u w:val="single"/>
        </w:rPr>
        <w:t>10</w:t>
      </w:r>
      <w:r>
        <w:rPr>
          <w:rFonts w:hint="eastAsia" w:ascii="方正仿宋_GBK" w:hAnsi="方正仿宋_GBK" w:eastAsia="方正仿宋_GBK" w:cs="方正仿宋_GBK"/>
          <w:i w:val="0"/>
          <w:caps w:val="0"/>
          <w:color w:val="000000"/>
          <w:spacing w:val="0"/>
          <w:sz w:val="32"/>
          <w:szCs w:val="32"/>
          <w:u w:val="single"/>
        </w:rPr>
        <w:t>万元及以上的调整，还需报区级主管部门业务科室审核并经分管领导签字同意后方可调整实施；区级部门直接实施的项目，由区级部门按照本单位内控管理制度进行决策通过后方可调整实施；国有平台公司直接实施的项目，因客观原因发生变化，确需调整项目建设工程量的，由国有平台公司董事会集体讨论通过后方可调整实施，确需调整项目建设内容或工程量超过</w:t>
      </w:r>
      <w:r>
        <w:rPr>
          <w:rFonts w:hint="default" w:ascii="Times New Roman" w:hAnsi="Times New Roman" w:eastAsia="sans-serif" w:cs="Times New Roman"/>
          <w:i w:val="0"/>
          <w:caps w:val="0"/>
          <w:color w:val="000000"/>
          <w:spacing w:val="0"/>
          <w:sz w:val="32"/>
          <w:szCs w:val="32"/>
          <w:u w:val="single"/>
        </w:rPr>
        <w:t>30%</w:t>
      </w:r>
      <w:r>
        <w:rPr>
          <w:rFonts w:hint="eastAsia" w:ascii="方正仿宋_GBK" w:hAnsi="方正仿宋_GBK" w:eastAsia="方正仿宋_GBK" w:cs="方正仿宋_GBK"/>
          <w:i w:val="0"/>
          <w:caps w:val="0"/>
          <w:color w:val="000000"/>
          <w:spacing w:val="0"/>
          <w:sz w:val="32"/>
          <w:szCs w:val="32"/>
          <w:u w:val="single"/>
        </w:rPr>
        <w:t>及以上的调整，还需报区级主管部门业务科室审核并经分管领导签字同意后方可调整实施；以上调整均不得超过项目投资总额。</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82"/>
        <w:jc w:val="both"/>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铜梁区农业财政资金补助项目监督管理办法（征求意见稿）除上述之外，其他内容与《铜梁区农业财政资金补助项目监督管理办法》（铜府办发〔</w:t>
      </w:r>
      <w:r>
        <w:rPr>
          <w:rFonts w:hint="default" w:ascii="Times New Roman" w:hAnsi="Times New Roman" w:eastAsia="sans-serif" w:cs="Times New Roman"/>
          <w:i w:val="0"/>
          <w:caps w:val="0"/>
          <w:color w:val="000000"/>
          <w:spacing w:val="0"/>
          <w:sz w:val="32"/>
          <w:szCs w:val="32"/>
        </w:rPr>
        <w:t>2022</w:t>
      </w:r>
      <w:r>
        <w:rPr>
          <w:rFonts w:hint="eastAsia" w:ascii="方正仿宋_GBK" w:hAnsi="方正仿宋_GBK" w:eastAsia="方正仿宋_GBK" w:cs="方正仿宋_GBK"/>
          <w:i w:val="0"/>
          <w:caps w:val="0"/>
          <w:color w:val="000000"/>
          <w:spacing w:val="0"/>
          <w:sz w:val="32"/>
          <w:szCs w:val="32"/>
        </w:rPr>
        <w:t>〕</w:t>
      </w:r>
      <w:r>
        <w:rPr>
          <w:rFonts w:hint="default" w:ascii="Times New Roman" w:hAnsi="Times New Roman" w:eastAsia="sans-serif" w:cs="Times New Roman"/>
          <w:i w:val="0"/>
          <w:caps w:val="0"/>
          <w:color w:val="000000"/>
          <w:spacing w:val="0"/>
          <w:sz w:val="32"/>
          <w:szCs w:val="32"/>
        </w:rPr>
        <w:t>14</w:t>
      </w:r>
      <w:r>
        <w:rPr>
          <w:rFonts w:hint="eastAsia" w:ascii="方正仿宋_GBK" w:hAnsi="方正仿宋_GBK" w:eastAsia="方正仿宋_GBK" w:cs="方正仿宋_GBK"/>
          <w:i w:val="0"/>
          <w:caps w:val="0"/>
          <w:color w:val="000000"/>
          <w:spacing w:val="0"/>
          <w:sz w:val="32"/>
          <w:szCs w:val="32"/>
        </w:rPr>
        <w:t>号）一致。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482"/>
        <w:textAlignment w:val="auto"/>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0"/>
        <w:jc w:val="right"/>
        <w:textAlignment w:val="auto"/>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2"/>
          <w:szCs w:val="32"/>
        </w:rPr>
        <w:t>重庆市铜梁区农业农村委员会 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right="0" w:firstLine="0"/>
        <w:jc w:val="right"/>
        <w:textAlignment w:val="auto"/>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2"/>
          <w:szCs w:val="32"/>
        </w:rPr>
        <w:t>2024</w:t>
      </w:r>
      <w:r>
        <w:rPr>
          <w:rFonts w:hint="eastAsia" w:ascii="方正仿宋_GBK" w:hAnsi="方正仿宋_GBK" w:eastAsia="方正仿宋_GBK" w:cs="方正仿宋_GBK"/>
          <w:i w:val="0"/>
          <w:caps w:val="0"/>
          <w:color w:val="000000"/>
          <w:spacing w:val="0"/>
          <w:sz w:val="32"/>
          <w:szCs w:val="32"/>
        </w:rPr>
        <w:t>年</w:t>
      </w:r>
      <w:r>
        <w:rPr>
          <w:rFonts w:hint="default" w:ascii="Times New Roman" w:hAnsi="Times New Roman" w:eastAsia="sans-serif" w:cs="Times New Roman"/>
          <w:i w:val="0"/>
          <w:caps w:val="0"/>
          <w:color w:val="000000"/>
          <w:spacing w:val="0"/>
          <w:sz w:val="32"/>
          <w:szCs w:val="32"/>
        </w:rPr>
        <w:t>1</w:t>
      </w:r>
      <w:r>
        <w:rPr>
          <w:rFonts w:hint="eastAsia" w:ascii="方正仿宋_GBK" w:hAnsi="方正仿宋_GBK" w:eastAsia="方正仿宋_GBK" w:cs="方正仿宋_GBK"/>
          <w:i w:val="0"/>
          <w:caps w:val="0"/>
          <w:color w:val="000000"/>
          <w:spacing w:val="0"/>
          <w:sz w:val="32"/>
          <w:szCs w:val="32"/>
        </w:rPr>
        <w:t>月</w:t>
      </w:r>
      <w:r>
        <w:rPr>
          <w:rFonts w:hint="default" w:ascii="Times New Roman" w:hAnsi="Times New Roman" w:eastAsia="sans-serif" w:cs="Times New Roman"/>
          <w:i w:val="0"/>
          <w:caps w:val="0"/>
          <w:color w:val="000000"/>
          <w:spacing w:val="0"/>
          <w:sz w:val="32"/>
          <w:szCs w:val="32"/>
        </w:rPr>
        <w:t>9</w:t>
      </w:r>
      <w:r>
        <w:rPr>
          <w:rFonts w:hint="eastAsia" w:ascii="方正仿宋_GBK" w:hAnsi="方正仿宋_GBK" w:eastAsia="方正仿宋_GBK" w:cs="方正仿宋_GBK"/>
          <w:i w:val="0"/>
          <w:caps w:val="0"/>
          <w:color w:val="000000"/>
          <w:spacing w:val="0"/>
          <w:sz w:val="32"/>
          <w:szCs w:val="32"/>
        </w:rPr>
        <w:t>日        </w:t>
      </w:r>
    </w:p>
    <w:p>
      <w:pPr>
        <w:keepNext w:val="0"/>
        <w:keepLines w:val="0"/>
        <w:pageBreakBefore w:val="0"/>
        <w:kinsoku/>
        <w:wordWrap/>
        <w:overflowPunct/>
        <w:topLinePunct w:val="0"/>
        <w:autoSpaceDE/>
        <w:autoSpaceDN/>
        <w:bidi w:val="0"/>
        <w:adjustRightInd/>
        <w:snapToGrid/>
        <w:spacing w:line="579" w:lineRule="exact"/>
        <w:textAlignment w:val="auto"/>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2024-04-17T07:27:28Z</dcterms:created>
  <dc:creator>Administrator</dc:creator>
  <cp:lastModifiedBy>boicevecn</cp:lastModifiedBy>
  <dcterms:modified xsi:type="dcterms:W3CDTF">2024-04-17T07:27:59Z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