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Ａ类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铜司函〔202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重庆市铜梁区司法局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关于政协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铜梁区委员会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十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次会议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第2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94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号提案的复函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您提出的《关于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深化涉企法律服务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助力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优化营商环境的建议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》（第2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号）收悉。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衷心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感谢您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对我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区民营企业矛盾纠纷化解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的关心与支持！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经认真研究办理，现函复如下：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您在提案中实事求是地分析了当前我区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涉及民营企业的矛盾纠纷及成因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并对此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加强法治宣传、纠纷排查、协作化解的三点建议。建议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非常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及时、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我局高度重视，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组织相关科室和司法所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企业进行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调研，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采取措施优化营商环境并取得实效。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主要开展了以下工作：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一、关于“加强法治宣传，营造浓厚法治氛围”的建议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我局高度重视普法宣传工作，今年着力实施“八五”普法规划，采取措施不断提高企业管理人员和工作人员法治素质，推动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法治化营商环境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不断优化。一是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高站位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谋划。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把深化“法律进企业”作为一项重要任务写入《铜梁区“八五”普法规划》，推动落实经营管理人员学法用法制度，积极引导企业开展法治文化建设，提高经营管理人员依法经营、依法管理能力。帮助企业开展合规建设，提升企业运营法治化水平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二是高水平推动。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结合“公共法律服务园区行”活动，遴选11名政治素质强、职业操守好、专业水平高、熟悉企业法务的律师组成“园区行专家法律宣传团”，深入企业进行法律服务需求调研，建立企业法律服务需求清单，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针对需求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“定制式”“清单式”“互动式”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精准普法，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提升涉企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法治宣传实效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，为全区打造产业高地提供高质量法律服务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三是高密度宣传。我局积极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组织律师、普法讲师团成员、普法少云志愿者深入企业，开展习近平法治思想、民法典、劳动合同法、重庆市优化营商环境条例宣传。6月2日，我局主要领导彭宏同志亲自到重庆天齐锂业有限公司开展深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学笃用习近平法治思想宣讲，引导企业合法经营、诚信经营，积极营造“办事依法、遇事找法、解决问题用法、化解矛盾靠法”的良好氛围，切实提高民营企业风险防控能力和诚信守法意识，促进全区经济社会稳定发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今年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开展法治宣传17次，涉及企业84家，为经营管理者和企业职业解答法律咨询153条。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二、关于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“加强纠纷排查，落实定期排查机制”的建议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企业生产经营过程中，会不可避免的产生合同履行、劳动争议、消费等方面纠纷，我局积极发挥人民调解、行政调解指导职能，不断开展调解组织建设，组织调解组织常态进行纠纷排查工作，做到纠纷“应排尽排”。一是强化调解组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建立和完善333个村（社区）调委会、28个镇（街道）调委会，在镇（街道）调委会设立涉企纠纷快速受理窗口，实现涉企纠纷快速受理、快速化解。指导区工商联成立总商会纠纷调委会，指导区市场监管局成立消费纠纷调委会、知识产权纠纷调委会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推选和聘任23名专兼职调解员，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实现企业经营、消费、知识产权等行业性专业性纠纷有调解组织排查化解。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是强化调解队伍。为切实发挥调解员在排查化解矛盾纠纷、维护社会和谐稳定中的排头兵作用，我局大力优化人民调解员队伍。按照老、中、青结合方式进行选配，加强人民调解员队伍建设，不断充实调解力量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今年开展以营造法治营商环境为主题的调解员培训14场次，对调委会现场指导34次，培训指导调解员1158人次。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三是集中力量开展排查。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整合人民调解、行政调解、司法调解等资源，采取普遍梳理、重点筛查相结合的方式，开展涉企矛盾纠纷动态排查。把握当前涉企矛盾纠纷发展态势，重点围绕生产经营、合同履行、金融借贷、劳动争议等多发易发矛盾纠纷开展排查，做到日排查、日登记、月报告，建立工作台账，详细掌握涉企矛盾纠纷情况。对排查出的涉企矛盾纠纷落实调解责任人和调解措施，确保件件有着落，事事有回音。今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以来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全区各调解组织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开展涉企矛盾纠纷排查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1102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排查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纠纷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三、关于“加强部门协作，实现矛盾多元化解”的建议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我局深入推进全区矛盾纠纷大调解体系建设，深化“三调对接”联动工作机制，整合人民调解、行政调解、司法调解力量，积极化解排查出的涉企矛盾纠纷，做到“应调尽调”。一是扎实推进“三调对接”。联合区法院、区公安局、区信访办积极开展协作配合，健全“诉调、警调、访调”三调对接机制，对聘请的48名专职调解员进行1次专题培训，开展4次专题指导，将涉商涉企矛盾纠纷化解作为“三调对接”重点工作任务。今年以来，驻法院调解室、驻派出所调解室共调解涉企业矛盾纠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401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件，调解成功401件，调解成功率达100%。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二是强力提升行业性专业性调解。健全规范总商会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调委会、消费纠纷调委会、知识产权纠纷调委会等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调解工作机制，充分发挥消费纠纷调委会、知识产权纠纷调委会等17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行业性专业性调委会和公安局、市场监管局等8个行政调委会作用，联动村（社区）、镇（街道）调委会积极化解涉企矛盾纠纷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为优化营商环境特别是法治环境提供有力的保障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今年以来，各类调解组织化解劳动争议纠纷85件、合同纠纷278件、消费纠纷210件、生产经营纠纷38件、物业纠纷246件，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各类涉企矛盾纠纷有序化解，实现“小纠纷不出厂区、一般纠纷不出园区”。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下一步，区司法局将持续深入学习贯彻习近平法治思想和习近平经济思想，紧紧围绕服务全区经济法治大局，全面深化涉企法律服务，进一步提升对企法法治宣传的深度和广度，进一步强化涉企矛盾纠纷的排查力度和化解能力，为企业生产经营提供和谐稳定的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此复函已经区司法局局长彭宏审签。对此答复函您有什么意见，请填写在回执上寄给区政协提案委，以便我们进一步改进工作。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联 系 人：刘  学 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联系电话：17783451772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邮政编码：402560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4572" w:firstLineChars="1429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重庆市铜梁区司法局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4892" w:firstLineChars="1529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月1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5846" w:firstLineChars="1827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5071745</wp:posOffset>
              </wp:positionH>
              <wp:positionV relativeFrom="paragraph">
                <wp:posOffset>12065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35pt;margin-top:0.9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Tk+XXAAAACgEAAA8AAAAAAAAA&#10;AQAgAAAAIgAAAGRycy9kb3ducmV2LnhtbFBLAQIUABQAAAAIAIdO4kBK283/EgIAABM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MWJlYmY5YjQ1MzU5MGRjNjZjNmNhYjNlMjU0YTAifQ=="/>
  </w:docVars>
  <w:rsids>
    <w:rsidRoot w:val="390A5E0A"/>
    <w:rsid w:val="02436B1E"/>
    <w:rsid w:val="025308AA"/>
    <w:rsid w:val="05DD26B1"/>
    <w:rsid w:val="09AE2351"/>
    <w:rsid w:val="0CC94064"/>
    <w:rsid w:val="1084032D"/>
    <w:rsid w:val="117C16C9"/>
    <w:rsid w:val="14ED7840"/>
    <w:rsid w:val="16B31D27"/>
    <w:rsid w:val="18B04A90"/>
    <w:rsid w:val="198352BD"/>
    <w:rsid w:val="1E312690"/>
    <w:rsid w:val="1F47793B"/>
    <w:rsid w:val="213665CC"/>
    <w:rsid w:val="24673FD6"/>
    <w:rsid w:val="2A275309"/>
    <w:rsid w:val="2C0F3D2E"/>
    <w:rsid w:val="390A5E0A"/>
    <w:rsid w:val="390D7D63"/>
    <w:rsid w:val="398B750F"/>
    <w:rsid w:val="3A5B110B"/>
    <w:rsid w:val="3AAC1CDE"/>
    <w:rsid w:val="3CE14B74"/>
    <w:rsid w:val="41344930"/>
    <w:rsid w:val="45281575"/>
    <w:rsid w:val="4B9751DD"/>
    <w:rsid w:val="4CAC1C88"/>
    <w:rsid w:val="4D9C74EA"/>
    <w:rsid w:val="4DC36660"/>
    <w:rsid w:val="54C21E8F"/>
    <w:rsid w:val="571F7B8C"/>
    <w:rsid w:val="572C39C9"/>
    <w:rsid w:val="573651E6"/>
    <w:rsid w:val="5B8A37FA"/>
    <w:rsid w:val="5B985DF7"/>
    <w:rsid w:val="65E603C8"/>
    <w:rsid w:val="662B7A29"/>
    <w:rsid w:val="67F000C2"/>
    <w:rsid w:val="6F54746D"/>
    <w:rsid w:val="71B45234"/>
    <w:rsid w:val="7A4E61F5"/>
    <w:rsid w:val="7D344A79"/>
    <w:rsid w:val="7E1C36B3"/>
    <w:rsid w:val="7EF75407"/>
    <w:rsid w:val="7FB85498"/>
    <w:rsid w:val="F3FFE15E"/>
    <w:rsid w:val="F77E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3">
    <w:name w:val="Body Text"/>
    <w:basedOn w:val="1"/>
    <w:next w:val="4"/>
    <w:qFormat/>
    <w:uiPriority w:val="0"/>
    <w:pPr>
      <w:snapToGrid w:val="0"/>
      <w:spacing w:line="560" w:lineRule="exact"/>
      <w:jc w:val="center"/>
    </w:pPr>
    <w:rPr>
      <w:b/>
      <w:bCs/>
      <w:sz w:val="44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2183</Words>
  <Characters>2236</Characters>
  <Lines>0</Lines>
  <Paragraphs>0</Paragraphs>
  <TotalTime>19</TotalTime>
  <ScaleCrop>false</ScaleCrop>
  <LinksUpToDate>false</LinksUpToDate>
  <CharactersWithSpaces>2238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2022-07-04T10:26:00Z</dcterms:created>
  <dc:creator>Administrator</dc:creator>
  <cp:lastModifiedBy>铜梁区司法局内勤</cp:lastModifiedBy>
  <cp:lastPrinted>2022-07-18T16:59:00Z</cp:lastPrinted>
  <dcterms:modified xsi:type="dcterms:W3CDTF">2022-08-19T09:40:52Z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64177CB80BFD4D8288D89481BF4F1E0F</vt:lpwstr>
  </property>
</Properties>
</file>