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9" w:lineRule="atLeast"/>
        <w:ind w:left="0" w:right="0" w:firstLine="0"/>
        <w:jc w:val="center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铜水发〔2023〕238号​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9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43"/>
          <w:szCs w:val="43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重庆市铜梁区水利局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关于同意注销重庆市铜梁区龙源乡镇供水有限责任公司（永嘉车间）取水许可证的决定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43"/>
          <w:szCs w:val="43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重庆市铜梁区龙源乡镇供水有限责任公司：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你单位提交的《取水许可证注销申请书》收悉。按照《取水许可和水资源费征收管理条例》《取水许可管理办法》相关要求，同意你单位注销取水许可证（编号：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  <w:t>C500151S2021-0255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righ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重庆市铜梁区水利局 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righ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  <w:t>11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日  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C6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tlww</cp:lastModifiedBy>
  <dcterms:modified xsi:type="dcterms:W3CDTF">2023-11-14T17:42:49Z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