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hint="eastAsia" w:ascii="仿宋_GB2312" w:hAnsi="仿宋_GB2312" w:eastAsia="仿宋_GB2312" w:cs="仿宋_GB2312"/>
          <w:sz w:val="36"/>
          <w:szCs w:val="36"/>
        </w:rPr>
      </w:pPr>
    </w:p>
    <w:p>
      <w:pPr>
        <w:adjustRightInd w:val="0"/>
        <w:snapToGrid w:val="0"/>
        <w:jc w:val="center"/>
        <w:outlineLvl w:val="0"/>
        <w:rPr>
          <w:rFonts w:hint="eastAsia"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hint="eastAsia" w:ascii="楷体_GB2312" w:eastAsia="楷体_GB2312"/>
          <w:bCs/>
          <w:sz w:val="48"/>
          <w:szCs w:val="48"/>
        </w:rPr>
      </w:pPr>
      <w:r>
        <w:rPr>
          <w:rFonts w:hint="eastAsia" w:ascii="楷体_GB2312" w:eastAsia="楷体_GB2312"/>
          <w:bCs/>
          <w:sz w:val="48"/>
          <w:szCs w:val="48"/>
        </w:rPr>
        <w:t>（污染影响类）</w:t>
      </w:r>
    </w:p>
    <w:p>
      <w:pPr>
        <w:bidi w:val="0"/>
        <w:jc w:val="center"/>
        <w:rPr>
          <w:rFonts w:hint="eastAsia" w:eastAsia="宋体"/>
          <w:b w:val="0"/>
          <w:bCs w:val="0"/>
          <w:sz w:val="30"/>
          <w:szCs w:val="30"/>
          <w:lang w:eastAsia="zh-CN"/>
        </w:rPr>
      </w:pPr>
      <w:r>
        <w:rPr>
          <w:rFonts w:hint="eastAsia" w:ascii="楷体" w:hAnsi="楷体" w:eastAsia="楷体" w:cs="楷体"/>
          <w:b w:val="0"/>
          <w:bCs w:val="0"/>
          <w:sz w:val="30"/>
          <w:szCs w:val="30"/>
          <w:lang w:eastAsia="zh-CN"/>
        </w:rPr>
        <w:t>（公示版）</w:t>
      </w:r>
    </w:p>
    <w:p>
      <w:pPr>
        <w:adjustRightInd w:val="0"/>
        <w:snapToGrid w:val="0"/>
        <w:spacing w:line="288" w:lineRule="auto"/>
        <w:jc w:val="center"/>
        <w:outlineLvl w:val="0"/>
        <w:rPr>
          <w:rFonts w:ascii="华文仿宋" w:hAnsi="华文仿宋" w:eastAsia="华文仿宋" w:cs="华文仿宋"/>
          <w:color w:val="000000"/>
          <w:kern w:val="44"/>
          <w:sz w:val="44"/>
          <w:szCs w:val="44"/>
        </w:rPr>
      </w:pPr>
    </w:p>
    <w:p>
      <w:pPr>
        <w:jc w:val="center"/>
        <w:rPr>
          <w:rFonts w:eastAsia="仿宋"/>
          <w:sz w:val="52"/>
          <w:szCs w:val="52"/>
        </w:rPr>
      </w:pPr>
    </w:p>
    <w:p>
      <w:pPr>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line="360" w:lineRule="auto"/>
        <w:rPr>
          <w:rFonts w:hint="default" w:ascii="宋体" w:hAnsi="宋体" w:cs="宋体"/>
          <w:color w:val="000000"/>
          <w:sz w:val="28"/>
          <w:szCs w:val="28"/>
          <w:u w:val="single"/>
          <w:lang w:val="en-US"/>
        </w:rPr>
      </w:pPr>
      <w:bookmarkStart w:id="0" w:name="_Hlk57884087"/>
      <w:r>
        <w:rPr>
          <w:rFonts w:hint="eastAsia" w:ascii="宋体" w:hAnsi="宋体" w:cs="宋体"/>
          <w:color w:val="000000"/>
          <w:sz w:val="28"/>
          <w:szCs w:val="28"/>
        </w:rPr>
        <w:t>项目名称：</w:t>
      </w:r>
      <w:r>
        <w:rPr>
          <w:rFonts w:hint="eastAsia"/>
          <w:color w:val="auto"/>
          <w:sz w:val="28"/>
          <w:szCs w:val="28"/>
          <w:u w:val="single"/>
        </w:rPr>
        <w:t>年产拉幅定型无纺布500吨、淋膜无纺布300吨扩建</w:t>
      </w:r>
      <w:r>
        <w:rPr>
          <w:rFonts w:hint="eastAsia"/>
          <w:sz w:val="28"/>
          <w:szCs w:val="28"/>
          <w:u w:val="single"/>
        </w:rPr>
        <w:t>项目</w:t>
      </w:r>
    </w:p>
    <w:p>
      <w:pPr>
        <w:adjustRightInd w:val="0"/>
        <w:snapToGrid w:val="0"/>
        <w:spacing w:line="360" w:lineRule="auto"/>
        <w:rPr>
          <w:rFonts w:hint="default" w:ascii="宋体" w:hAnsi="宋体" w:eastAsia="宋体" w:cs="宋体"/>
          <w:color w:val="000000"/>
          <w:sz w:val="28"/>
          <w:szCs w:val="28"/>
          <w:u w:val="single"/>
          <w:lang w:val="en-US" w:eastAsia="zh-CN"/>
        </w:rPr>
      </w:pPr>
      <w:r>
        <w:rPr>
          <w:rFonts w:hint="eastAsia" w:ascii="宋体" w:hAnsi="宋体" w:cs="宋体"/>
          <w:color w:val="000000"/>
          <w:sz w:val="28"/>
          <w:szCs w:val="28"/>
        </w:rPr>
        <w:t>建设单位：</w:t>
      </w:r>
      <w:r>
        <w:rPr>
          <w:rFonts w:hint="eastAsia" w:ascii="宋体" w:hAnsi="宋体" w:cs="宋体"/>
          <w:color w:val="000000"/>
          <w:sz w:val="28"/>
          <w:szCs w:val="28"/>
          <w:u w:val="single"/>
          <w:lang w:val="en-US" w:eastAsia="zh-CN"/>
        </w:rPr>
        <w:t xml:space="preserve">                </w:t>
      </w:r>
      <w:r>
        <w:rPr>
          <w:rFonts w:hint="eastAsia"/>
          <w:b w:val="0"/>
          <w:bCs w:val="0"/>
          <w:color w:val="auto"/>
          <w:spacing w:val="8"/>
          <w:sz w:val="28"/>
          <w:szCs w:val="28"/>
          <w:u w:val="single"/>
          <w:shd w:val="clear" w:color="auto" w:fill="FFFFFF"/>
        </w:rPr>
        <w:t>重庆英洛维科技有限公司</w:t>
      </w:r>
      <w:r>
        <w:rPr>
          <w:rFonts w:hint="eastAsia"/>
          <w:sz w:val="28"/>
          <w:szCs w:val="28"/>
          <w:u w:val="single"/>
          <w:lang w:val="en-US" w:eastAsia="zh-CN"/>
        </w:rPr>
        <w:t xml:space="preserve">         </w:t>
      </w:r>
    </w:p>
    <w:p>
      <w:pPr>
        <w:adjustRightInd w:val="0"/>
        <w:snapToGrid w:val="0"/>
        <w:spacing w:line="360" w:lineRule="auto"/>
        <w:rPr>
          <w:rFonts w:ascii="宋体" w:hAnsi="宋体" w:cs="宋体"/>
          <w:color w:val="000000"/>
          <w:sz w:val="28"/>
          <w:szCs w:val="28"/>
          <w:u w:val="single"/>
        </w:rPr>
      </w:pPr>
      <w:r>
        <w:rPr>
          <w:rFonts w:hint="eastAsia" w:ascii="宋体" w:hAnsi="宋体" w:cs="宋体"/>
          <w:color w:val="000000"/>
          <w:sz w:val="28"/>
          <w:szCs w:val="28"/>
        </w:rPr>
        <w:t>编制日期：</w:t>
      </w:r>
      <w:r>
        <w:rPr>
          <w:rFonts w:hint="eastAsia" w:ascii="宋体" w:hAnsi="宋体" w:cs="宋体"/>
          <w:color w:val="000000"/>
          <w:sz w:val="28"/>
          <w:szCs w:val="28"/>
          <w:u w:val="single"/>
        </w:rPr>
        <w:t xml:space="preserve">         </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u w:val="single"/>
        </w:rPr>
        <w:t>202</w:t>
      </w:r>
      <w:r>
        <w:rPr>
          <w:rFonts w:hint="eastAsia" w:ascii="宋体" w:hAnsi="宋体" w:cs="宋体"/>
          <w:color w:val="000000"/>
          <w:sz w:val="28"/>
          <w:szCs w:val="28"/>
          <w:u w:val="single"/>
          <w:lang w:val="en-US" w:eastAsia="zh-CN"/>
        </w:rPr>
        <w:t>3</w:t>
      </w:r>
      <w:r>
        <w:rPr>
          <w:rFonts w:hint="eastAsia" w:ascii="宋体" w:hAnsi="宋体" w:cs="宋体"/>
          <w:color w:val="000000"/>
          <w:sz w:val="28"/>
          <w:szCs w:val="28"/>
          <w:u w:val="single"/>
        </w:rPr>
        <w:t>年</w:t>
      </w:r>
      <w:r>
        <w:rPr>
          <w:rFonts w:hint="eastAsia" w:ascii="宋体" w:hAnsi="宋体" w:cs="宋体"/>
          <w:color w:val="000000"/>
          <w:sz w:val="28"/>
          <w:szCs w:val="28"/>
          <w:u w:val="single"/>
          <w:lang w:val="en-US" w:eastAsia="zh-CN"/>
        </w:rPr>
        <w:t>8</w:t>
      </w:r>
      <w:r>
        <w:rPr>
          <w:rFonts w:hint="eastAsia" w:ascii="宋体" w:hAnsi="宋体" w:cs="宋体"/>
          <w:color w:val="000000"/>
          <w:sz w:val="28"/>
          <w:szCs w:val="28"/>
          <w:u w:val="single"/>
        </w:rPr>
        <w:t xml:space="preserve">月    </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u w:val="single"/>
        </w:rPr>
        <w:t xml:space="preserve">   </w:t>
      </w:r>
    </w:p>
    <w:p>
      <w:pPr>
        <w:adjustRightInd w:val="0"/>
        <w:snapToGrid w:val="0"/>
        <w:spacing w:line="288" w:lineRule="auto"/>
        <w:ind w:firstLine="1040"/>
        <w:rPr>
          <w:rFonts w:ascii="仿宋_GB2312" w:eastAsia="仿宋_GB2312"/>
          <w:color w:val="000000"/>
          <w:sz w:val="32"/>
          <w:szCs w:val="32"/>
          <w:u w:val="single"/>
        </w:rPr>
      </w:pPr>
    </w:p>
    <w:p>
      <w:pPr>
        <w:adjustRightInd w:val="0"/>
        <w:snapToGrid w:val="0"/>
        <w:spacing w:line="288" w:lineRule="auto"/>
        <w:ind w:firstLine="1040"/>
        <w:rPr>
          <w:rFonts w:ascii="仿宋_GB2312" w:eastAsia="仿宋_GB2312"/>
          <w:color w:val="000000"/>
          <w:sz w:val="36"/>
          <w:szCs w:val="36"/>
        </w:rPr>
      </w:pPr>
    </w:p>
    <w:p>
      <w:pPr>
        <w:adjustRightInd w:val="0"/>
        <w:snapToGrid w:val="0"/>
        <w:spacing w:line="288" w:lineRule="auto"/>
        <w:ind w:firstLine="1040"/>
        <w:rPr>
          <w:rFonts w:ascii="仿宋_GB2312" w:eastAsia="仿宋_GB2312"/>
          <w:color w:val="000000"/>
          <w:sz w:val="36"/>
          <w:szCs w:val="36"/>
        </w:rPr>
      </w:pPr>
    </w:p>
    <w:p>
      <w:pPr>
        <w:adjustRightInd w:val="0"/>
        <w:snapToGrid w:val="0"/>
        <w:spacing w:line="288" w:lineRule="auto"/>
        <w:jc w:val="center"/>
        <w:rPr>
          <w:rFonts w:hint="eastAsia" w:ascii="仿宋_GB2312" w:eastAsia="仿宋_GB2312"/>
          <w:color w:val="000000"/>
          <w:sz w:val="36"/>
          <w:szCs w:val="36"/>
        </w:rPr>
      </w:pPr>
    </w:p>
    <w:bookmarkEnd w:id="0"/>
    <w:p>
      <w:pPr>
        <w:jc w:val="center"/>
      </w:pPr>
      <w:r>
        <w:rPr>
          <w:rFonts w:hint="eastAsia" w:ascii="楷体_GB2312" w:eastAsia="楷体_GB2312"/>
          <w:color w:val="000000"/>
          <w:sz w:val="36"/>
          <w:szCs w:val="36"/>
        </w:rPr>
        <w:t>中华人民共和国生态环境部制</w:t>
      </w:r>
    </w:p>
    <w:p>
      <w:pPr>
        <w:pStyle w:val="19"/>
        <w:numPr>
          <w:numId w:val="0"/>
        </w:numPr>
        <w:ind w:leftChars="0"/>
        <w:jc w:val="both"/>
        <w:outlineLvl w:val="0"/>
        <w:rPr>
          <w:rFonts w:ascii="黑体" w:hAnsi="黑体" w:eastAsia="黑体"/>
          <w:snapToGrid w:val="0"/>
          <w:color w:val="auto"/>
          <w:sz w:val="30"/>
          <w:szCs w:val="30"/>
        </w:rPr>
      </w:pPr>
    </w:p>
    <w:p>
      <w:pPr>
        <w:pStyle w:val="19"/>
        <w:numPr>
          <w:numId w:val="0"/>
        </w:numPr>
        <w:ind w:leftChars="0"/>
        <w:jc w:val="both"/>
        <w:outlineLvl w:val="0"/>
        <w:rPr>
          <w:rFonts w:ascii="黑体" w:hAnsi="黑体" w:eastAsia="黑体"/>
          <w:snapToGrid w:val="0"/>
          <w:color w:val="auto"/>
          <w:sz w:val="30"/>
          <w:szCs w:val="30"/>
        </w:rPr>
      </w:pPr>
    </w:p>
    <w:p>
      <w:pPr>
        <w:pStyle w:val="19"/>
        <w:numPr>
          <w:numId w:val="0"/>
        </w:numPr>
        <w:ind w:leftChars="0"/>
        <w:jc w:val="both"/>
        <w:outlineLvl w:val="0"/>
        <w:rPr>
          <w:rFonts w:hint="eastAsia" w:ascii="黑体" w:hAnsi="黑体" w:eastAsia="黑体"/>
          <w:snapToGrid w:val="0"/>
          <w:color w:val="auto"/>
          <w:sz w:val="30"/>
          <w:szCs w:val="30"/>
          <w:lang w:eastAsia="zh-CN"/>
        </w:rPr>
      </w:pPr>
      <w:r>
        <w:rPr>
          <w:rFonts w:hint="eastAsia" w:ascii="黑体" w:hAnsi="黑体" w:eastAsia="黑体"/>
          <w:snapToGrid w:val="0"/>
          <w:color w:val="auto"/>
          <w:sz w:val="30"/>
          <w:szCs w:val="30"/>
          <w:lang w:eastAsia="zh-CN"/>
        </w:rPr>
        <w:drawing>
          <wp:inline distT="0" distB="0" distL="114300" distR="114300">
            <wp:extent cx="5610860" cy="6203315"/>
            <wp:effectExtent l="0" t="0" r="8890" b="6985"/>
            <wp:docPr id="1" name="图片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
                    <pic:cNvPicPr>
                      <a:picLocks noChangeAspect="1"/>
                    </pic:cNvPicPr>
                  </pic:nvPicPr>
                  <pic:blipFill>
                    <a:blip r:embed="rId6"/>
                    <a:stretch>
                      <a:fillRect/>
                    </a:stretch>
                  </pic:blipFill>
                  <pic:spPr>
                    <a:xfrm>
                      <a:off x="0" y="0"/>
                      <a:ext cx="5610860" cy="6203315"/>
                    </a:xfrm>
                    <a:prstGeom prst="rect">
                      <a:avLst/>
                    </a:prstGeom>
                  </pic:spPr>
                </pic:pic>
              </a:graphicData>
            </a:graphic>
          </wp:inline>
        </w:drawing>
      </w:r>
    </w:p>
    <w:p>
      <w:pPr>
        <w:pStyle w:val="19"/>
        <w:numPr>
          <w:numId w:val="0"/>
        </w:numPr>
        <w:ind w:leftChars="0"/>
        <w:jc w:val="both"/>
        <w:outlineLvl w:val="0"/>
        <w:rPr>
          <w:rFonts w:ascii="黑体" w:hAnsi="黑体" w:eastAsia="黑体"/>
          <w:snapToGrid w:val="0"/>
          <w:color w:val="auto"/>
          <w:sz w:val="30"/>
          <w:szCs w:val="30"/>
        </w:rPr>
      </w:pPr>
    </w:p>
    <w:p>
      <w:pPr>
        <w:pStyle w:val="19"/>
        <w:numPr>
          <w:numId w:val="0"/>
        </w:numPr>
        <w:ind w:leftChars="0"/>
        <w:jc w:val="both"/>
        <w:outlineLvl w:val="0"/>
        <w:rPr>
          <w:rFonts w:ascii="黑体" w:hAnsi="黑体" w:eastAsia="黑体"/>
          <w:snapToGrid w:val="0"/>
          <w:color w:val="auto"/>
          <w:sz w:val="30"/>
          <w:szCs w:val="30"/>
        </w:rPr>
      </w:pPr>
    </w:p>
    <w:p>
      <w:pPr>
        <w:pStyle w:val="19"/>
        <w:numPr>
          <w:numId w:val="0"/>
        </w:numPr>
        <w:ind w:leftChars="0"/>
        <w:jc w:val="both"/>
        <w:outlineLvl w:val="0"/>
        <w:rPr>
          <w:rFonts w:ascii="黑体" w:hAnsi="黑体" w:eastAsia="黑体"/>
          <w:snapToGrid w:val="0"/>
          <w:color w:val="auto"/>
          <w:sz w:val="30"/>
          <w:szCs w:val="30"/>
        </w:rPr>
      </w:pPr>
    </w:p>
    <w:p>
      <w:pPr>
        <w:pStyle w:val="19"/>
        <w:numPr>
          <w:numId w:val="0"/>
        </w:numPr>
        <w:ind w:leftChars="0"/>
        <w:jc w:val="both"/>
        <w:outlineLvl w:val="0"/>
        <w:rPr>
          <w:rFonts w:ascii="黑体" w:hAnsi="黑体" w:eastAsia="黑体"/>
          <w:snapToGrid w:val="0"/>
          <w:color w:val="auto"/>
          <w:sz w:val="30"/>
          <w:szCs w:val="30"/>
        </w:rPr>
      </w:pPr>
    </w:p>
    <w:p>
      <w:pPr>
        <w:pStyle w:val="19"/>
        <w:numPr>
          <w:numId w:val="0"/>
        </w:numPr>
        <w:ind w:leftChars="0"/>
        <w:jc w:val="both"/>
        <w:outlineLvl w:val="0"/>
        <w:rPr>
          <w:rFonts w:ascii="黑体" w:hAnsi="黑体" w:eastAsia="黑体"/>
          <w:snapToGrid w:val="0"/>
          <w:color w:val="auto"/>
          <w:sz w:val="30"/>
          <w:szCs w:val="30"/>
        </w:rPr>
      </w:pPr>
    </w:p>
    <w:p>
      <w:pPr>
        <w:pStyle w:val="19"/>
        <w:numPr>
          <w:numId w:val="0"/>
        </w:numPr>
        <w:ind w:leftChars="0"/>
        <w:jc w:val="both"/>
        <w:outlineLvl w:val="0"/>
        <w:rPr>
          <w:rFonts w:hint="eastAsia" w:ascii="黑体" w:hAnsi="黑体" w:eastAsia="黑体"/>
          <w:snapToGrid w:val="0"/>
          <w:color w:val="auto"/>
          <w:sz w:val="30"/>
          <w:szCs w:val="30"/>
          <w:lang w:eastAsia="zh-CN"/>
        </w:rPr>
      </w:pPr>
      <w:r>
        <w:rPr>
          <w:rFonts w:hint="eastAsia" w:ascii="黑体" w:hAnsi="黑体" w:eastAsia="黑体"/>
          <w:snapToGrid w:val="0"/>
          <w:color w:val="auto"/>
          <w:sz w:val="30"/>
          <w:szCs w:val="30"/>
          <w:lang w:eastAsia="zh-CN"/>
        </w:rPr>
        <w:drawing>
          <wp:inline distT="0" distB="0" distL="114300" distR="114300">
            <wp:extent cx="5614035" cy="7840980"/>
            <wp:effectExtent l="0" t="0" r="5715" b="7620"/>
            <wp:docPr id="2" name="图片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2"/>
                    <pic:cNvPicPr>
                      <a:picLocks noChangeAspect="1"/>
                    </pic:cNvPicPr>
                  </pic:nvPicPr>
                  <pic:blipFill>
                    <a:blip r:embed="rId7"/>
                    <a:stretch>
                      <a:fillRect/>
                    </a:stretch>
                  </pic:blipFill>
                  <pic:spPr>
                    <a:xfrm>
                      <a:off x="0" y="0"/>
                      <a:ext cx="5614035" cy="7840980"/>
                    </a:xfrm>
                    <a:prstGeom prst="rect">
                      <a:avLst/>
                    </a:prstGeom>
                  </pic:spPr>
                </pic:pic>
              </a:graphicData>
            </a:graphic>
          </wp:inline>
        </w:drawing>
      </w:r>
    </w:p>
    <w:p>
      <w:pPr>
        <w:pStyle w:val="19"/>
        <w:numPr>
          <w:numId w:val="0"/>
        </w:numPr>
        <w:ind w:leftChars="0"/>
        <w:jc w:val="both"/>
        <w:outlineLvl w:val="0"/>
        <w:rPr>
          <w:rFonts w:ascii="黑体" w:hAnsi="黑体" w:eastAsia="黑体"/>
          <w:snapToGrid w:val="0"/>
          <w:color w:val="auto"/>
          <w:sz w:val="30"/>
          <w:szCs w:val="30"/>
        </w:rPr>
      </w:pPr>
    </w:p>
    <w:p>
      <w:pPr>
        <w:pStyle w:val="19"/>
        <w:numPr>
          <w:ilvl w:val="0"/>
          <w:numId w:val="1"/>
        </w:numPr>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建设项目基本情况</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82"/>
        <w:gridCol w:w="1637"/>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建设项目名称</w:t>
            </w:r>
          </w:p>
        </w:tc>
        <w:tc>
          <w:tcPr>
            <w:tcW w:w="6488" w:type="dxa"/>
            <w:gridSpan w:val="3"/>
            <w:vAlign w:val="center"/>
          </w:tcPr>
          <w:p>
            <w:pPr>
              <w:adjustRightInd w:val="0"/>
              <w:snapToGrid w:val="0"/>
              <w:jc w:val="center"/>
              <w:rPr>
                <w:color w:val="auto"/>
                <w:sz w:val="24"/>
              </w:rPr>
            </w:pPr>
            <w:r>
              <w:rPr>
                <w:rFonts w:hint="eastAsia"/>
                <w:color w:val="auto"/>
                <w:sz w:val="24"/>
              </w:rPr>
              <w:t>年产拉幅定型无纺布500吨、淋膜无纺布300吨扩建项目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项目代码</w:t>
            </w:r>
          </w:p>
        </w:tc>
        <w:tc>
          <w:tcPr>
            <w:tcW w:w="6488" w:type="dxa"/>
            <w:gridSpan w:val="3"/>
            <w:vAlign w:val="center"/>
          </w:tcPr>
          <w:p>
            <w:pPr>
              <w:adjustRightInd w:val="0"/>
              <w:snapToGrid w:val="0"/>
              <w:jc w:val="center"/>
              <w:rPr>
                <w:color w:val="auto"/>
                <w:sz w:val="24"/>
              </w:rPr>
            </w:pPr>
            <w:r>
              <w:rPr>
                <w:rFonts w:hint="eastAsia"/>
                <w:color w:val="auto"/>
                <w:sz w:val="24"/>
              </w:rPr>
              <w:t>2302</w:t>
            </w:r>
            <w:r>
              <w:rPr>
                <w:color w:val="auto"/>
                <w:sz w:val="24"/>
              </w:rPr>
              <w:t>-500</w:t>
            </w:r>
            <w:r>
              <w:rPr>
                <w:rFonts w:hint="eastAsia"/>
                <w:color w:val="auto"/>
                <w:sz w:val="24"/>
              </w:rPr>
              <w:t>151</w:t>
            </w:r>
            <w:r>
              <w:rPr>
                <w:color w:val="auto"/>
                <w:sz w:val="24"/>
              </w:rPr>
              <w:t>-0</w:t>
            </w:r>
            <w:r>
              <w:rPr>
                <w:rFonts w:hint="eastAsia"/>
                <w:color w:val="auto"/>
                <w:sz w:val="24"/>
              </w:rPr>
              <w:t>4</w:t>
            </w:r>
            <w:r>
              <w:rPr>
                <w:color w:val="auto"/>
                <w:sz w:val="24"/>
              </w:rPr>
              <w:t>-0</w:t>
            </w:r>
            <w:r>
              <w:rPr>
                <w:rFonts w:hint="eastAsia"/>
                <w:color w:val="auto"/>
                <w:sz w:val="24"/>
              </w:rPr>
              <w:t>1</w:t>
            </w:r>
            <w:r>
              <w:rPr>
                <w:color w:val="auto"/>
                <w:sz w:val="24"/>
              </w:rPr>
              <w:t>-</w:t>
            </w:r>
            <w:r>
              <w:rPr>
                <w:rFonts w:hint="eastAsia"/>
                <w:color w:val="auto"/>
                <w:sz w:val="24"/>
              </w:rPr>
              <w:t>196772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建设单位联系人</w:t>
            </w:r>
          </w:p>
        </w:tc>
        <w:tc>
          <w:tcPr>
            <w:tcW w:w="1637" w:type="dxa"/>
            <w:vAlign w:val="center"/>
          </w:tcPr>
          <w:p>
            <w:pPr>
              <w:adjustRightInd w:val="0"/>
              <w:snapToGrid w:val="0"/>
              <w:jc w:val="center"/>
              <w:rPr>
                <w:rFonts w:hint="default" w:ascii="宋体" w:hAnsi="宋体" w:eastAsia="宋体" w:cs="宋体"/>
                <w:bCs/>
                <w:color w:val="auto"/>
                <w:sz w:val="24"/>
                <w:lang w:val="en-US" w:eastAsia="zh-CN"/>
              </w:rPr>
            </w:pPr>
            <w:r>
              <w:rPr>
                <w:rFonts w:hint="eastAsia" w:ascii="宋体" w:hAnsi="宋体" w:cs="宋体"/>
                <w:bCs/>
                <w:color w:val="auto"/>
                <w:sz w:val="24"/>
              </w:rPr>
              <w:t>石</w:t>
            </w:r>
            <w:r>
              <w:rPr>
                <w:rFonts w:hint="eastAsia" w:ascii="宋体" w:hAnsi="宋体" w:cs="宋体"/>
                <w:bCs/>
                <w:color w:val="auto"/>
                <w:sz w:val="24"/>
                <w:lang w:val="en-US" w:eastAsia="zh-CN"/>
              </w:rPr>
              <w:t>**</w:t>
            </w:r>
          </w:p>
        </w:tc>
        <w:tc>
          <w:tcPr>
            <w:tcW w:w="2212" w:type="dxa"/>
            <w:vAlign w:val="center"/>
          </w:tcPr>
          <w:p>
            <w:pPr>
              <w:adjustRightInd w:val="0"/>
              <w:snapToGrid w:val="0"/>
              <w:jc w:val="center"/>
              <w:rPr>
                <w:rFonts w:ascii="宋体" w:hAnsi="宋体" w:cs="宋体"/>
                <w:bCs/>
                <w:color w:val="auto"/>
                <w:sz w:val="24"/>
              </w:rPr>
            </w:pPr>
            <w:r>
              <w:rPr>
                <w:rFonts w:hint="eastAsia" w:ascii="宋体" w:hAnsi="宋体" w:cs="宋体"/>
                <w:bCs/>
                <w:color w:val="auto"/>
                <w:sz w:val="24"/>
              </w:rPr>
              <w:t>联系方式</w:t>
            </w:r>
          </w:p>
        </w:tc>
        <w:tc>
          <w:tcPr>
            <w:tcW w:w="2639" w:type="dxa"/>
            <w:vAlign w:val="center"/>
          </w:tcPr>
          <w:p>
            <w:pPr>
              <w:adjustRightInd w:val="0"/>
              <w:snapToGrid w:val="0"/>
              <w:jc w:val="center"/>
              <w:rPr>
                <w:rFonts w:ascii="宋体" w:hAnsi="宋体" w:cs="宋体"/>
                <w:bCs/>
                <w:color w:val="auto"/>
                <w:sz w:val="24"/>
              </w:rPr>
            </w:pPr>
            <w:r>
              <w:rPr>
                <w:bCs/>
                <w:color w:val="auto"/>
                <w:sz w:val="24"/>
              </w:rPr>
              <w:t>136</w:t>
            </w:r>
            <w:r>
              <w:rPr>
                <w:rFonts w:hint="eastAsia"/>
                <w:bCs/>
                <w:color w:val="auto"/>
                <w:sz w:val="24"/>
                <w:lang w:val="en-US" w:eastAsia="zh-CN"/>
              </w:rPr>
              <w:t>*****</w:t>
            </w:r>
            <w:r>
              <w:rPr>
                <w:bCs/>
                <w:color w:val="auto"/>
                <w:sz w:val="24"/>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建设地点</w:t>
            </w:r>
          </w:p>
        </w:tc>
        <w:tc>
          <w:tcPr>
            <w:tcW w:w="6488" w:type="dxa"/>
            <w:gridSpan w:val="3"/>
            <w:vAlign w:val="center"/>
          </w:tcPr>
          <w:p>
            <w:pPr>
              <w:widowControl/>
              <w:jc w:val="center"/>
              <w:rPr>
                <w:color w:val="auto"/>
                <w:sz w:val="24"/>
              </w:rPr>
            </w:pPr>
            <w:r>
              <w:rPr>
                <w:rFonts w:hint="eastAsia"/>
                <w:color w:val="auto"/>
                <w:spacing w:val="8"/>
                <w:sz w:val="24"/>
                <w:shd w:val="clear" w:color="auto" w:fill="FFFFFF"/>
              </w:rPr>
              <w:t>重庆市铜梁区东城街道祝英南路7号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地理坐标</w:t>
            </w:r>
          </w:p>
        </w:tc>
        <w:tc>
          <w:tcPr>
            <w:tcW w:w="6488" w:type="dxa"/>
            <w:gridSpan w:val="3"/>
            <w:vAlign w:val="center"/>
          </w:tcPr>
          <w:p>
            <w:pPr>
              <w:jc w:val="center"/>
              <w:rPr>
                <w:color w:val="auto"/>
                <w:sz w:val="24"/>
              </w:rPr>
            </w:pPr>
            <w:r>
              <w:rPr>
                <w:color w:val="auto"/>
                <w:sz w:val="24"/>
              </w:rPr>
              <w:t>（</w:t>
            </w:r>
            <w:r>
              <w:rPr>
                <w:color w:val="auto"/>
                <w:sz w:val="24"/>
                <w:u w:val="single"/>
              </w:rPr>
              <w:t>106</w:t>
            </w:r>
            <w:r>
              <w:rPr>
                <w:color w:val="auto"/>
                <w:sz w:val="24"/>
              </w:rPr>
              <w:t>度</w:t>
            </w:r>
            <w:r>
              <w:rPr>
                <w:rFonts w:hint="eastAsia"/>
                <w:color w:val="auto"/>
                <w:sz w:val="24"/>
                <w:u w:val="single"/>
              </w:rPr>
              <w:t>7</w:t>
            </w:r>
            <w:r>
              <w:rPr>
                <w:color w:val="auto"/>
                <w:sz w:val="24"/>
              </w:rPr>
              <w:t>分</w:t>
            </w:r>
            <w:r>
              <w:rPr>
                <w:rFonts w:hint="eastAsia"/>
                <w:color w:val="auto"/>
                <w:sz w:val="24"/>
                <w:u w:val="single"/>
              </w:rPr>
              <w:t>10.390</w:t>
            </w:r>
            <w:r>
              <w:rPr>
                <w:color w:val="auto"/>
                <w:sz w:val="24"/>
              </w:rPr>
              <w:t>秒，</w:t>
            </w:r>
            <w:r>
              <w:rPr>
                <w:color w:val="auto"/>
                <w:sz w:val="24"/>
                <w:u w:val="single"/>
              </w:rPr>
              <w:t>29</w:t>
            </w:r>
            <w:r>
              <w:rPr>
                <w:color w:val="auto"/>
                <w:sz w:val="24"/>
              </w:rPr>
              <w:t>度</w:t>
            </w:r>
            <w:r>
              <w:rPr>
                <w:rFonts w:hint="eastAsia"/>
                <w:color w:val="auto"/>
                <w:sz w:val="24"/>
                <w:u w:val="single"/>
              </w:rPr>
              <w:t>50</w:t>
            </w:r>
            <w:r>
              <w:rPr>
                <w:color w:val="auto"/>
                <w:sz w:val="24"/>
              </w:rPr>
              <w:t>分</w:t>
            </w:r>
            <w:r>
              <w:rPr>
                <w:rFonts w:hint="eastAsia"/>
                <w:color w:val="auto"/>
                <w:sz w:val="24"/>
                <w:u w:val="single"/>
              </w:rPr>
              <w:t>38.905</w:t>
            </w:r>
            <w:r>
              <w:rPr>
                <w:color w:val="auto"/>
                <w:sz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tcMar>
              <w:top w:w="16" w:type="dxa"/>
              <w:left w:w="16" w:type="dxa"/>
              <w:right w:w="16"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国民经济</w:t>
            </w:r>
          </w:p>
          <w:p>
            <w:pPr>
              <w:adjustRightInd w:val="0"/>
              <w:snapToGrid w:val="0"/>
              <w:jc w:val="center"/>
              <w:rPr>
                <w:rFonts w:ascii="宋体" w:hAnsi="宋体" w:cs="宋体"/>
                <w:color w:val="auto"/>
                <w:sz w:val="24"/>
              </w:rPr>
            </w:pPr>
            <w:r>
              <w:rPr>
                <w:rFonts w:hint="eastAsia" w:ascii="宋体" w:hAnsi="宋体" w:cs="宋体"/>
                <w:color w:val="auto"/>
                <w:sz w:val="24"/>
              </w:rPr>
              <w:t>行业类别</w:t>
            </w:r>
          </w:p>
        </w:tc>
        <w:tc>
          <w:tcPr>
            <w:tcW w:w="1637" w:type="dxa"/>
            <w:vAlign w:val="center"/>
          </w:tcPr>
          <w:p>
            <w:pPr>
              <w:widowControl/>
              <w:jc w:val="left"/>
              <w:rPr>
                <w:color w:val="auto"/>
                <w:sz w:val="24"/>
              </w:rPr>
            </w:pPr>
            <w:r>
              <w:rPr>
                <w:rFonts w:hint="eastAsia"/>
                <w:color w:val="auto"/>
                <w:sz w:val="24"/>
              </w:rPr>
              <w:t>C36-3670汽车零部件及配件制造</w:t>
            </w:r>
          </w:p>
        </w:tc>
        <w:tc>
          <w:tcPr>
            <w:tcW w:w="2212" w:type="dxa"/>
            <w:vAlign w:val="center"/>
          </w:tcPr>
          <w:p>
            <w:pPr>
              <w:adjustRightInd w:val="0"/>
              <w:snapToGrid w:val="0"/>
              <w:jc w:val="center"/>
              <w:rPr>
                <w:color w:val="auto"/>
                <w:sz w:val="24"/>
              </w:rPr>
            </w:pPr>
            <w:r>
              <w:rPr>
                <w:color w:val="auto"/>
                <w:sz w:val="24"/>
              </w:rPr>
              <w:t>建设项目</w:t>
            </w:r>
          </w:p>
          <w:p>
            <w:pPr>
              <w:adjustRightInd w:val="0"/>
              <w:snapToGrid w:val="0"/>
              <w:jc w:val="center"/>
              <w:rPr>
                <w:color w:val="auto"/>
                <w:sz w:val="24"/>
              </w:rPr>
            </w:pPr>
            <w:r>
              <w:rPr>
                <w:color w:val="auto"/>
                <w:sz w:val="24"/>
              </w:rPr>
              <w:t>行业类别</w:t>
            </w:r>
          </w:p>
        </w:tc>
        <w:tc>
          <w:tcPr>
            <w:tcW w:w="2639" w:type="dxa"/>
            <w:vAlign w:val="center"/>
          </w:tcPr>
          <w:p>
            <w:pPr>
              <w:widowControl/>
              <w:jc w:val="left"/>
              <w:rPr>
                <w:color w:val="auto"/>
                <w:sz w:val="24"/>
              </w:rPr>
            </w:pPr>
            <w:r>
              <w:rPr>
                <w:rFonts w:ascii="STSong-Light" w:hAnsi="STSong-Light" w:eastAsia="STSong-Light" w:cs="STSong-Light"/>
                <w:color w:val="auto"/>
                <w:kern w:val="0"/>
                <w:sz w:val="24"/>
                <w:lang w:bidi="ar"/>
              </w:rPr>
              <w:t>33-071汽车整车制造；汽车用发动机制造；改装汽车制造；低速汽车制造；电车制造；汽车车身、挂车制造；汽车零部件及配件制造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tcMar>
              <w:top w:w="16" w:type="dxa"/>
              <w:left w:w="16" w:type="dxa"/>
              <w:right w:w="16"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建设性质</w:t>
            </w:r>
          </w:p>
        </w:tc>
        <w:tc>
          <w:tcPr>
            <w:tcW w:w="1637" w:type="dxa"/>
            <w:vAlign w:val="center"/>
          </w:tcPr>
          <w:p>
            <w:pPr>
              <w:jc w:val="left"/>
              <w:rPr>
                <w:rFonts w:ascii="宋体" w:hAnsi="宋体" w:cs="宋体"/>
                <w:color w:val="auto"/>
                <w:sz w:val="24"/>
              </w:rPr>
            </w:pPr>
            <w:r>
              <w:rPr>
                <w:rFonts w:hint="eastAsia" w:ascii="宋体" w:hAnsi="宋体" w:cs="宋体"/>
                <w:color w:val="auto"/>
                <w:sz w:val="24"/>
              </w:rPr>
              <w:t>□新建（迁建）</w:t>
            </w:r>
          </w:p>
          <w:p>
            <w:pPr>
              <w:jc w:val="left"/>
              <w:rPr>
                <w:rFonts w:ascii="宋体" w:hAnsi="宋体" w:cs="宋体"/>
                <w:color w:val="auto"/>
                <w:sz w:val="24"/>
              </w:rPr>
            </w:pPr>
            <w:r>
              <w:rPr>
                <w:rFonts w:hint="eastAsia" w:ascii="宋体" w:hAnsi="宋体" w:cs="宋体"/>
                <w:color w:val="auto"/>
                <w:sz w:val="24"/>
              </w:rPr>
              <w:t>□改建</w:t>
            </w:r>
          </w:p>
          <w:p>
            <w:pPr>
              <w:jc w:val="left"/>
              <w:rPr>
                <w:rFonts w:ascii="宋体" w:hAnsi="宋体" w:cs="宋体"/>
                <w:color w:val="auto"/>
                <w:sz w:val="24"/>
              </w:rPr>
            </w:pPr>
            <w:r>
              <w:rPr>
                <w:rFonts w:hint="eastAsia" w:ascii="宋体" w:hAnsi="宋体" w:cs="宋体"/>
                <w:color w:val="auto"/>
                <w:sz w:val="24"/>
              </w:rPr>
              <w:t>√扩建</w:t>
            </w:r>
          </w:p>
          <w:p>
            <w:pPr>
              <w:jc w:val="left"/>
              <w:rPr>
                <w:rFonts w:ascii="宋体" w:hAnsi="宋体" w:cs="宋体"/>
                <w:color w:val="auto"/>
                <w:sz w:val="24"/>
              </w:rPr>
            </w:pPr>
            <w:r>
              <w:rPr>
                <w:rFonts w:hint="eastAsia" w:ascii="宋体" w:hAnsi="宋体" w:cs="宋体"/>
                <w:color w:val="auto"/>
                <w:sz w:val="24"/>
              </w:rPr>
              <w:t>□技术改造</w:t>
            </w:r>
          </w:p>
        </w:tc>
        <w:tc>
          <w:tcPr>
            <w:tcW w:w="2212" w:type="dxa"/>
            <w:vAlign w:val="center"/>
          </w:tcPr>
          <w:p>
            <w:pPr>
              <w:adjustRightInd w:val="0"/>
              <w:snapToGrid w:val="0"/>
              <w:jc w:val="center"/>
              <w:rPr>
                <w:rFonts w:ascii="宋体" w:hAnsi="宋体" w:cs="宋体"/>
                <w:color w:val="auto"/>
                <w:sz w:val="24"/>
              </w:rPr>
            </w:pPr>
            <w:r>
              <w:rPr>
                <w:rFonts w:hint="eastAsia" w:ascii="宋体" w:hAnsi="宋体" w:cs="宋体"/>
                <w:color w:val="auto"/>
                <w:sz w:val="24"/>
              </w:rPr>
              <w:t>建设项目</w:t>
            </w:r>
          </w:p>
          <w:p>
            <w:pPr>
              <w:adjustRightInd w:val="0"/>
              <w:snapToGrid w:val="0"/>
              <w:jc w:val="center"/>
              <w:rPr>
                <w:rFonts w:ascii="宋体" w:hAnsi="宋体" w:cs="宋体"/>
                <w:color w:val="auto"/>
                <w:sz w:val="24"/>
              </w:rPr>
            </w:pPr>
            <w:r>
              <w:rPr>
                <w:rFonts w:hint="eastAsia" w:ascii="宋体" w:hAnsi="宋体" w:cs="宋体"/>
                <w:color w:val="auto"/>
                <w:sz w:val="24"/>
              </w:rPr>
              <w:t>申报情形</w:t>
            </w:r>
          </w:p>
        </w:tc>
        <w:tc>
          <w:tcPr>
            <w:tcW w:w="2639" w:type="dxa"/>
            <w:vAlign w:val="center"/>
          </w:tcPr>
          <w:p>
            <w:pPr>
              <w:jc w:val="left"/>
              <w:rPr>
                <w:rFonts w:ascii="宋体" w:hAnsi="宋体" w:cs="宋体"/>
                <w:color w:val="auto"/>
                <w:sz w:val="24"/>
              </w:rPr>
            </w:pPr>
            <w:r>
              <w:rPr>
                <w:rFonts w:hint="eastAsia" w:ascii="宋体" w:hAnsi="宋体" w:cs="宋体"/>
                <w:color w:val="auto"/>
                <w:sz w:val="24"/>
              </w:rPr>
              <w:t>√首次申报项目</w:t>
            </w:r>
            <w:r>
              <w:rPr>
                <w:rFonts w:ascii="宋体" w:hAnsi="宋体" w:cs="宋体"/>
                <w:color w:val="auto"/>
                <w:sz w:val="24"/>
              </w:rPr>
              <w:t xml:space="preserve">             </w:t>
            </w:r>
          </w:p>
          <w:p>
            <w:pPr>
              <w:jc w:val="left"/>
              <w:rPr>
                <w:rFonts w:ascii="宋体" w:hAnsi="宋体" w:cs="宋体"/>
                <w:color w:val="auto"/>
                <w:sz w:val="24"/>
              </w:rPr>
            </w:pPr>
            <w:r>
              <w:rPr>
                <w:rFonts w:hint="eastAsia" w:ascii="宋体" w:hAnsi="宋体" w:cs="宋体"/>
                <w:color w:val="auto"/>
                <w:sz w:val="24"/>
              </w:rPr>
              <w:t>□不予批准后再次申报项目</w:t>
            </w:r>
          </w:p>
          <w:p>
            <w:pPr>
              <w:jc w:val="left"/>
              <w:rPr>
                <w:rFonts w:ascii="宋体" w:hAnsi="宋体" w:cs="宋体"/>
                <w:color w:val="auto"/>
                <w:sz w:val="24"/>
              </w:rPr>
            </w:pPr>
            <w:r>
              <w:rPr>
                <w:rFonts w:hint="eastAsia" w:ascii="宋体" w:hAnsi="宋体" w:cs="宋体"/>
                <w:color w:val="auto"/>
                <w:sz w:val="24"/>
              </w:rPr>
              <w:sym w:font="Wingdings 2" w:char="00A3"/>
            </w:r>
            <w:r>
              <w:rPr>
                <w:rFonts w:hint="eastAsia" w:ascii="宋体" w:hAnsi="宋体" w:cs="宋体"/>
                <w:color w:val="auto"/>
                <w:sz w:val="24"/>
              </w:rPr>
              <w:t>超五年重新审核项目</w:t>
            </w:r>
            <w:r>
              <w:rPr>
                <w:rFonts w:ascii="宋体" w:hAnsi="宋体" w:cs="宋体"/>
                <w:color w:val="auto"/>
                <w:sz w:val="24"/>
              </w:rPr>
              <w:t xml:space="preserve">     </w:t>
            </w:r>
          </w:p>
          <w:p>
            <w:pPr>
              <w:jc w:val="left"/>
              <w:rPr>
                <w:rFonts w:ascii="宋体" w:hAnsi="宋体" w:cs="宋体"/>
                <w:color w:val="auto"/>
                <w:sz w:val="24"/>
              </w:rPr>
            </w:pPr>
            <w:r>
              <w:rPr>
                <w:rFonts w:hint="eastAsia" w:ascii="宋体" w:hAnsi="宋体" w:cs="宋体"/>
                <w:color w:val="auto"/>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tcMar>
              <w:top w:w="16" w:type="dxa"/>
              <w:left w:w="16" w:type="dxa"/>
              <w:right w:w="16"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项目审批（核准</w:t>
            </w:r>
            <w:r>
              <w:rPr>
                <w:rFonts w:ascii="宋体" w:hAnsi="宋体" w:cs="宋体"/>
                <w:color w:val="auto"/>
                <w:sz w:val="24"/>
              </w:rPr>
              <w:t>/</w:t>
            </w:r>
          </w:p>
          <w:p>
            <w:pPr>
              <w:adjustRightInd w:val="0"/>
              <w:snapToGrid w:val="0"/>
              <w:jc w:val="center"/>
              <w:rPr>
                <w:rFonts w:ascii="宋体" w:hAnsi="宋体" w:cs="宋体"/>
                <w:color w:val="auto"/>
                <w:sz w:val="24"/>
              </w:rPr>
            </w:pPr>
            <w:r>
              <w:rPr>
                <w:rFonts w:hint="eastAsia" w:ascii="宋体" w:hAnsi="宋体" w:cs="宋体"/>
                <w:color w:val="auto"/>
                <w:sz w:val="24"/>
              </w:rPr>
              <w:t>备案）部门（选填）</w:t>
            </w:r>
          </w:p>
        </w:tc>
        <w:tc>
          <w:tcPr>
            <w:tcW w:w="1637" w:type="dxa"/>
            <w:vAlign w:val="center"/>
          </w:tcPr>
          <w:p>
            <w:pPr>
              <w:adjustRightInd w:val="0"/>
              <w:snapToGrid w:val="0"/>
              <w:jc w:val="center"/>
              <w:rPr>
                <w:rFonts w:ascii="宋体" w:hAnsi="宋体" w:cs="宋体"/>
                <w:color w:val="auto"/>
                <w:sz w:val="24"/>
              </w:rPr>
            </w:pPr>
            <w:r>
              <w:rPr>
                <w:rFonts w:hint="eastAsia" w:ascii="宋体" w:hAnsi="宋体" w:cs="宋体"/>
                <w:color w:val="auto"/>
                <w:sz w:val="24"/>
              </w:rPr>
              <w:t>重庆市铜梁区发展改革委员会</w:t>
            </w:r>
          </w:p>
        </w:tc>
        <w:tc>
          <w:tcPr>
            <w:tcW w:w="2212" w:type="dxa"/>
            <w:vAlign w:val="center"/>
          </w:tcPr>
          <w:p>
            <w:pPr>
              <w:adjustRightInd w:val="0"/>
              <w:snapToGrid w:val="0"/>
              <w:jc w:val="center"/>
              <w:rPr>
                <w:rFonts w:ascii="宋体" w:hAnsi="宋体" w:cs="宋体"/>
                <w:color w:val="auto"/>
                <w:sz w:val="24"/>
              </w:rPr>
            </w:pPr>
            <w:r>
              <w:rPr>
                <w:rFonts w:hint="eastAsia" w:ascii="宋体" w:hAnsi="宋体" w:cs="宋体"/>
                <w:color w:val="auto"/>
                <w:sz w:val="24"/>
              </w:rPr>
              <w:t>项目审批（核准</w:t>
            </w:r>
            <w:r>
              <w:rPr>
                <w:rFonts w:ascii="宋体" w:hAnsi="宋体" w:cs="宋体"/>
                <w:color w:val="auto"/>
                <w:sz w:val="24"/>
              </w:rPr>
              <w:t>/</w:t>
            </w:r>
          </w:p>
          <w:p>
            <w:pPr>
              <w:adjustRightInd w:val="0"/>
              <w:snapToGrid w:val="0"/>
              <w:jc w:val="center"/>
              <w:rPr>
                <w:rFonts w:ascii="宋体" w:hAnsi="宋体" w:cs="宋体"/>
                <w:color w:val="auto"/>
                <w:sz w:val="24"/>
              </w:rPr>
            </w:pPr>
            <w:r>
              <w:rPr>
                <w:rFonts w:hint="eastAsia" w:ascii="宋体" w:hAnsi="宋体" w:cs="宋体"/>
                <w:color w:val="auto"/>
                <w:sz w:val="24"/>
              </w:rPr>
              <w:t>备案）文号（选填）</w:t>
            </w:r>
          </w:p>
        </w:tc>
        <w:tc>
          <w:tcPr>
            <w:tcW w:w="2639" w:type="dxa"/>
            <w:vAlign w:val="center"/>
          </w:tcPr>
          <w:p>
            <w:pPr>
              <w:adjustRightInd w:val="0"/>
              <w:snapToGrid w:val="0"/>
              <w:jc w:val="center"/>
              <w:rPr>
                <w:rFonts w:ascii="宋体" w:hAnsi="宋体" w:cs="宋体"/>
                <w:color w:val="auto"/>
                <w:sz w:val="24"/>
              </w:rPr>
            </w:pPr>
            <w:r>
              <w:rPr>
                <w:rFonts w:hint="eastAsia" w:ascii="宋体" w:hAnsi="宋体" w:cs="宋体"/>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总投资（万元）</w:t>
            </w:r>
          </w:p>
        </w:tc>
        <w:tc>
          <w:tcPr>
            <w:tcW w:w="1637" w:type="dxa"/>
            <w:vAlign w:val="center"/>
          </w:tcPr>
          <w:p>
            <w:pPr>
              <w:adjustRightInd w:val="0"/>
              <w:snapToGrid w:val="0"/>
              <w:jc w:val="center"/>
              <w:rPr>
                <w:color w:val="auto"/>
                <w:sz w:val="24"/>
              </w:rPr>
            </w:pPr>
            <w:r>
              <w:rPr>
                <w:rFonts w:hint="eastAsia"/>
                <w:color w:val="auto"/>
                <w:sz w:val="24"/>
              </w:rPr>
              <w:t>1000</w:t>
            </w:r>
          </w:p>
        </w:tc>
        <w:tc>
          <w:tcPr>
            <w:tcW w:w="2212" w:type="dxa"/>
            <w:tcMar>
              <w:top w:w="16" w:type="dxa"/>
              <w:left w:w="16" w:type="dxa"/>
              <w:right w:w="16" w:type="dxa"/>
            </w:tcMar>
            <w:vAlign w:val="center"/>
          </w:tcPr>
          <w:p>
            <w:pPr>
              <w:adjustRightInd w:val="0"/>
              <w:snapToGrid w:val="0"/>
              <w:jc w:val="center"/>
              <w:rPr>
                <w:color w:val="auto"/>
                <w:sz w:val="24"/>
              </w:rPr>
            </w:pPr>
            <w:r>
              <w:rPr>
                <w:color w:val="auto"/>
                <w:sz w:val="24"/>
              </w:rPr>
              <w:t>环保投资（万元）</w:t>
            </w:r>
          </w:p>
        </w:tc>
        <w:tc>
          <w:tcPr>
            <w:tcW w:w="2639" w:type="dxa"/>
            <w:vAlign w:val="center"/>
          </w:tcPr>
          <w:p>
            <w:pPr>
              <w:adjustRightInd w:val="0"/>
              <w:snapToGrid w:val="0"/>
              <w:jc w:val="center"/>
              <w:rPr>
                <w:color w:val="auto"/>
                <w:sz w:val="24"/>
              </w:rPr>
            </w:pPr>
            <w:r>
              <w:rPr>
                <w:rFonts w:hint="eastAsia"/>
                <w:color w:val="auto"/>
                <w:sz w:val="24"/>
              </w:rPr>
              <w:t>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环保投资占比（</w:t>
            </w:r>
            <w:r>
              <w:rPr>
                <w:rFonts w:ascii="宋体" w:hAnsi="宋体" w:cs="宋体"/>
                <w:color w:val="auto"/>
                <w:sz w:val="24"/>
              </w:rPr>
              <w:t>%</w:t>
            </w:r>
            <w:r>
              <w:rPr>
                <w:rFonts w:hint="eastAsia" w:ascii="宋体" w:hAnsi="宋体" w:cs="宋体"/>
                <w:color w:val="auto"/>
                <w:sz w:val="24"/>
              </w:rPr>
              <w:t>）</w:t>
            </w:r>
          </w:p>
        </w:tc>
        <w:tc>
          <w:tcPr>
            <w:tcW w:w="1637" w:type="dxa"/>
            <w:vAlign w:val="center"/>
          </w:tcPr>
          <w:p>
            <w:pPr>
              <w:adjustRightInd w:val="0"/>
              <w:snapToGrid w:val="0"/>
              <w:jc w:val="center"/>
              <w:rPr>
                <w:color w:val="auto"/>
                <w:sz w:val="24"/>
              </w:rPr>
            </w:pPr>
            <w:r>
              <w:rPr>
                <w:rFonts w:hint="eastAsia"/>
                <w:color w:val="auto"/>
                <w:sz w:val="24"/>
              </w:rPr>
              <w:t>1.7</w:t>
            </w:r>
          </w:p>
        </w:tc>
        <w:tc>
          <w:tcPr>
            <w:tcW w:w="2212" w:type="dxa"/>
            <w:tcMar>
              <w:top w:w="16" w:type="dxa"/>
              <w:left w:w="16" w:type="dxa"/>
              <w:right w:w="16" w:type="dxa"/>
            </w:tcMar>
            <w:vAlign w:val="center"/>
          </w:tcPr>
          <w:p>
            <w:pPr>
              <w:adjustRightInd w:val="0"/>
              <w:snapToGrid w:val="0"/>
              <w:jc w:val="center"/>
              <w:rPr>
                <w:color w:val="auto"/>
                <w:sz w:val="24"/>
              </w:rPr>
            </w:pPr>
            <w:r>
              <w:rPr>
                <w:color w:val="auto"/>
                <w:sz w:val="24"/>
              </w:rPr>
              <w:t>施工工期</w:t>
            </w:r>
          </w:p>
        </w:tc>
        <w:tc>
          <w:tcPr>
            <w:tcW w:w="2639" w:type="dxa"/>
            <w:vAlign w:val="center"/>
          </w:tcPr>
          <w:p>
            <w:pPr>
              <w:adjustRightInd w:val="0"/>
              <w:snapToGrid w:val="0"/>
              <w:jc w:val="center"/>
              <w:rPr>
                <w:color w:val="auto"/>
                <w:sz w:val="24"/>
              </w:rPr>
            </w:pPr>
            <w:r>
              <w:rPr>
                <w:rFonts w:hint="eastAsia"/>
                <w:color w:val="auto"/>
                <w:sz w:val="24"/>
              </w:rPr>
              <w:t>1月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宋体" w:hAnsi="宋体" w:cs="宋体"/>
                <w:color w:val="auto"/>
                <w:sz w:val="24"/>
              </w:rPr>
            </w:pPr>
            <w:r>
              <w:rPr>
                <w:rFonts w:hint="eastAsia" w:ascii="宋体" w:hAnsi="宋体" w:cs="宋体"/>
                <w:color w:val="auto"/>
                <w:sz w:val="24"/>
              </w:rPr>
              <w:t>是否开工建设</w:t>
            </w:r>
          </w:p>
        </w:tc>
        <w:tc>
          <w:tcPr>
            <w:tcW w:w="1637" w:type="dxa"/>
            <w:vAlign w:val="center"/>
          </w:tcPr>
          <w:p>
            <w:pPr>
              <w:adjustRightInd w:val="0"/>
              <w:snapToGrid w:val="0"/>
              <w:rPr>
                <w:rFonts w:ascii="宋体" w:hAnsi="宋体" w:cs="宋体"/>
                <w:color w:val="auto"/>
                <w:sz w:val="24"/>
              </w:rPr>
            </w:pPr>
            <w:r>
              <w:rPr>
                <w:rFonts w:hint="eastAsia" w:ascii="宋体" w:hAnsi="宋体" w:cs="宋体"/>
                <w:color w:val="auto"/>
                <w:sz w:val="24"/>
              </w:rPr>
              <w:t>√否</w:t>
            </w:r>
          </w:p>
          <w:p>
            <w:pPr>
              <w:adjustRightInd w:val="0"/>
              <w:snapToGrid w:val="0"/>
              <w:rPr>
                <w:rFonts w:ascii="宋体" w:hAnsi="宋体" w:cs="宋体"/>
                <w:color w:val="auto"/>
                <w:sz w:val="24"/>
              </w:rPr>
            </w:pPr>
            <w:r>
              <w:rPr>
                <w:color w:val="auto"/>
                <w:sz w:val="24"/>
              </w:rPr>
              <w:sym w:font="Wingdings 2" w:char="00A3"/>
            </w:r>
            <w:r>
              <w:rPr>
                <w:rFonts w:hint="eastAsia" w:ascii="宋体" w:hAnsi="宋体" w:cs="宋体"/>
                <w:color w:val="auto"/>
                <w:sz w:val="24"/>
              </w:rPr>
              <w:t>是：</w:t>
            </w:r>
            <w:r>
              <w:rPr>
                <w:rFonts w:hint="eastAsia" w:ascii="宋体" w:hAnsi="宋体" w:cs="宋体"/>
                <w:color w:val="auto"/>
                <w:sz w:val="24"/>
                <w:u w:val="single"/>
              </w:rPr>
              <w:t xml:space="preserve">      </w:t>
            </w:r>
          </w:p>
        </w:tc>
        <w:tc>
          <w:tcPr>
            <w:tcW w:w="2212" w:type="dxa"/>
            <w:tcMar>
              <w:top w:w="16" w:type="dxa"/>
              <w:left w:w="16" w:type="dxa"/>
              <w:right w:w="16" w:type="dxa"/>
            </w:tcMar>
            <w:vAlign w:val="center"/>
          </w:tcPr>
          <w:p>
            <w:pPr>
              <w:adjustRightInd w:val="0"/>
              <w:snapToGrid w:val="0"/>
              <w:jc w:val="center"/>
              <w:rPr>
                <w:rFonts w:ascii="宋体" w:hAnsi="宋体" w:cs="宋体"/>
                <w:color w:val="auto"/>
                <w:spacing w:val="-6"/>
                <w:sz w:val="24"/>
              </w:rPr>
            </w:pPr>
            <w:r>
              <w:rPr>
                <w:rFonts w:hint="eastAsia" w:ascii="宋体" w:hAnsi="宋体" w:cs="宋体"/>
                <w:color w:val="auto"/>
                <w:spacing w:val="-6"/>
                <w:sz w:val="24"/>
              </w:rPr>
              <w:t>用地（用海）</w:t>
            </w:r>
          </w:p>
          <w:p>
            <w:pPr>
              <w:adjustRightInd w:val="0"/>
              <w:snapToGrid w:val="0"/>
              <w:jc w:val="center"/>
              <w:rPr>
                <w:rFonts w:ascii="宋体" w:hAnsi="宋体" w:cs="宋体"/>
                <w:color w:val="auto"/>
                <w:sz w:val="24"/>
              </w:rPr>
            </w:pPr>
            <w:r>
              <w:rPr>
                <w:rFonts w:hint="eastAsia" w:ascii="宋体" w:hAnsi="宋体" w:cs="宋体"/>
                <w:color w:val="auto"/>
                <w:spacing w:val="-6"/>
                <w:sz w:val="24"/>
              </w:rPr>
              <w:t>面积（</w:t>
            </w:r>
            <w:r>
              <w:rPr>
                <w:rFonts w:ascii="宋体" w:hAnsi="宋体" w:cs="宋体"/>
                <w:color w:val="auto"/>
                <w:spacing w:val="-6"/>
                <w:sz w:val="24"/>
              </w:rPr>
              <w:t>m</w:t>
            </w:r>
            <w:r>
              <w:rPr>
                <w:rFonts w:ascii="宋体" w:hAnsi="宋体" w:cs="宋体"/>
                <w:color w:val="auto"/>
                <w:spacing w:val="-6"/>
                <w:sz w:val="24"/>
                <w:vertAlign w:val="superscript"/>
              </w:rPr>
              <w:t>2</w:t>
            </w:r>
            <w:r>
              <w:rPr>
                <w:rFonts w:hint="eastAsia" w:ascii="宋体" w:hAnsi="宋体" w:cs="宋体"/>
                <w:color w:val="auto"/>
                <w:spacing w:val="-6"/>
                <w:sz w:val="24"/>
              </w:rPr>
              <w:t>）</w:t>
            </w:r>
          </w:p>
        </w:tc>
        <w:tc>
          <w:tcPr>
            <w:tcW w:w="2639" w:type="dxa"/>
            <w:vAlign w:val="center"/>
          </w:tcPr>
          <w:p>
            <w:pPr>
              <w:adjustRightInd w:val="0"/>
              <w:snapToGrid w:val="0"/>
              <w:jc w:val="center"/>
              <w:rPr>
                <w:rFonts w:ascii="宋体" w:hAnsi="宋体" w:cs="宋体"/>
                <w:color w:val="auto"/>
                <w:sz w:val="24"/>
              </w:rPr>
            </w:pPr>
            <w:r>
              <w:rPr>
                <w:rFonts w:hint="eastAsia"/>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2" w:type="dxa"/>
            <w:vAlign w:val="center"/>
          </w:tcPr>
          <w:p>
            <w:pPr>
              <w:autoSpaceDE w:val="0"/>
              <w:autoSpaceDN w:val="0"/>
              <w:adjustRightInd w:val="0"/>
              <w:snapToGrid w:val="0"/>
              <w:jc w:val="center"/>
              <w:rPr>
                <w:rFonts w:ascii="宋体" w:hAnsi="宋体" w:cs="宋体"/>
                <w:color w:val="auto"/>
                <w:kern w:val="0"/>
                <w:sz w:val="24"/>
              </w:rPr>
            </w:pPr>
            <w:r>
              <w:rPr>
                <w:rFonts w:hint="eastAsia" w:ascii="宋体" w:hAnsi="宋体" w:cs="宋体"/>
                <w:color w:val="auto"/>
                <w:kern w:val="0"/>
                <w:sz w:val="24"/>
              </w:rPr>
              <w:t>专项评价设置情况</w:t>
            </w:r>
          </w:p>
        </w:tc>
        <w:tc>
          <w:tcPr>
            <w:tcW w:w="6488" w:type="dxa"/>
            <w:gridSpan w:val="3"/>
            <w:vAlign w:val="center"/>
          </w:tcPr>
          <w:p>
            <w:pPr>
              <w:autoSpaceDE w:val="0"/>
              <w:autoSpaceDN w:val="0"/>
              <w:adjustRightInd w:val="0"/>
              <w:snapToGrid w:val="0"/>
              <w:jc w:val="center"/>
              <w:rPr>
                <w:rFonts w:ascii="宋体" w:hAnsi="宋体" w:cs="宋体"/>
                <w:color w:val="auto"/>
                <w:kern w:val="0"/>
                <w:sz w:val="24"/>
              </w:rPr>
            </w:pPr>
            <w:r>
              <w:rPr>
                <w:rFonts w:hint="eastAsia" w:ascii="宋体" w:hAnsi="宋体" w:cs="宋体"/>
                <w:color w:val="auto"/>
                <w:kern w:val="0"/>
                <w:sz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rFonts w:ascii="宋体" w:hAnsi="宋体" w:cs="宋体"/>
                <w:color w:val="auto"/>
                <w:kern w:val="0"/>
                <w:sz w:val="24"/>
              </w:rPr>
            </w:pPr>
            <w:r>
              <w:rPr>
                <w:rFonts w:hint="eastAsia" w:ascii="宋体" w:hAnsi="宋体" w:cs="宋体"/>
                <w:color w:val="auto"/>
                <w:sz w:val="24"/>
              </w:rPr>
              <w:t>规划情况</w:t>
            </w:r>
          </w:p>
        </w:tc>
        <w:tc>
          <w:tcPr>
            <w:tcW w:w="6488" w:type="dxa"/>
            <w:gridSpan w:val="3"/>
            <w:vAlign w:val="center"/>
          </w:tcPr>
          <w:p>
            <w:pPr>
              <w:autoSpaceDE w:val="0"/>
              <w:autoSpaceDN w:val="0"/>
              <w:adjustRightInd w:val="0"/>
              <w:snapToGrid w:val="0"/>
              <w:jc w:val="center"/>
              <w:rPr>
                <w:rFonts w:eastAsiaTheme="minorEastAsia"/>
                <w:bCs/>
                <w:color w:val="auto"/>
                <w:sz w:val="24"/>
              </w:rPr>
            </w:pPr>
            <w:r>
              <w:rPr>
                <w:rFonts w:eastAsiaTheme="minorEastAsia"/>
                <w:bCs/>
                <w:color w:val="auto"/>
                <w:sz w:val="24"/>
              </w:rPr>
              <w:t>《重庆市铜梁工业园区全蒲片区控制性详细规划》</w:t>
            </w:r>
          </w:p>
          <w:p>
            <w:pPr>
              <w:autoSpaceDE w:val="0"/>
              <w:autoSpaceDN w:val="0"/>
              <w:adjustRightInd w:val="0"/>
              <w:snapToGrid w:val="0"/>
              <w:spacing w:line="360" w:lineRule="auto"/>
              <w:jc w:val="center"/>
              <w:rPr>
                <w:color w:val="auto"/>
              </w:rPr>
            </w:pPr>
            <w:r>
              <w:rPr>
                <w:rFonts w:eastAsiaTheme="minorEastAsia"/>
                <w:bCs/>
                <w:color w:val="auto"/>
                <w:sz w:val="24"/>
              </w:rPr>
              <w:t>审批机关：铜梁区人民政府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djustRightInd w:val="0"/>
              <w:snapToGrid w:val="0"/>
              <w:jc w:val="center"/>
              <w:rPr>
                <w:rFonts w:ascii="宋体" w:hAnsi="宋体" w:cs="宋体"/>
                <w:color w:val="auto"/>
                <w:sz w:val="24"/>
              </w:rPr>
            </w:pPr>
            <w:r>
              <w:rPr>
                <w:rFonts w:hint="eastAsia" w:ascii="宋体" w:hAnsi="宋体" w:cs="宋体"/>
                <w:color w:val="auto"/>
                <w:sz w:val="24"/>
              </w:rPr>
              <w:t>规划环境影响</w:t>
            </w:r>
          </w:p>
          <w:p>
            <w:pPr>
              <w:adjustRightInd w:val="0"/>
              <w:snapToGrid w:val="0"/>
              <w:jc w:val="center"/>
              <w:rPr>
                <w:rFonts w:ascii="宋体" w:hAnsi="宋体" w:cs="宋体"/>
                <w:color w:val="auto"/>
                <w:kern w:val="0"/>
                <w:sz w:val="24"/>
              </w:rPr>
            </w:pPr>
            <w:r>
              <w:rPr>
                <w:rFonts w:hint="eastAsia" w:ascii="宋体" w:hAnsi="宋体" w:cs="宋体"/>
                <w:color w:val="auto"/>
                <w:sz w:val="24"/>
              </w:rPr>
              <w:t>评价情况</w:t>
            </w:r>
          </w:p>
        </w:tc>
        <w:tc>
          <w:tcPr>
            <w:tcW w:w="6488" w:type="dxa"/>
            <w:gridSpan w:val="3"/>
            <w:vAlign w:val="center"/>
          </w:tcPr>
          <w:p>
            <w:pPr>
              <w:autoSpaceDE w:val="0"/>
              <w:autoSpaceDN w:val="0"/>
              <w:adjustRightInd w:val="0"/>
              <w:snapToGrid w:val="0"/>
              <w:spacing w:line="360" w:lineRule="auto"/>
              <w:jc w:val="center"/>
              <w:rPr>
                <w:color w:val="auto"/>
              </w:rPr>
            </w:pPr>
            <w:r>
              <w:rPr>
                <w:rFonts w:eastAsiaTheme="minorEastAsia"/>
                <w:bCs/>
                <w:color w:val="auto"/>
                <w:sz w:val="24"/>
              </w:rPr>
              <w:t>《重庆铜梁高新区铜梁片区及全蒲片区规划环境影响跟踪评价报告书审查意见函》（渝环函[2019]94号）</w:t>
            </w:r>
          </w:p>
        </w:tc>
      </w:tr>
    </w:tbl>
    <w:p>
      <w:pPr>
        <w:autoSpaceDE w:val="0"/>
        <w:autoSpaceDN w:val="0"/>
        <w:adjustRightInd w:val="0"/>
        <w:snapToGrid w:val="0"/>
        <w:jc w:val="center"/>
        <w:rPr>
          <w:rFonts w:ascii="宋体" w:hAnsi="宋体" w:cs="宋体"/>
          <w:color w:val="auto"/>
          <w:kern w:val="0"/>
          <w:sz w:val="24"/>
        </w:rPr>
      </w:pPr>
      <w:r>
        <w:rPr>
          <w:rFonts w:hint="eastAsia" w:ascii="宋体" w:hAnsi="宋体" w:cs="宋体"/>
          <w:color w:val="auto"/>
          <w:kern w:val="0"/>
          <w:sz w:val="24"/>
        </w:rPr>
        <w:br w:type="page"/>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80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864" w:type="dxa"/>
            <w:vAlign w:val="center"/>
          </w:tcPr>
          <w:p>
            <w:pPr>
              <w:autoSpaceDE w:val="0"/>
              <w:autoSpaceDN w:val="0"/>
              <w:adjustRightInd w:val="0"/>
              <w:snapToGrid w:val="0"/>
              <w:rPr>
                <w:rFonts w:ascii="宋体" w:hAnsi="宋体" w:cs="宋体"/>
                <w:color w:val="auto"/>
                <w:kern w:val="0"/>
                <w:sz w:val="24"/>
              </w:rPr>
            </w:pPr>
            <w:r>
              <w:rPr>
                <w:rFonts w:hint="eastAsia" w:ascii="宋体" w:hAnsi="宋体" w:cs="宋体"/>
                <w:color w:val="auto"/>
                <w:kern w:val="0"/>
                <w:sz w:val="24"/>
              </w:rPr>
              <w:t>规划及规划环境</w:t>
            </w:r>
          </w:p>
          <w:p>
            <w:pPr>
              <w:autoSpaceDE w:val="0"/>
              <w:autoSpaceDN w:val="0"/>
              <w:adjustRightInd w:val="0"/>
              <w:snapToGrid w:val="0"/>
              <w:rPr>
                <w:rFonts w:ascii="宋体" w:hAnsi="宋体" w:cs="宋体"/>
                <w:color w:val="auto"/>
                <w:kern w:val="0"/>
                <w:sz w:val="24"/>
              </w:rPr>
            </w:pPr>
            <w:r>
              <w:rPr>
                <w:rFonts w:hint="eastAsia" w:ascii="宋体" w:hAnsi="宋体" w:cs="宋体"/>
                <w:color w:val="auto"/>
                <w:kern w:val="0"/>
                <w:sz w:val="24"/>
              </w:rPr>
              <w:t>影响评价符合性分析</w:t>
            </w:r>
          </w:p>
        </w:tc>
        <w:tc>
          <w:tcPr>
            <w:tcW w:w="8006" w:type="dxa"/>
          </w:tcPr>
          <w:p>
            <w:pPr>
              <w:autoSpaceDE w:val="0"/>
              <w:autoSpaceDN w:val="0"/>
              <w:adjustRightInd w:val="0"/>
              <w:snapToGrid w:val="0"/>
              <w:spacing w:line="360" w:lineRule="auto"/>
              <w:jc w:val="left"/>
              <w:rPr>
                <w:rFonts w:eastAsiaTheme="minorEastAsia"/>
                <w:color w:val="auto"/>
                <w:kern w:val="0"/>
                <w:sz w:val="24"/>
              </w:rPr>
            </w:pPr>
            <w:r>
              <w:rPr>
                <w:rFonts w:hint="eastAsia" w:eastAsiaTheme="minorEastAsia"/>
                <w:b/>
                <w:bCs/>
                <w:color w:val="auto"/>
                <w:kern w:val="0"/>
                <w:sz w:val="24"/>
              </w:rPr>
              <w:t>1.</w:t>
            </w:r>
            <w:r>
              <w:rPr>
                <w:rFonts w:eastAsiaTheme="minorEastAsia"/>
                <w:b/>
                <w:bCs/>
                <w:color w:val="auto"/>
                <w:kern w:val="0"/>
                <w:sz w:val="24"/>
              </w:rPr>
              <w:t>与</w:t>
            </w:r>
            <w:r>
              <w:rPr>
                <w:rFonts w:eastAsiaTheme="minorEastAsia"/>
                <w:b/>
                <w:color w:val="auto"/>
                <w:sz w:val="24"/>
              </w:rPr>
              <w:t>重庆市铜梁工业园区全蒲片区控制性详细规划</w:t>
            </w:r>
            <w:r>
              <w:rPr>
                <w:rFonts w:eastAsiaTheme="minorEastAsia"/>
                <w:b/>
                <w:bCs/>
                <w:color w:val="auto"/>
                <w:kern w:val="0"/>
                <w:sz w:val="24"/>
              </w:rPr>
              <w:t>符合性分析</w:t>
            </w:r>
          </w:p>
          <w:p>
            <w:pPr>
              <w:pStyle w:val="60"/>
              <w:ind w:firstLine="480"/>
              <w:rPr>
                <w:rFonts w:eastAsia="宋体"/>
                <w:color w:val="auto"/>
              </w:rPr>
            </w:pPr>
            <w:r>
              <w:rPr>
                <w:rFonts w:eastAsia="宋体"/>
                <w:color w:val="auto"/>
              </w:rPr>
              <w:t>重庆铜梁工业园区于2002年成立，是重庆市人民政府《关于同意铜梁区等16个区县（市）设立特色工业园区的批复》（渝府[2002]210号）批准设立的首批市级特色工业园区。</w:t>
            </w:r>
          </w:p>
          <w:p>
            <w:pPr>
              <w:pStyle w:val="60"/>
              <w:ind w:firstLine="480"/>
              <w:rPr>
                <w:rFonts w:eastAsia="宋体"/>
                <w:color w:val="auto"/>
              </w:rPr>
            </w:pPr>
            <w:r>
              <w:rPr>
                <w:rFonts w:eastAsia="宋体"/>
                <w:color w:val="auto"/>
              </w:rPr>
              <w:t>根据《铜梁区工业发展规划》（2017-2025）及《重庆市铜梁区工业园区全蒲片区控规修改》（2017年修编）等各片区专项规划，铜梁工业园区最新规划概要如下：</w:t>
            </w:r>
          </w:p>
          <w:p>
            <w:pPr>
              <w:pStyle w:val="60"/>
              <w:ind w:firstLine="480"/>
              <w:rPr>
                <w:rFonts w:eastAsia="宋体"/>
                <w:bCs/>
                <w:color w:val="auto"/>
              </w:rPr>
            </w:pPr>
            <w:r>
              <w:rPr>
                <w:rFonts w:eastAsia="宋体"/>
                <w:bCs/>
                <w:color w:val="auto"/>
              </w:rPr>
              <w:t>（1）园区规划面积及四至范围</w:t>
            </w:r>
          </w:p>
          <w:p>
            <w:pPr>
              <w:pStyle w:val="60"/>
              <w:ind w:firstLine="480"/>
              <w:rPr>
                <w:rFonts w:eastAsia="宋体"/>
                <w:color w:val="auto"/>
              </w:rPr>
            </w:pPr>
            <w:r>
              <w:rPr>
                <w:rFonts w:eastAsia="宋体"/>
                <w:color w:val="auto"/>
              </w:rPr>
              <w:t>以白土坝片区、姜家岩片区、蒲吕片区为核心，白土坝片区、姜家岩片区、蒲吕片区规划面积2233.48ha，远景规划面积50km</w:t>
            </w:r>
            <w:r>
              <w:rPr>
                <w:rFonts w:eastAsia="宋体"/>
                <w:color w:val="auto"/>
                <w:vertAlign w:val="superscript"/>
              </w:rPr>
              <w:t>2</w:t>
            </w:r>
            <w:r>
              <w:rPr>
                <w:rFonts w:eastAsia="宋体"/>
                <w:color w:val="auto"/>
              </w:rPr>
              <w:t>。</w:t>
            </w:r>
          </w:p>
          <w:p>
            <w:pPr>
              <w:pStyle w:val="60"/>
              <w:ind w:firstLine="480"/>
              <w:rPr>
                <w:rFonts w:eastAsia="宋体"/>
                <w:color w:val="auto"/>
              </w:rPr>
            </w:pPr>
            <w:r>
              <w:rPr>
                <w:rFonts w:eastAsia="宋体"/>
                <w:color w:val="auto"/>
              </w:rPr>
              <w:t>白土坝区域四至范围为：东至岳阳路，南至龙腾大道，西至中南路，北至淮远河；姜家岩区域四至范围为：东至全兴社区，南至龙安路－龙腾大道，西至金川大道－金龙大道，北至铜梁北互通口；蒲吕区域四至范围：东至全蒲路，南至毓青山，西至渝遂高速，北至龙腾大道。</w:t>
            </w:r>
          </w:p>
          <w:p>
            <w:pPr>
              <w:pStyle w:val="60"/>
              <w:ind w:firstLine="480"/>
              <w:rPr>
                <w:rFonts w:eastAsia="宋体"/>
                <w:bCs/>
                <w:color w:val="auto"/>
              </w:rPr>
            </w:pPr>
            <w:r>
              <w:rPr>
                <w:rFonts w:eastAsia="宋体"/>
                <w:bCs/>
                <w:color w:val="auto"/>
              </w:rPr>
              <w:t>（2）功能定位和产业结构</w:t>
            </w:r>
          </w:p>
          <w:p>
            <w:pPr>
              <w:pStyle w:val="60"/>
              <w:ind w:firstLine="480"/>
              <w:rPr>
                <w:rFonts w:eastAsia="宋体"/>
                <w:color w:val="auto"/>
              </w:rPr>
            </w:pPr>
            <w:r>
              <w:rPr>
                <w:rFonts w:eastAsia="宋体"/>
                <w:color w:val="auto"/>
              </w:rPr>
              <w:t>重庆市重要的先进制造业基地，具有国内竞争力的高新技术开发区，成渝大健康产业集聚区。</w:t>
            </w:r>
          </w:p>
          <w:p>
            <w:pPr>
              <w:pStyle w:val="60"/>
              <w:ind w:firstLine="480"/>
              <w:rPr>
                <w:rFonts w:eastAsia="宋体"/>
                <w:color w:val="auto"/>
              </w:rPr>
            </w:pPr>
            <w:r>
              <w:rPr>
                <w:rFonts w:eastAsia="宋体"/>
                <w:color w:val="auto"/>
              </w:rPr>
              <w:t>主要定位为电子信息、装备制造、新材料、大健康等产业。</w:t>
            </w:r>
          </w:p>
          <w:p>
            <w:pPr>
              <w:pStyle w:val="60"/>
              <w:ind w:firstLine="480"/>
              <w:rPr>
                <w:rFonts w:eastAsia="宋体"/>
                <w:bCs/>
                <w:color w:val="auto"/>
              </w:rPr>
            </w:pPr>
            <w:r>
              <w:rPr>
                <w:rFonts w:eastAsia="宋体"/>
                <w:bCs/>
                <w:color w:val="auto"/>
              </w:rPr>
              <w:t>（3）规划布局</w:t>
            </w:r>
          </w:p>
          <w:p>
            <w:pPr>
              <w:pStyle w:val="60"/>
              <w:ind w:firstLine="480"/>
              <w:rPr>
                <w:rFonts w:eastAsia="宋体"/>
                <w:color w:val="auto"/>
              </w:rPr>
            </w:pPr>
            <w:r>
              <w:rPr>
                <w:rFonts w:eastAsia="宋体"/>
                <w:color w:val="auto"/>
              </w:rPr>
              <w:t>规划区布局为“一区四组团”为主、镇街特色工业为辅助的工业格局。</w:t>
            </w:r>
          </w:p>
          <w:p>
            <w:pPr>
              <w:pStyle w:val="60"/>
              <w:ind w:firstLine="480"/>
              <w:rPr>
                <w:rFonts w:eastAsia="宋体"/>
                <w:color w:val="auto"/>
              </w:rPr>
            </w:pPr>
            <w:r>
              <w:rPr>
                <w:rFonts w:eastAsia="宋体"/>
                <w:color w:val="auto"/>
              </w:rPr>
              <w:t>蒲吕片区：发展装备制造、电子信息、新材料、适当发展大健康产业，培育新型工业。电子信息主要依托蒲旧大道相对集中布局，约1700亩符合城市总规；装备制造主要沿渝遂高速、龙腾大道（东）延伸段进行连片布置，以形成相对连续的产业链，发挥集群效应，约2100亩符合城市总规，包含中车集团及拦河堰水库面积约600亩；新材料类企业用地主要规划于蒲旧大道与渝遂高速交汇处南侧及旧县场镇以西区域，约1700亩符合城市总规，剩余部分作为远景用地进行控制。</w:t>
            </w:r>
          </w:p>
          <w:p>
            <w:pPr>
              <w:pStyle w:val="60"/>
              <w:ind w:firstLine="480"/>
              <w:rPr>
                <w:rFonts w:eastAsia="宋体"/>
                <w:color w:val="auto"/>
              </w:rPr>
            </w:pPr>
            <w:r>
              <w:rPr>
                <w:rFonts w:eastAsia="宋体"/>
                <w:color w:val="auto"/>
              </w:rPr>
              <w:t>白土坝片区：基本建成，采取“腾笼换鸟”的方式，发展以物流、生产资料交易为主的生产性服务业，推动传统产业提档升级，打造2.5代产业园。</w:t>
            </w:r>
          </w:p>
          <w:p>
            <w:pPr>
              <w:pStyle w:val="60"/>
              <w:ind w:firstLine="480"/>
              <w:rPr>
                <w:rFonts w:eastAsia="宋体"/>
                <w:color w:val="auto"/>
              </w:rPr>
            </w:pPr>
            <w:r>
              <w:rPr>
                <w:rFonts w:eastAsia="宋体"/>
                <w:color w:val="auto"/>
              </w:rPr>
              <w:t>姜家岩片区：以改造提升现有产业为重点，对机械制造业、生物医药等企业进行改造升级，同时引进发展先进装备制造业，符合规划面积约0.8km</w:t>
            </w:r>
            <w:r>
              <w:rPr>
                <w:rFonts w:eastAsia="宋体"/>
                <w:color w:val="auto"/>
                <w:vertAlign w:val="superscript"/>
              </w:rPr>
              <w:t>2</w:t>
            </w:r>
            <w:r>
              <w:rPr>
                <w:rFonts w:eastAsia="宋体"/>
                <w:color w:val="auto"/>
              </w:rPr>
              <w:t>。其中大健康产业分两个区域分别规划布局于北环路周边及淮远河、小安溪交汇处。其中，依托腊梅园休闲农业及赛维药业等进行集中布局的北环路周边规划面积约1410亩，淮远河、小安溪交汇处区域规划面积约2060亩。其中约650亩符合城市总规，剩余部分作为远景用地进行控制。</w:t>
            </w:r>
          </w:p>
          <w:p>
            <w:pPr>
              <w:pStyle w:val="60"/>
              <w:ind w:firstLine="480"/>
              <w:rPr>
                <w:bCs/>
                <w:color w:val="auto"/>
              </w:rPr>
            </w:pPr>
            <w:r>
              <w:rPr>
                <w:rFonts w:hint="eastAsia" w:eastAsia="宋体"/>
                <w:color w:val="auto"/>
              </w:rPr>
              <w:t>本</w:t>
            </w:r>
            <w:r>
              <w:rPr>
                <w:rFonts w:eastAsia="宋体"/>
                <w:color w:val="auto"/>
              </w:rPr>
              <w:t>项目位于</w:t>
            </w:r>
            <w:r>
              <w:rPr>
                <w:rFonts w:hint="eastAsia"/>
                <w:color w:val="auto"/>
                <w:spacing w:val="8"/>
                <w:shd w:val="clear" w:color="auto" w:fill="FFFFFF"/>
              </w:rPr>
              <w:t>铜梁区东城街道祝英南路7号</w:t>
            </w:r>
            <w:r>
              <w:rPr>
                <w:rFonts w:eastAsia="宋体"/>
                <w:color w:val="auto"/>
              </w:rPr>
              <w:t>，属于铜梁高新区铜梁片区中蒲吕片区。</w:t>
            </w:r>
            <w:r>
              <w:rPr>
                <w:rFonts w:hint="eastAsia" w:eastAsia="宋体"/>
                <w:color w:val="auto"/>
              </w:rPr>
              <w:t>本项目主要从事汽车零部件，与</w:t>
            </w:r>
            <w:r>
              <w:rPr>
                <w:rFonts w:eastAsia="宋体"/>
                <w:color w:val="auto"/>
              </w:rPr>
              <w:t>蒲吕片区定向发展产业</w:t>
            </w:r>
            <w:r>
              <w:rPr>
                <w:rFonts w:hint="eastAsia" w:eastAsia="宋体"/>
                <w:color w:val="auto"/>
              </w:rPr>
              <w:t>不冲突，因此本项目符合</w:t>
            </w:r>
            <w:r>
              <w:rPr>
                <w:bCs/>
                <w:color w:val="auto"/>
              </w:rPr>
              <w:t>重庆市铜梁工业园区全蒲片区控制性详细规划</w:t>
            </w:r>
            <w:r>
              <w:rPr>
                <w:rFonts w:hint="eastAsia"/>
                <w:bCs/>
                <w:color w:val="auto"/>
              </w:rPr>
              <w:t>的产业定位要求。</w:t>
            </w:r>
          </w:p>
          <w:p>
            <w:pPr>
              <w:autoSpaceDE w:val="0"/>
              <w:autoSpaceDN w:val="0"/>
              <w:adjustRightInd w:val="0"/>
              <w:snapToGrid w:val="0"/>
              <w:spacing w:line="360" w:lineRule="auto"/>
              <w:jc w:val="left"/>
              <w:rPr>
                <w:rFonts w:eastAsiaTheme="minorEastAsia"/>
                <w:color w:val="auto"/>
                <w:kern w:val="0"/>
                <w:sz w:val="24"/>
              </w:rPr>
            </w:pPr>
            <w:r>
              <w:rPr>
                <w:rFonts w:hint="eastAsia"/>
                <w:b/>
                <w:bCs/>
                <w:color w:val="auto"/>
              </w:rPr>
              <w:t>2.</w:t>
            </w:r>
            <w:r>
              <w:rPr>
                <w:rFonts w:eastAsiaTheme="minorEastAsia"/>
                <w:b/>
                <w:bCs/>
                <w:color w:val="auto"/>
                <w:kern w:val="0"/>
                <w:sz w:val="24"/>
              </w:rPr>
              <w:t>与《重庆铜梁高新区铜梁片区及全蒲片区规划环境影响跟踪评价报告书》的符合性分析</w:t>
            </w:r>
          </w:p>
          <w:p>
            <w:pPr>
              <w:autoSpaceDE w:val="0"/>
              <w:autoSpaceDN w:val="0"/>
              <w:adjustRightInd w:val="0"/>
              <w:snapToGrid w:val="0"/>
              <w:spacing w:line="360" w:lineRule="auto"/>
              <w:jc w:val="center"/>
              <w:rPr>
                <w:b/>
                <w:bCs/>
                <w:color w:val="auto"/>
                <w:kern w:val="0"/>
                <w:sz w:val="21"/>
                <w:szCs w:val="21"/>
              </w:rPr>
            </w:pPr>
            <w:r>
              <w:rPr>
                <w:color w:val="auto"/>
                <w:kern w:val="0"/>
                <w:sz w:val="21"/>
                <w:szCs w:val="21"/>
              </w:rPr>
              <w:t>表1.1 本项目与园区规划环评符合性分析一览表</w:t>
            </w:r>
          </w:p>
          <w:tbl>
            <w:tblPr>
              <w:tblStyle w:val="22"/>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614"/>
              <w:gridCol w:w="871"/>
              <w:gridCol w:w="949"/>
              <w:gridCol w:w="2034"/>
              <w:gridCol w:w="2762"/>
              <w:gridCol w:w="5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94"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分项</w:t>
                  </w:r>
                </w:p>
              </w:tc>
              <w:tc>
                <w:tcPr>
                  <w:tcW w:w="2473" w:type="pct"/>
                  <w:gridSpan w:val="3"/>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规划环评相关内容</w:t>
                  </w:r>
                </w:p>
              </w:tc>
              <w:tc>
                <w:tcPr>
                  <w:tcW w:w="1772"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项目情况</w:t>
                  </w:r>
                </w:p>
              </w:tc>
              <w:tc>
                <w:tcPr>
                  <w:tcW w:w="359"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符合性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94"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生态保护红线</w:t>
                  </w:r>
                </w:p>
              </w:tc>
              <w:tc>
                <w:tcPr>
                  <w:tcW w:w="2473" w:type="pct"/>
                  <w:gridSpan w:val="3"/>
                  <w:tcBorders>
                    <w:tl2br w:val="nil"/>
                    <w:tr2bl w:val="nil"/>
                  </w:tcBorders>
                  <w:vAlign w:val="center"/>
                </w:tcPr>
                <w:p>
                  <w:pPr>
                    <w:pStyle w:val="61"/>
                    <w:adjustRightInd w:val="0"/>
                    <w:snapToGrid w:val="0"/>
                    <w:spacing w:line="240" w:lineRule="auto"/>
                    <w:ind w:firstLine="420" w:firstLineChars="200"/>
                    <w:jc w:val="left"/>
                    <w:rPr>
                      <w:rFonts w:cs="Times New Roman"/>
                      <w:color w:val="auto"/>
                    </w:rPr>
                  </w:pPr>
                  <w:r>
                    <w:rPr>
                      <w:rFonts w:cs="Times New Roman"/>
                      <w:color w:val="auto"/>
                    </w:rPr>
                    <w:t>禁止开发区：包括饮用水水源保护区、自然保护区、自然文化遗产地、湿地公园、森林公园、风景名胜区、地质公园。其中，饮用水水源保护区包括一级保护区和二级保护区；自然保护区包括县级及以上自然保护区的核心区、缓冲区、实验区；自然文化遗产地、湿地公园、森林公园、风景名胜区、地质公园包括规划范围以内全部区域。本次规划区域内不涉及生态保护红线划定范围。在园区开发建设过程中应加强生态保护，不得随意改变规划绿地用途</w:t>
                  </w:r>
                </w:p>
              </w:tc>
              <w:tc>
                <w:tcPr>
                  <w:tcW w:w="1772" w:type="pct"/>
                  <w:tcBorders>
                    <w:tl2br w:val="nil"/>
                    <w:tr2bl w:val="nil"/>
                  </w:tcBorders>
                  <w:vAlign w:val="center"/>
                </w:tcPr>
                <w:p>
                  <w:pPr>
                    <w:pStyle w:val="61"/>
                    <w:adjustRightInd w:val="0"/>
                    <w:snapToGrid w:val="0"/>
                    <w:spacing w:line="240" w:lineRule="auto"/>
                    <w:ind w:firstLine="420" w:firstLineChars="200"/>
                    <w:jc w:val="left"/>
                    <w:rPr>
                      <w:rFonts w:cs="Times New Roman"/>
                      <w:color w:val="auto"/>
                    </w:rPr>
                  </w:pPr>
                  <w:r>
                    <w:rPr>
                      <w:rFonts w:cs="Times New Roman"/>
                      <w:color w:val="auto"/>
                    </w:rPr>
                    <w:t>项目位于重庆铜梁高新区蒲吕片区，不涉及生态保护红线。</w:t>
                  </w:r>
                </w:p>
              </w:tc>
              <w:tc>
                <w:tcPr>
                  <w:tcW w:w="359"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94"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资源利用上线</w:t>
                  </w:r>
                </w:p>
              </w:tc>
              <w:tc>
                <w:tcPr>
                  <w:tcW w:w="2473" w:type="pct"/>
                  <w:gridSpan w:val="3"/>
                  <w:tcBorders>
                    <w:tl2br w:val="nil"/>
                    <w:tr2bl w:val="nil"/>
                  </w:tcBorders>
                  <w:vAlign w:val="center"/>
                </w:tcPr>
                <w:p>
                  <w:pPr>
                    <w:pStyle w:val="61"/>
                    <w:adjustRightInd w:val="0"/>
                    <w:snapToGrid w:val="0"/>
                    <w:spacing w:line="240" w:lineRule="auto"/>
                    <w:jc w:val="left"/>
                    <w:rPr>
                      <w:rFonts w:cs="Times New Roman"/>
                      <w:color w:val="auto"/>
                    </w:rPr>
                  </w:pPr>
                  <w:r>
                    <w:rPr>
                      <w:rFonts w:cs="Times New Roman"/>
                      <w:color w:val="auto"/>
                    </w:rPr>
                    <w:t>（1）水资源利用上限：</w:t>
                  </w:r>
                </w:p>
                <w:p>
                  <w:pPr>
                    <w:pStyle w:val="61"/>
                    <w:adjustRightInd w:val="0"/>
                    <w:snapToGrid w:val="0"/>
                    <w:spacing w:line="240" w:lineRule="auto"/>
                    <w:ind w:firstLine="420" w:firstLineChars="200"/>
                    <w:jc w:val="left"/>
                    <w:rPr>
                      <w:rFonts w:cs="Times New Roman"/>
                      <w:color w:val="auto"/>
                    </w:rPr>
                  </w:pPr>
                  <w:r>
                    <w:rPr>
                      <w:rFonts w:cs="Times New Roman"/>
                      <w:color w:val="auto"/>
                    </w:rPr>
                    <w:t>园区水资源利用上限：用水总量上限973万m</w:t>
                  </w:r>
                  <w:r>
                    <w:rPr>
                      <w:rFonts w:cs="Times New Roman"/>
                      <w:color w:val="auto"/>
                      <w:vertAlign w:val="superscript"/>
                    </w:rPr>
                    <w:t>3</w:t>
                  </w:r>
                  <w:r>
                    <w:rPr>
                      <w:rFonts w:cs="Times New Roman"/>
                      <w:color w:val="auto"/>
                    </w:rPr>
                    <w:t>/a；工业用水量上限360万m</w:t>
                  </w:r>
                  <w:r>
                    <w:rPr>
                      <w:rFonts w:cs="Times New Roman"/>
                      <w:color w:val="auto"/>
                      <w:vertAlign w:val="superscript"/>
                    </w:rPr>
                    <w:t>3</w:t>
                  </w:r>
                  <w:r>
                    <w:rPr>
                      <w:rFonts w:cs="Times New Roman"/>
                      <w:color w:val="auto"/>
                    </w:rPr>
                    <w:t>/a。</w:t>
                  </w:r>
                </w:p>
                <w:p>
                  <w:pPr>
                    <w:pStyle w:val="61"/>
                    <w:adjustRightInd w:val="0"/>
                    <w:snapToGrid w:val="0"/>
                    <w:spacing w:line="240" w:lineRule="auto"/>
                    <w:jc w:val="left"/>
                    <w:rPr>
                      <w:rFonts w:cs="Times New Roman"/>
                      <w:color w:val="auto"/>
                    </w:rPr>
                  </w:pPr>
                  <w:r>
                    <w:rPr>
                      <w:rFonts w:cs="Times New Roman"/>
                      <w:color w:val="auto"/>
                    </w:rPr>
                    <w:t>（2）园区土地资源利用上限：</w:t>
                  </w:r>
                </w:p>
                <w:p>
                  <w:pPr>
                    <w:pStyle w:val="61"/>
                    <w:adjustRightInd w:val="0"/>
                    <w:snapToGrid w:val="0"/>
                    <w:spacing w:line="240" w:lineRule="auto"/>
                    <w:ind w:firstLine="420" w:firstLineChars="200"/>
                    <w:jc w:val="left"/>
                    <w:rPr>
                      <w:rFonts w:cs="Times New Roman"/>
                      <w:color w:val="auto"/>
                    </w:rPr>
                  </w:pPr>
                  <w:r>
                    <w:rPr>
                      <w:rFonts w:cs="Times New Roman"/>
                      <w:color w:val="auto"/>
                    </w:rPr>
                    <w:t>土地资源总上限223348km</w:t>
                  </w:r>
                  <w:r>
                    <w:rPr>
                      <w:rFonts w:cs="Times New Roman"/>
                      <w:color w:val="auto"/>
                      <w:vertAlign w:val="superscript"/>
                    </w:rPr>
                    <w:t>2</w:t>
                  </w:r>
                  <w:r>
                    <w:rPr>
                      <w:rFonts w:cs="Times New Roman"/>
                      <w:color w:val="auto"/>
                    </w:rPr>
                    <w:t>；建设用地总量上限21.3651km</w:t>
                  </w:r>
                  <w:r>
                    <w:rPr>
                      <w:rFonts w:cs="Times New Roman"/>
                      <w:color w:val="auto"/>
                      <w:vertAlign w:val="superscript"/>
                    </w:rPr>
                    <w:t>2</w:t>
                  </w:r>
                  <w:r>
                    <w:rPr>
                      <w:rFonts w:cs="Times New Roman"/>
                      <w:color w:val="auto"/>
                    </w:rPr>
                    <w:t>；工业用地总量上限12.95546km</w:t>
                  </w:r>
                  <w:r>
                    <w:rPr>
                      <w:rFonts w:cs="Times New Roman"/>
                      <w:color w:val="auto"/>
                      <w:vertAlign w:val="superscript"/>
                    </w:rPr>
                    <w:t>2</w:t>
                  </w:r>
                  <w:r>
                    <w:rPr>
                      <w:rFonts w:cs="Times New Roman"/>
                      <w:color w:val="auto"/>
                    </w:rPr>
                    <w:t>。</w:t>
                  </w:r>
                </w:p>
              </w:tc>
              <w:tc>
                <w:tcPr>
                  <w:tcW w:w="1772" w:type="pct"/>
                  <w:tcBorders>
                    <w:tl2br w:val="nil"/>
                    <w:tr2bl w:val="nil"/>
                  </w:tcBorders>
                  <w:vAlign w:val="center"/>
                </w:tcPr>
                <w:p>
                  <w:pPr>
                    <w:pStyle w:val="61"/>
                    <w:adjustRightInd w:val="0"/>
                    <w:snapToGrid w:val="0"/>
                    <w:spacing w:line="240" w:lineRule="auto"/>
                    <w:ind w:firstLine="420" w:firstLineChars="200"/>
                    <w:jc w:val="left"/>
                    <w:rPr>
                      <w:rFonts w:cs="Times New Roman"/>
                      <w:color w:val="auto"/>
                    </w:rPr>
                  </w:pPr>
                  <w:r>
                    <w:rPr>
                      <w:rFonts w:cs="Times New Roman"/>
                      <w:color w:val="auto"/>
                    </w:rPr>
                    <w:t>项目运营期用水量较少，</w:t>
                  </w:r>
                  <w:r>
                    <w:rPr>
                      <w:rFonts w:hint="eastAsia" w:cs="Times New Roman"/>
                      <w:color w:val="auto"/>
                    </w:rPr>
                    <w:t>本项目利用现有生产厂房</w:t>
                  </w:r>
                  <w:r>
                    <w:rPr>
                      <w:rFonts w:cs="Times New Roman"/>
                      <w:color w:val="auto"/>
                    </w:rPr>
                    <w:t>，不新增用地，受园区水资源、土地资源利用上限的影响不大。</w:t>
                  </w:r>
                </w:p>
              </w:tc>
              <w:tc>
                <w:tcPr>
                  <w:tcW w:w="359"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94"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环境质量底线</w:t>
                  </w:r>
                </w:p>
              </w:tc>
              <w:tc>
                <w:tcPr>
                  <w:tcW w:w="2473" w:type="pct"/>
                  <w:gridSpan w:val="3"/>
                  <w:tcBorders>
                    <w:tl2br w:val="nil"/>
                    <w:tr2bl w:val="nil"/>
                  </w:tcBorders>
                  <w:vAlign w:val="center"/>
                </w:tcPr>
                <w:p>
                  <w:pPr>
                    <w:pStyle w:val="61"/>
                    <w:adjustRightInd w:val="0"/>
                    <w:snapToGrid w:val="0"/>
                    <w:spacing w:line="240" w:lineRule="auto"/>
                    <w:jc w:val="both"/>
                    <w:rPr>
                      <w:rFonts w:cs="Times New Roman"/>
                      <w:color w:val="auto"/>
                    </w:rPr>
                  </w:pPr>
                  <w:r>
                    <w:rPr>
                      <w:rFonts w:cs="Times New Roman"/>
                      <w:color w:val="auto"/>
                    </w:rPr>
                    <w:t>（1）地表水</w:t>
                  </w:r>
                </w:p>
                <w:p>
                  <w:pPr>
                    <w:pStyle w:val="61"/>
                    <w:adjustRightInd w:val="0"/>
                    <w:snapToGrid w:val="0"/>
                    <w:spacing w:line="240" w:lineRule="auto"/>
                    <w:jc w:val="both"/>
                    <w:rPr>
                      <w:rFonts w:cs="Times New Roman"/>
                      <w:color w:val="auto"/>
                    </w:rPr>
                  </w:pPr>
                  <w:r>
                    <w:rPr>
                      <w:rFonts w:cs="Times New Roman"/>
                      <w:color w:val="auto"/>
                    </w:rPr>
                    <w:t>环境质量底线规划区淮远河、小安溪河断面水环境质量不恶化，并持续改善。完成整治后，淮远河满足《地表水环境质量标准》（GB3838-2002）IV类水质标准，小安溪河水质满足III类水质标准。</w:t>
                  </w:r>
                </w:p>
                <w:p>
                  <w:pPr>
                    <w:pStyle w:val="61"/>
                    <w:adjustRightInd w:val="0"/>
                    <w:snapToGrid w:val="0"/>
                    <w:spacing w:line="240" w:lineRule="auto"/>
                    <w:jc w:val="both"/>
                    <w:rPr>
                      <w:rFonts w:cs="Times New Roman"/>
                      <w:color w:val="auto"/>
                    </w:rPr>
                  </w:pPr>
                  <w:r>
                    <w:rPr>
                      <w:rFonts w:cs="Times New Roman"/>
                      <w:color w:val="auto"/>
                    </w:rPr>
                    <w:t>（2）大气</w:t>
                  </w:r>
                </w:p>
                <w:p>
                  <w:pPr>
                    <w:pStyle w:val="61"/>
                    <w:adjustRightInd w:val="0"/>
                    <w:snapToGrid w:val="0"/>
                    <w:spacing w:line="240" w:lineRule="auto"/>
                    <w:jc w:val="both"/>
                    <w:rPr>
                      <w:rFonts w:cs="Times New Roman"/>
                      <w:color w:val="auto"/>
                    </w:rPr>
                  </w:pPr>
                  <w:r>
                    <w:rPr>
                      <w:rFonts w:cs="Times New Roman"/>
                      <w:color w:val="auto"/>
                    </w:rPr>
                    <w:t>环境质量底线区域大气环境质量满足《环境空气质量标准》（GB3095-2012）二级标准。HC1、硫酸雾、铬酸雾、苯、二甲苯限值均满足原《工业企业设计卫生标准》（TJ36-79）中居住区大气有害物质最高容许浓度；甲苯参照执行前苏联质量标准；非甲烷总烃参照执行河北省地方标准《环境空气质量非甲烷总烃限值》（DB13/1577-2012）中二级标准限值。</w:t>
                  </w:r>
                </w:p>
                <w:p>
                  <w:pPr>
                    <w:pStyle w:val="61"/>
                    <w:adjustRightInd w:val="0"/>
                    <w:snapToGrid w:val="0"/>
                    <w:spacing w:line="240" w:lineRule="auto"/>
                    <w:jc w:val="both"/>
                    <w:rPr>
                      <w:rFonts w:cs="Times New Roman"/>
                      <w:color w:val="auto"/>
                    </w:rPr>
                  </w:pPr>
                  <w:r>
                    <w:rPr>
                      <w:rFonts w:cs="Times New Roman"/>
                      <w:color w:val="auto"/>
                    </w:rPr>
                    <w:t>（3）土壤</w:t>
                  </w:r>
                </w:p>
                <w:p>
                  <w:pPr>
                    <w:pStyle w:val="61"/>
                    <w:adjustRightInd w:val="0"/>
                    <w:snapToGrid w:val="0"/>
                    <w:spacing w:line="240" w:lineRule="auto"/>
                    <w:jc w:val="both"/>
                    <w:rPr>
                      <w:rFonts w:cs="Times New Roman"/>
                      <w:color w:val="auto"/>
                    </w:rPr>
                  </w:pPr>
                  <w:r>
                    <w:rPr>
                      <w:rFonts w:cs="Times New Roman"/>
                      <w:color w:val="auto"/>
                    </w:rPr>
                    <w:t>规划区土壤满足《土壤环境质量建设用地土壤污染风险管控标准(试行)》（GB36600-2018）、《土壤环境质量农用地土地污染风险管控标准(试行)》（GB15618-2018）标准，底泥满足《农用污泥中污染物控制标准》（GB4284-84）标准。</w:t>
                  </w:r>
                </w:p>
                <w:p>
                  <w:pPr>
                    <w:pStyle w:val="61"/>
                    <w:adjustRightInd w:val="0"/>
                    <w:snapToGrid w:val="0"/>
                    <w:spacing w:line="240" w:lineRule="auto"/>
                    <w:jc w:val="both"/>
                    <w:rPr>
                      <w:rFonts w:cs="Times New Roman"/>
                      <w:color w:val="auto"/>
                    </w:rPr>
                  </w:pPr>
                  <w:r>
                    <w:rPr>
                      <w:rFonts w:cs="Times New Roman"/>
                      <w:color w:val="auto"/>
                    </w:rPr>
                    <w:t>（4）地下水</w:t>
                  </w:r>
                </w:p>
                <w:p>
                  <w:pPr>
                    <w:pStyle w:val="61"/>
                    <w:adjustRightInd w:val="0"/>
                    <w:snapToGrid w:val="0"/>
                    <w:spacing w:line="240" w:lineRule="auto"/>
                    <w:ind w:firstLine="210" w:firstLineChars="100"/>
                    <w:jc w:val="both"/>
                    <w:rPr>
                      <w:rFonts w:cs="Times New Roman"/>
                      <w:color w:val="auto"/>
                    </w:rPr>
                  </w:pPr>
                  <w:r>
                    <w:rPr>
                      <w:rFonts w:cs="Times New Roman"/>
                      <w:color w:val="auto"/>
                    </w:rPr>
                    <w:t>区域地下水质量满足《地下水质量标准》（GB/T14848-2017）中Ⅲ类标准。</w:t>
                  </w:r>
                </w:p>
                <w:p>
                  <w:pPr>
                    <w:pStyle w:val="61"/>
                    <w:adjustRightInd w:val="0"/>
                    <w:snapToGrid w:val="0"/>
                    <w:spacing w:line="240" w:lineRule="auto"/>
                    <w:jc w:val="both"/>
                    <w:rPr>
                      <w:rFonts w:cs="Times New Roman"/>
                      <w:color w:val="auto"/>
                    </w:rPr>
                  </w:pPr>
                  <w:r>
                    <w:rPr>
                      <w:rFonts w:cs="Times New Roman"/>
                      <w:color w:val="auto"/>
                    </w:rPr>
                    <w:t>（5）规划区内交通干线两侧满足《声环境质量标准》（GB3096-2008）4a类标准，工业区3类标准，居民区及居住、商业、工业混杂区2类标准。</w:t>
                  </w:r>
                </w:p>
              </w:tc>
              <w:tc>
                <w:tcPr>
                  <w:tcW w:w="1772" w:type="pct"/>
                  <w:tcBorders>
                    <w:tl2br w:val="nil"/>
                    <w:tr2bl w:val="nil"/>
                  </w:tcBorders>
                  <w:vAlign w:val="center"/>
                </w:tcPr>
                <w:p>
                  <w:pPr>
                    <w:pStyle w:val="61"/>
                    <w:adjustRightInd w:val="0"/>
                    <w:snapToGrid w:val="0"/>
                    <w:spacing w:line="240" w:lineRule="auto"/>
                    <w:jc w:val="both"/>
                    <w:rPr>
                      <w:rFonts w:cs="Times New Roman"/>
                      <w:color w:val="auto"/>
                    </w:rPr>
                  </w:pPr>
                  <w:r>
                    <w:rPr>
                      <w:rFonts w:cs="Times New Roman"/>
                      <w:color w:val="auto"/>
                    </w:rPr>
                    <w:t>（1）根据重庆市铜梁区人民政府网公示的“重庆市铜梁区地表水水质状况（2022年</w:t>
                  </w:r>
                  <w:r>
                    <w:rPr>
                      <w:rFonts w:hint="eastAsia" w:cs="Times New Roman"/>
                      <w:color w:val="auto"/>
                    </w:rPr>
                    <w:t>1</w:t>
                  </w:r>
                  <w:r>
                    <w:rPr>
                      <w:rFonts w:cs="Times New Roman"/>
                      <w:color w:val="auto"/>
                    </w:rPr>
                    <w:t>月）”，</w:t>
                  </w:r>
                  <w:r>
                    <w:rPr>
                      <w:rFonts w:hint="eastAsia" w:cs="Times New Roman"/>
                      <w:color w:val="auto"/>
                    </w:rPr>
                    <w:t>淮远河众志桥</w:t>
                  </w:r>
                  <w:r>
                    <w:rPr>
                      <w:rFonts w:cs="Times New Roman"/>
                      <w:color w:val="auto"/>
                    </w:rPr>
                    <w:t>监测断面满足《地表水环境质量标准》（GB3838-2002）Ⅲ类水域标准要求，为水环境功能达标区。</w:t>
                  </w:r>
                </w:p>
                <w:p>
                  <w:pPr>
                    <w:pStyle w:val="61"/>
                    <w:adjustRightInd w:val="0"/>
                    <w:snapToGrid w:val="0"/>
                    <w:spacing w:line="240" w:lineRule="auto"/>
                    <w:jc w:val="both"/>
                    <w:rPr>
                      <w:rFonts w:cs="Times New Roman"/>
                      <w:color w:val="auto"/>
                    </w:rPr>
                  </w:pPr>
                  <w:r>
                    <w:rPr>
                      <w:rFonts w:cs="Times New Roman"/>
                      <w:color w:val="auto"/>
                    </w:rPr>
                    <w:t>（2）根据《202</w:t>
                  </w:r>
                  <w:r>
                    <w:rPr>
                      <w:rFonts w:hint="eastAsia" w:cs="Times New Roman"/>
                      <w:color w:val="auto"/>
                      <w:lang w:val="en-US" w:eastAsia="zh-CN"/>
                    </w:rPr>
                    <w:t>2</w:t>
                  </w:r>
                  <w:r>
                    <w:rPr>
                      <w:rFonts w:cs="Times New Roman"/>
                      <w:color w:val="auto"/>
                    </w:rPr>
                    <w:t>年重庆市生态环境状况公报》</w:t>
                  </w:r>
                  <w:r>
                    <w:rPr>
                      <w:rFonts w:hint="eastAsia" w:cs="Times New Roman"/>
                      <w:color w:val="auto"/>
                      <w:lang w:val="en-US" w:eastAsia="zh-CN"/>
                    </w:rPr>
                    <w:t>,2022年铜梁区属于环境空气质量达标区</w:t>
                  </w:r>
                  <w:r>
                    <w:rPr>
                      <w:rFonts w:cs="Times New Roman"/>
                      <w:color w:val="auto"/>
                    </w:rPr>
                    <w:t>，</w:t>
                  </w:r>
                  <w:r>
                    <w:rPr>
                      <w:rFonts w:hint="eastAsia" w:cs="Times New Roman"/>
                      <w:color w:val="auto"/>
                      <w:lang w:eastAsia="zh-CN"/>
                    </w:rPr>
                    <w:t>环境空气质量满足环境质量标准要求</w:t>
                  </w:r>
                  <w:r>
                    <w:rPr>
                      <w:rFonts w:cs="Times New Roman"/>
                      <w:color w:val="auto"/>
                    </w:rPr>
                    <w:t>。根据引用的大气监测报告，项目所在地环境空气非甲烷总烃满足对应标准限值。</w:t>
                  </w:r>
                </w:p>
                <w:p>
                  <w:pPr>
                    <w:pStyle w:val="61"/>
                    <w:adjustRightInd w:val="0"/>
                    <w:snapToGrid w:val="0"/>
                    <w:spacing w:line="240" w:lineRule="auto"/>
                    <w:jc w:val="both"/>
                    <w:rPr>
                      <w:rFonts w:cs="Times New Roman"/>
                      <w:color w:val="auto"/>
                    </w:rPr>
                  </w:pPr>
                  <w:r>
                    <w:rPr>
                      <w:rFonts w:cs="Times New Roman"/>
                      <w:color w:val="auto"/>
                    </w:rPr>
                    <w:t>（3）</w:t>
                  </w:r>
                  <w:r>
                    <w:rPr>
                      <w:rFonts w:hint="eastAsia" w:cs="Times New Roman"/>
                      <w:color w:val="auto"/>
                    </w:rPr>
                    <w:t>本</w:t>
                  </w:r>
                  <w:r>
                    <w:rPr>
                      <w:rFonts w:cs="Times New Roman"/>
                      <w:color w:val="auto"/>
                    </w:rPr>
                    <w:t>项目不涉及重金属污染物排放。拟建项目在严格落实分区防渗要求条件下，项目不会对土壤和地下水造成污染。</w:t>
                  </w:r>
                </w:p>
                <w:p>
                  <w:pPr>
                    <w:pStyle w:val="61"/>
                    <w:adjustRightInd w:val="0"/>
                    <w:snapToGrid w:val="0"/>
                    <w:spacing w:line="240" w:lineRule="auto"/>
                    <w:jc w:val="both"/>
                    <w:rPr>
                      <w:rFonts w:cs="Times New Roman"/>
                      <w:color w:val="auto"/>
                    </w:rPr>
                  </w:pPr>
                  <w:r>
                    <w:rPr>
                      <w:rFonts w:cs="Times New Roman"/>
                      <w:color w:val="auto"/>
                    </w:rPr>
                    <w:t>（4）</w:t>
                  </w:r>
                  <w:r>
                    <w:rPr>
                      <w:rFonts w:hint="eastAsia" w:cs="Times New Roman"/>
                      <w:color w:val="auto"/>
                    </w:rPr>
                    <w:t>本</w:t>
                  </w:r>
                  <w:r>
                    <w:rPr>
                      <w:rFonts w:cs="Times New Roman"/>
                      <w:color w:val="auto"/>
                    </w:rPr>
                    <w:t>项目位于工业园区，为声环境3类功能区，执行《声环境质量标准》（GB3096-2008）3类标准，项目周边50m范围内无声环境保护目标。</w:t>
                  </w:r>
                </w:p>
              </w:tc>
              <w:tc>
                <w:tcPr>
                  <w:tcW w:w="359"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94" w:type="pct"/>
                  <w:vMerge w:val="restar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生态</w:t>
                  </w:r>
                </w:p>
                <w:p>
                  <w:pPr>
                    <w:pStyle w:val="61"/>
                    <w:adjustRightInd w:val="0"/>
                    <w:snapToGrid w:val="0"/>
                    <w:spacing w:line="240" w:lineRule="auto"/>
                    <w:rPr>
                      <w:rFonts w:cs="Times New Roman"/>
                      <w:color w:val="auto"/>
                    </w:rPr>
                  </w:pPr>
                  <w:r>
                    <w:rPr>
                      <w:rFonts w:cs="Times New Roman"/>
                      <w:color w:val="auto"/>
                    </w:rPr>
                    <w:t>环境</w:t>
                  </w:r>
                </w:p>
                <w:p>
                  <w:pPr>
                    <w:pStyle w:val="61"/>
                    <w:adjustRightInd w:val="0"/>
                    <w:snapToGrid w:val="0"/>
                    <w:spacing w:line="240" w:lineRule="auto"/>
                    <w:rPr>
                      <w:rFonts w:cs="Times New Roman"/>
                      <w:color w:val="auto"/>
                    </w:rPr>
                  </w:pPr>
                  <w:r>
                    <w:rPr>
                      <w:rFonts w:cs="Times New Roman"/>
                      <w:color w:val="auto"/>
                    </w:rPr>
                    <w:t>准入</w:t>
                  </w:r>
                </w:p>
                <w:p>
                  <w:pPr>
                    <w:pStyle w:val="61"/>
                    <w:adjustRightInd w:val="0"/>
                    <w:snapToGrid w:val="0"/>
                    <w:spacing w:line="240" w:lineRule="auto"/>
                    <w:rPr>
                      <w:rFonts w:cs="Times New Roman"/>
                      <w:color w:val="auto"/>
                    </w:rPr>
                  </w:pPr>
                  <w:r>
                    <w:rPr>
                      <w:rFonts w:cs="Times New Roman"/>
                      <w:color w:val="auto"/>
                    </w:rPr>
                    <w:t>清单</w:t>
                  </w:r>
                </w:p>
              </w:tc>
              <w:tc>
                <w:tcPr>
                  <w:tcW w:w="2473" w:type="pct"/>
                  <w:gridSpan w:val="3"/>
                  <w:tcBorders>
                    <w:tl2br w:val="nil"/>
                    <w:tr2bl w:val="nil"/>
                  </w:tcBorders>
                  <w:vAlign w:val="center"/>
                </w:tcPr>
                <w:p>
                  <w:pPr>
                    <w:pStyle w:val="61"/>
                    <w:adjustRightInd w:val="0"/>
                    <w:snapToGrid w:val="0"/>
                    <w:spacing w:line="240" w:lineRule="auto"/>
                    <w:jc w:val="left"/>
                    <w:rPr>
                      <w:rFonts w:cs="Times New Roman"/>
                      <w:color w:val="auto"/>
                    </w:rPr>
                  </w:pPr>
                  <w:r>
                    <w:rPr>
                      <w:rFonts w:cs="Times New Roman"/>
                      <w:color w:val="auto"/>
                    </w:rPr>
                    <w:t>环境准入原则和条件：</w:t>
                  </w:r>
                </w:p>
                <w:p>
                  <w:pPr>
                    <w:pStyle w:val="61"/>
                    <w:adjustRightInd w:val="0"/>
                    <w:snapToGrid w:val="0"/>
                    <w:spacing w:line="240" w:lineRule="auto"/>
                    <w:jc w:val="left"/>
                    <w:rPr>
                      <w:rFonts w:cs="Times New Roman"/>
                      <w:color w:val="auto"/>
                    </w:rPr>
                  </w:pPr>
                  <w:r>
                    <w:rPr>
                      <w:rFonts w:cs="Times New Roman"/>
                      <w:color w:val="auto"/>
                    </w:rPr>
                    <w:t>（1）准入原则</w:t>
                  </w:r>
                </w:p>
                <w:p>
                  <w:pPr>
                    <w:pStyle w:val="61"/>
                    <w:adjustRightInd w:val="0"/>
                    <w:snapToGrid w:val="0"/>
                    <w:spacing w:line="240" w:lineRule="auto"/>
                    <w:jc w:val="left"/>
                    <w:rPr>
                      <w:rFonts w:cs="Times New Roman"/>
                      <w:color w:val="auto"/>
                    </w:rPr>
                  </w:pPr>
                  <w:r>
                    <w:rPr>
                      <w:rFonts w:hint="eastAsia" w:ascii="宋体" w:hAnsi="宋体" w:cs="宋体"/>
                      <w:color w:val="auto"/>
                    </w:rPr>
                    <w:t>①</w:t>
                  </w:r>
                  <w:r>
                    <w:rPr>
                      <w:rFonts w:cs="Times New Roman"/>
                      <w:color w:val="auto"/>
                    </w:rPr>
                    <w:t>引进项目应符合国家产业政策和清洁生产要求、生产工艺和设备先进、自动化程度高、具有可靠先进的污染治理技术；</w:t>
                  </w:r>
                  <w:r>
                    <w:rPr>
                      <w:rFonts w:hint="eastAsia" w:ascii="宋体" w:hAnsi="宋体" w:cs="宋体"/>
                      <w:color w:val="auto"/>
                    </w:rPr>
                    <w:t>②</w:t>
                  </w:r>
                  <w:r>
                    <w:rPr>
                      <w:rFonts w:cs="Times New Roman"/>
                      <w:color w:val="auto"/>
                    </w:rPr>
                    <w:t>发展产业集群，提高产品的关联度，发展系列产品，力求发挥各项目间的最佳协同效应；</w:t>
                  </w:r>
                  <w:r>
                    <w:rPr>
                      <w:rFonts w:hint="eastAsia" w:ascii="宋体" w:hAnsi="宋体" w:cs="宋体"/>
                      <w:color w:val="auto"/>
                    </w:rPr>
                    <w:t>③</w:t>
                  </w:r>
                  <w:r>
                    <w:rPr>
                      <w:rFonts w:cs="Times New Roman"/>
                      <w:color w:val="auto"/>
                    </w:rPr>
                    <w:t>注意生产装置的规模效益,鼓励在规划区内建设具有国际竞争力的、符合规模经济的生产装置；</w:t>
                  </w:r>
                  <w:r>
                    <w:rPr>
                      <w:rFonts w:hint="eastAsia" w:ascii="宋体" w:hAnsi="宋体" w:cs="宋体"/>
                      <w:color w:val="auto"/>
                    </w:rPr>
                    <w:t>④</w:t>
                  </w:r>
                  <w:r>
                    <w:rPr>
                      <w:rFonts w:cs="Times New Roman"/>
                      <w:color w:val="auto"/>
                    </w:rPr>
                    <w:t>根据资源环境承载力控制合理的发展规模，严格控制污染因子排放总量。</w:t>
                  </w:r>
                </w:p>
                <w:p>
                  <w:pPr>
                    <w:pStyle w:val="61"/>
                    <w:adjustRightInd w:val="0"/>
                    <w:snapToGrid w:val="0"/>
                    <w:spacing w:line="240" w:lineRule="auto"/>
                    <w:jc w:val="left"/>
                    <w:rPr>
                      <w:rFonts w:cs="Times New Roman"/>
                      <w:color w:val="auto"/>
                    </w:rPr>
                  </w:pPr>
                  <w:r>
                    <w:rPr>
                      <w:rFonts w:cs="Times New Roman"/>
                      <w:color w:val="auto"/>
                    </w:rPr>
                    <w:t>（2）准入条件</w:t>
                  </w:r>
                </w:p>
                <w:p>
                  <w:pPr>
                    <w:pStyle w:val="61"/>
                    <w:adjustRightInd w:val="0"/>
                    <w:snapToGrid w:val="0"/>
                    <w:spacing w:line="240" w:lineRule="auto"/>
                    <w:jc w:val="left"/>
                    <w:rPr>
                      <w:rFonts w:cs="Times New Roman"/>
                      <w:color w:val="auto"/>
                    </w:rPr>
                  </w:pPr>
                  <w:r>
                    <w:rPr>
                      <w:rFonts w:cs="Times New Roman"/>
                      <w:color w:val="auto"/>
                    </w:rPr>
                    <w:t>严格执行国家和地方产业政策要求以及各行业准入要求，同时与规划区主导产业定位无明显冲突。对规划区环境准入条件提出“三类”控制。</w:t>
                  </w:r>
                </w:p>
                <w:p>
                  <w:pPr>
                    <w:pStyle w:val="61"/>
                    <w:adjustRightInd w:val="0"/>
                    <w:snapToGrid w:val="0"/>
                    <w:spacing w:line="240" w:lineRule="auto"/>
                    <w:jc w:val="left"/>
                    <w:rPr>
                      <w:rFonts w:cs="Times New Roman"/>
                      <w:color w:val="auto"/>
                    </w:rPr>
                  </w:pPr>
                  <w:r>
                    <w:rPr>
                      <w:rFonts w:cs="Times New Roman"/>
                      <w:color w:val="auto"/>
                    </w:rPr>
                    <w:t>禁止钢铁冶炼、重化工、造纸、印染等重污染行业入驻园区。禁止新建、扩建化学合成药类项目。工业园区禁止燃煤。电镀企业应进入表面处理园。</w:t>
                  </w:r>
                </w:p>
              </w:tc>
              <w:tc>
                <w:tcPr>
                  <w:tcW w:w="1772" w:type="pct"/>
                  <w:tcBorders>
                    <w:tl2br w:val="nil"/>
                    <w:tr2bl w:val="nil"/>
                  </w:tcBorders>
                  <w:vAlign w:val="center"/>
                </w:tcPr>
                <w:p>
                  <w:pPr>
                    <w:pStyle w:val="61"/>
                    <w:adjustRightInd w:val="0"/>
                    <w:snapToGrid w:val="0"/>
                    <w:spacing w:line="240" w:lineRule="auto"/>
                    <w:ind w:firstLine="420" w:firstLineChars="200"/>
                    <w:jc w:val="left"/>
                    <w:rPr>
                      <w:rFonts w:cs="Times New Roman"/>
                      <w:color w:val="auto"/>
                    </w:rPr>
                  </w:pPr>
                  <w:r>
                    <w:rPr>
                      <w:rFonts w:hint="eastAsia" w:cs="Times New Roman"/>
                      <w:snapToGrid w:val="0"/>
                      <w:color w:val="auto"/>
                      <w:kern w:val="0"/>
                    </w:rPr>
                    <w:t>本项目属于汽车零部件制造</w:t>
                  </w:r>
                  <w:r>
                    <w:rPr>
                      <w:rFonts w:cs="Times New Roman"/>
                      <w:snapToGrid w:val="0"/>
                      <w:color w:val="auto"/>
                      <w:kern w:val="0"/>
                    </w:rPr>
                    <w:t>，</w:t>
                  </w:r>
                  <w:r>
                    <w:rPr>
                      <w:rFonts w:hint="eastAsia"/>
                      <w:snapToGrid w:val="0"/>
                      <w:color w:val="auto"/>
                      <w:kern w:val="0"/>
                    </w:rPr>
                    <w:t>与</w:t>
                  </w:r>
                  <w:r>
                    <w:rPr>
                      <w:snapToGrid w:val="0"/>
                      <w:color w:val="auto"/>
                      <w:kern w:val="0"/>
                    </w:rPr>
                    <w:t>蒲吕片区定向发展产业</w:t>
                  </w:r>
                  <w:r>
                    <w:rPr>
                      <w:rFonts w:hint="eastAsia"/>
                      <w:snapToGrid w:val="0"/>
                      <w:color w:val="auto"/>
                      <w:kern w:val="0"/>
                    </w:rPr>
                    <w:t>不冲突</w:t>
                  </w:r>
                </w:p>
              </w:tc>
              <w:tc>
                <w:tcPr>
                  <w:tcW w:w="359"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94" w:type="pct"/>
                  <w:vMerge w:val="continue"/>
                  <w:tcBorders>
                    <w:tl2br w:val="nil"/>
                    <w:tr2bl w:val="nil"/>
                  </w:tcBorders>
                  <w:vAlign w:val="center"/>
                </w:tcPr>
                <w:p>
                  <w:pPr>
                    <w:pStyle w:val="61"/>
                    <w:adjustRightInd w:val="0"/>
                    <w:snapToGrid w:val="0"/>
                    <w:spacing w:line="240" w:lineRule="auto"/>
                    <w:rPr>
                      <w:rFonts w:cs="Times New Roman"/>
                      <w:color w:val="auto"/>
                    </w:rPr>
                  </w:pPr>
                </w:p>
              </w:tc>
              <w:tc>
                <w:tcPr>
                  <w:tcW w:w="559"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分类</w:t>
                  </w:r>
                </w:p>
              </w:tc>
              <w:tc>
                <w:tcPr>
                  <w:tcW w:w="609"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限制类</w:t>
                  </w:r>
                </w:p>
              </w:tc>
              <w:tc>
                <w:tcPr>
                  <w:tcW w:w="1304"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禁止类</w:t>
                  </w:r>
                </w:p>
              </w:tc>
              <w:tc>
                <w:tcPr>
                  <w:tcW w:w="1772"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项目情况</w:t>
                  </w:r>
                </w:p>
              </w:tc>
              <w:tc>
                <w:tcPr>
                  <w:tcW w:w="359"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符合性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94" w:type="pct"/>
                  <w:vMerge w:val="continue"/>
                  <w:tcBorders>
                    <w:tl2br w:val="nil"/>
                    <w:tr2bl w:val="nil"/>
                  </w:tcBorders>
                  <w:vAlign w:val="center"/>
                </w:tcPr>
                <w:p>
                  <w:pPr>
                    <w:pStyle w:val="61"/>
                    <w:adjustRightInd w:val="0"/>
                    <w:snapToGrid w:val="0"/>
                    <w:spacing w:line="240" w:lineRule="auto"/>
                    <w:rPr>
                      <w:rFonts w:cs="Times New Roman"/>
                      <w:color w:val="auto"/>
                    </w:rPr>
                  </w:pPr>
                </w:p>
              </w:tc>
              <w:tc>
                <w:tcPr>
                  <w:tcW w:w="559"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清洁生</w:t>
                  </w:r>
                </w:p>
                <w:p>
                  <w:pPr>
                    <w:pStyle w:val="61"/>
                    <w:adjustRightInd w:val="0"/>
                    <w:snapToGrid w:val="0"/>
                    <w:spacing w:line="240" w:lineRule="auto"/>
                    <w:rPr>
                      <w:rFonts w:cs="Times New Roman"/>
                      <w:color w:val="auto"/>
                    </w:rPr>
                  </w:pPr>
                  <w:r>
                    <w:rPr>
                      <w:rFonts w:cs="Times New Roman"/>
                      <w:color w:val="auto"/>
                    </w:rPr>
                    <w:t>产标准</w:t>
                  </w:r>
                </w:p>
              </w:tc>
              <w:tc>
                <w:tcPr>
                  <w:tcW w:w="609"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低于清洁生产国内先进水平</w:t>
                  </w:r>
                </w:p>
              </w:tc>
              <w:tc>
                <w:tcPr>
                  <w:tcW w:w="1304"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w:t>
                  </w:r>
                </w:p>
              </w:tc>
              <w:tc>
                <w:tcPr>
                  <w:tcW w:w="1772" w:type="pct"/>
                  <w:tcBorders>
                    <w:tl2br w:val="nil"/>
                    <w:tr2bl w:val="nil"/>
                  </w:tcBorders>
                  <w:vAlign w:val="center"/>
                </w:tcPr>
                <w:p>
                  <w:pPr>
                    <w:pStyle w:val="61"/>
                    <w:adjustRightInd w:val="0"/>
                    <w:snapToGrid w:val="0"/>
                    <w:spacing w:line="240" w:lineRule="auto"/>
                    <w:jc w:val="both"/>
                    <w:rPr>
                      <w:rFonts w:cs="Times New Roman"/>
                      <w:color w:val="auto"/>
                    </w:rPr>
                  </w:pPr>
                  <w:r>
                    <w:rPr>
                      <w:rFonts w:cs="Times New Roman"/>
                      <w:color w:val="auto"/>
                    </w:rPr>
                    <w:t>项目清洁生产不低于国内同行业先进水平。</w:t>
                  </w:r>
                </w:p>
              </w:tc>
              <w:tc>
                <w:tcPr>
                  <w:tcW w:w="359"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94" w:type="pct"/>
                  <w:vMerge w:val="continue"/>
                  <w:tcBorders>
                    <w:tl2br w:val="nil"/>
                    <w:tr2bl w:val="nil"/>
                  </w:tcBorders>
                  <w:vAlign w:val="center"/>
                </w:tcPr>
                <w:p>
                  <w:pPr>
                    <w:pStyle w:val="61"/>
                    <w:adjustRightInd w:val="0"/>
                    <w:snapToGrid w:val="0"/>
                    <w:spacing w:line="240" w:lineRule="auto"/>
                    <w:rPr>
                      <w:rFonts w:cs="Times New Roman"/>
                      <w:color w:val="auto"/>
                    </w:rPr>
                  </w:pPr>
                </w:p>
              </w:tc>
              <w:tc>
                <w:tcPr>
                  <w:tcW w:w="559" w:type="pct"/>
                  <w:vMerge w:val="restar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行业准</w:t>
                  </w:r>
                </w:p>
                <w:p>
                  <w:pPr>
                    <w:pStyle w:val="61"/>
                    <w:adjustRightInd w:val="0"/>
                    <w:snapToGrid w:val="0"/>
                    <w:spacing w:line="240" w:lineRule="auto"/>
                    <w:rPr>
                      <w:rFonts w:cs="Times New Roman"/>
                      <w:color w:val="auto"/>
                    </w:rPr>
                  </w:pPr>
                  <w:r>
                    <w:rPr>
                      <w:rFonts w:cs="Times New Roman"/>
                      <w:color w:val="auto"/>
                    </w:rPr>
                    <w:t>入清单</w:t>
                  </w:r>
                </w:p>
              </w:tc>
              <w:tc>
                <w:tcPr>
                  <w:tcW w:w="609"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w:t>
                  </w:r>
                </w:p>
              </w:tc>
              <w:tc>
                <w:tcPr>
                  <w:tcW w:w="1304" w:type="pct"/>
                  <w:tcBorders>
                    <w:tl2br w:val="nil"/>
                    <w:tr2bl w:val="nil"/>
                  </w:tcBorders>
                  <w:vAlign w:val="center"/>
                </w:tcPr>
                <w:p>
                  <w:pPr>
                    <w:pStyle w:val="61"/>
                    <w:adjustRightInd w:val="0"/>
                    <w:snapToGrid w:val="0"/>
                    <w:spacing w:line="240" w:lineRule="auto"/>
                    <w:jc w:val="both"/>
                    <w:rPr>
                      <w:rFonts w:cs="Times New Roman"/>
                      <w:color w:val="auto"/>
                    </w:rPr>
                  </w:pPr>
                  <w:r>
                    <w:rPr>
                      <w:rFonts w:cs="Times New Roman"/>
                      <w:color w:val="auto"/>
                    </w:rPr>
                    <w:t>禁止钢铁冶炼、重化工、造纸、印染等重污染行业入驻园区。禁止新建、扩建化学合成药类项目</w:t>
                  </w:r>
                </w:p>
              </w:tc>
              <w:tc>
                <w:tcPr>
                  <w:tcW w:w="1772" w:type="pct"/>
                  <w:tcBorders>
                    <w:tl2br w:val="nil"/>
                    <w:tr2bl w:val="nil"/>
                  </w:tcBorders>
                  <w:vAlign w:val="center"/>
                </w:tcPr>
                <w:p>
                  <w:pPr>
                    <w:pStyle w:val="61"/>
                    <w:adjustRightInd w:val="0"/>
                    <w:snapToGrid w:val="0"/>
                    <w:spacing w:line="240" w:lineRule="auto"/>
                    <w:jc w:val="both"/>
                    <w:rPr>
                      <w:rFonts w:cs="Times New Roman"/>
                      <w:color w:val="auto"/>
                    </w:rPr>
                  </w:pPr>
                  <w:r>
                    <w:rPr>
                      <w:rFonts w:cs="Times New Roman"/>
                      <w:color w:val="auto"/>
                    </w:rPr>
                    <w:t>项目不属于上述禁止类项目。</w:t>
                  </w:r>
                </w:p>
              </w:tc>
              <w:tc>
                <w:tcPr>
                  <w:tcW w:w="359"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94" w:type="pct"/>
                  <w:vMerge w:val="continue"/>
                  <w:tcBorders>
                    <w:tl2br w:val="nil"/>
                    <w:tr2bl w:val="nil"/>
                  </w:tcBorders>
                  <w:vAlign w:val="center"/>
                </w:tcPr>
                <w:p>
                  <w:pPr>
                    <w:pStyle w:val="61"/>
                    <w:adjustRightInd w:val="0"/>
                    <w:snapToGrid w:val="0"/>
                    <w:spacing w:line="240" w:lineRule="auto"/>
                    <w:rPr>
                      <w:rFonts w:cs="Times New Roman"/>
                      <w:color w:val="auto"/>
                    </w:rPr>
                  </w:pPr>
                </w:p>
              </w:tc>
              <w:tc>
                <w:tcPr>
                  <w:tcW w:w="559" w:type="pct"/>
                  <w:vMerge w:val="continue"/>
                  <w:tcBorders>
                    <w:tl2br w:val="nil"/>
                    <w:tr2bl w:val="nil"/>
                  </w:tcBorders>
                  <w:vAlign w:val="center"/>
                </w:tcPr>
                <w:p>
                  <w:pPr>
                    <w:pStyle w:val="61"/>
                    <w:adjustRightInd w:val="0"/>
                    <w:snapToGrid w:val="0"/>
                    <w:spacing w:line="240" w:lineRule="auto"/>
                    <w:rPr>
                      <w:rFonts w:cs="Times New Roman"/>
                      <w:color w:val="auto"/>
                    </w:rPr>
                  </w:pPr>
                </w:p>
              </w:tc>
              <w:tc>
                <w:tcPr>
                  <w:tcW w:w="609"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w:t>
                  </w:r>
                </w:p>
              </w:tc>
              <w:tc>
                <w:tcPr>
                  <w:tcW w:w="1304" w:type="pct"/>
                  <w:tcBorders>
                    <w:tl2br w:val="nil"/>
                    <w:tr2bl w:val="nil"/>
                  </w:tcBorders>
                  <w:vAlign w:val="center"/>
                </w:tcPr>
                <w:p>
                  <w:pPr>
                    <w:pStyle w:val="61"/>
                    <w:adjustRightInd w:val="0"/>
                    <w:snapToGrid w:val="0"/>
                    <w:spacing w:line="240" w:lineRule="auto"/>
                    <w:jc w:val="both"/>
                    <w:rPr>
                      <w:rFonts w:cs="Times New Roman"/>
                      <w:color w:val="auto"/>
                    </w:rPr>
                  </w:pPr>
                  <w:r>
                    <w:rPr>
                      <w:rFonts w:cs="Times New Roman"/>
                      <w:color w:val="auto"/>
                    </w:rPr>
                    <w:t>园区距离中心城区及其主导风向上风向20公里、其他方向5公里范围内和乡镇人民政府所在地及其周边3公里范围内，禁止新建燃煤电厂、水泥、钢铁冶炼等大气污染严重的项目。</w:t>
                  </w:r>
                </w:p>
              </w:tc>
              <w:tc>
                <w:tcPr>
                  <w:tcW w:w="1772" w:type="pct"/>
                  <w:tcBorders>
                    <w:tl2br w:val="nil"/>
                    <w:tr2bl w:val="nil"/>
                  </w:tcBorders>
                  <w:vAlign w:val="center"/>
                </w:tcPr>
                <w:p>
                  <w:pPr>
                    <w:pStyle w:val="61"/>
                    <w:adjustRightInd w:val="0"/>
                    <w:snapToGrid w:val="0"/>
                    <w:spacing w:line="240" w:lineRule="auto"/>
                    <w:jc w:val="both"/>
                    <w:rPr>
                      <w:rFonts w:cs="Times New Roman"/>
                      <w:color w:val="auto"/>
                    </w:rPr>
                  </w:pPr>
                  <w:r>
                    <w:rPr>
                      <w:rFonts w:cs="Times New Roman"/>
                      <w:color w:val="auto"/>
                    </w:rPr>
                    <w:t>项目不属于禁止的大气污染严重项目。</w:t>
                  </w:r>
                </w:p>
              </w:tc>
              <w:tc>
                <w:tcPr>
                  <w:tcW w:w="359"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94" w:type="pct"/>
                  <w:vMerge w:val="continue"/>
                  <w:tcBorders>
                    <w:tl2br w:val="nil"/>
                    <w:tr2bl w:val="nil"/>
                  </w:tcBorders>
                  <w:vAlign w:val="center"/>
                </w:tcPr>
                <w:p>
                  <w:pPr>
                    <w:pStyle w:val="61"/>
                    <w:adjustRightInd w:val="0"/>
                    <w:snapToGrid w:val="0"/>
                    <w:spacing w:line="240" w:lineRule="auto"/>
                    <w:rPr>
                      <w:rFonts w:cs="Times New Roman"/>
                      <w:color w:val="auto"/>
                    </w:rPr>
                  </w:pPr>
                </w:p>
              </w:tc>
              <w:tc>
                <w:tcPr>
                  <w:tcW w:w="559" w:type="pct"/>
                  <w:vMerge w:val="restar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工艺、产品准入清单</w:t>
                  </w:r>
                </w:p>
              </w:tc>
              <w:tc>
                <w:tcPr>
                  <w:tcW w:w="609"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高能耗、高耗水工艺</w:t>
                  </w:r>
                </w:p>
              </w:tc>
              <w:tc>
                <w:tcPr>
                  <w:tcW w:w="1304"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《产业结构调整指导目录（2011年本）》（修订）、《部分工业行业淘汰落后生产工艺装备和产品指导目录（2010年本）》和《外商投资产业指导目录（2011年修订）》中所列淘汰类、禁止类项目。</w:t>
                  </w:r>
                </w:p>
              </w:tc>
              <w:tc>
                <w:tcPr>
                  <w:tcW w:w="1772" w:type="pct"/>
                  <w:tcBorders>
                    <w:tl2br w:val="nil"/>
                    <w:tr2bl w:val="nil"/>
                  </w:tcBorders>
                  <w:vAlign w:val="center"/>
                </w:tcPr>
                <w:p>
                  <w:pPr>
                    <w:pStyle w:val="61"/>
                    <w:adjustRightInd w:val="0"/>
                    <w:snapToGrid w:val="0"/>
                    <w:spacing w:line="240" w:lineRule="auto"/>
                    <w:jc w:val="both"/>
                    <w:rPr>
                      <w:rFonts w:cs="Times New Roman"/>
                      <w:color w:val="auto"/>
                    </w:rPr>
                  </w:pPr>
                  <w:r>
                    <w:rPr>
                      <w:rFonts w:cs="Times New Roman"/>
                      <w:color w:val="auto"/>
                    </w:rPr>
                    <w:t>经对比《产业结构调整指导目录（2019年本）》，</w:t>
                  </w:r>
                  <w:r>
                    <w:rPr>
                      <w:rFonts w:hint="eastAsia" w:cs="Times New Roman"/>
                      <w:color w:val="auto"/>
                    </w:rPr>
                    <w:t>本</w:t>
                  </w:r>
                  <w:r>
                    <w:rPr>
                      <w:rFonts w:cs="Times New Roman"/>
                      <w:color w:val="auto"/>
                    </w:rPr>
                    <w:t>项目不属于淘汰类、限制类。</w:t>
                  </w:r>
                </w:p>
              </w:tc>
              <w:tc>
                <w:tcPr>
                  <w:tcW w:w="359"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94" w:type="pct"/>
                  <w:vMerge w:val="continue"/>
                  <w:tcBorders>
                    <w:tl2br w:val="nil"/>
                    <w:tr2bl w:val="nil"/>
                  </w:tcBorders>
                  <w:vAlign w:val="center"/>
                </w:tcPr>
                <w:p>
                  <w:pPr>
                    <w:pStyle w:val="61"/>
                    <w:adjustRightInd w:val="0"/>
                    <w:snapToGrid w:val="0"/>
                    <w:spacing w:line="240" w:lineRule="auto"/>
                    <w:rPr>
                      <w:rFonts w:cs="Times New Roman"/>
                      <w:color w:val="auto"/>
                    </w:rPr>
                  </w:pPr>
                </w:p>
              </w:tc>
              <w:tc>
                <w:tcPr>
                  <w:tcW w:w="559" w:type="pct"/>
                  <w:vMerge w:val="continue"/>
                  <w:tcBorders>
                    <w:tl2br w:val="nil"/>
                    <w:tr2bl w:val="nil"/>
                  </w:tcBorders>
                  <w:vAlign w:val="center"/>
                </w:tcPr>
                <w:p>
                  <w:pPr>
                    <w:pStyle w:val="61"/>
                    <w:adjustRightInd w:val="0"/>
                    <w:snapToGrid w:val="0"/>
                    <w:spacing w:line="240" w:lineRule="auto"/>
                    <w:rPr>
                      <w:rFonts w:cs="Times New Roman"/>
                      <w:color w:val="auto"/>
                    </w:rPr>
                  </w:pPr>
                </w:p>
              </w:tc>
              <w:tc>
                <w:tcPr>
                  <w:tcW w:w="609"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除国防军工等特殊需要外，严格限制含铅电镀工艺</w:t>
                  </w:r>
                </w:p>
              </w:tc>
              <w:tc>
                <w:tcPr>
                  <w:tcW w:w="1304"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严格执行国家含氰电镀工艺方面的产业政策规定，禁止含有毒有害氰化物电镀工艺（氰化金钾电镀金及氰化亚金钾镀金）。</w:t>
                  </w:r>
                </w:p>
              </w:tc>
              <w:tc>
                <w:tcPr>
                  <w:tcW w:w="1772"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项目不涉及电镀工艺。</w:t>
                  </w:r>
                </w:p>
              </w:tc>
              <w:tc>
                <w:tcPr>
                  <w:tcW w:w="359"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94" w:type="pct"/>
                  <w:vMerge w:val="continue"/>
                  <w:tcBorders>
                    <w:tl2br w:val="nil"/>
                    <w:tr2bl w:val="nil"/>
                  </w:tcBorders>
                  <w:vAlign w:val="center"/>
                </w:tcPr>
                <w:p>
                  <w:pPr>
                    <w:pStyle w:val="61"/>
                    <w:adjustRightInd w:val="0"/>
                    <w:snapToGrid w:val="0"/>
                    <w:spacing w:line="240" w:lineRule="auto"/>
                    <w:rPr>
                      <w:rFonts w:cs="Times New Roman"/>
                      <w:color w:val="auto"/>
                    </w:rPr>
                  </w:pPr>
                </w:p>
              </w:tc>
              <w:tc>
                <w:tcPr>
                  <w:tcW w:w="559" w:type="pct"/>
                  <w:vMerge w:val="continue"/>
                  <w:tcBorders>
                    <w:tl2br w:val="nil"/>
                    <w:tr2bl w:val="nil"/>
                  </w:tcBorders>
                  <w:vAlign w:val="center"/>
                </w:tcPr>
                <w:p>
                  <w:pPr>
                    <w:pStyle w:val="61"/>
                    <w:adjustRightInd w:val="0"/>
                    <w:snapToGrid w:val="0"/>
                    <w:spacing w:line="240" w:lineRule="auto"/>
                    <w:rPr>
                      <w:rFonts w:cs="Times New Roman"/>
                      <w:color w:val="auto"/>
                    </w:rPr>
                  </w:pPr>
                </w:p>
              </w:tc>
              <w:tc>
                <w:tcPr>
                  <w:tcW w:w="609"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w:t>
                  </w:r>
                </w:p>
              </w:tc>
              <w:tc>
                <w:tcPr>
                  <w:tcW w:w="1304" w:type="pct"/>
                  <w:tcBorders>
                    <w:tl2br w:val="nil"/>
                    <w:tr2bl w:val="nil"/>
                  </w:tcBorders>
                  <w:vAlign w:val="center"/>
                </w:tcPr>
                <w:p>
                  <w:pPr>
                    <w:pStyle w:val="61"/>
                    <w:adjustRightInd w:val="0"/>
                    <w:snapToGrid w:val="0"/>
                    <w:spacing w:line="240" w:lineRule="auto"/>
                    <w:jc w:val="both"/>
                    <w:rPr>
                      <w:rFonts w:cs="Times New Roman"/>
                      <w:color w:val="auto"/>
                    </w:rPr>
                  </w:pPr>
                  <w:r>
                    <w:rPr>
                      <w:rFonts w:cs="Times New Roman"/>
                      <w:color w:val="auto"/>
                    </w:rPr>
                    <w:t>旧县水厂取水口位于规划区小安溪下游约6.8km，小安溪河沿岸一公里范围禁止建设排放重金属（铬、镉、汞、砷、铅等五类重金属）、剧毒物质和持久性有机污染物工艺。</w:t>
                  </w:r>
                </w:p>
              </w:tc>
              <w:tc>
                <w:tcPr>
                  <w:tcW w:w="1772" w:type="pct"/>
                  <w:tcBorders>
                    <w:tl2br w:val="nil"/>
                    <w:tr2bl w:val="nil"/>
                  </w:tcBorders>
                  <w:vAlign w:val="center"/>
                </w:tcPr>
                <w:p>
                  <w:pPr>
                    <w:pStyle w:val="61"/>
                    <w:adjustRightInd w:val="0"/>
                    <w:snapToGrid w:val="0"/>
                    <w:spacing w:line="240" w:lineRule="auto"/>
                    <w:jc w:val="both"/>
                    <w:rPr>
                      <w:rFonts w:cs="Times New Roman"/>
                      <w:color w:val="auto"/>
                    </w:rPr>
                  </w:pPr>
                  <w:r>
                    <w:rPr>
                      <w:rFonts w:cs="Times New Roman"/>
                      <w:color w:val="auto"/>
                    </w:rPr>
                    <w:t>项目不涉及排放重金属、剧毒物质和持久性有机污染物工艺。</w:t>
                  </w:r>
                </w:p>
              </w:tc>
              <w:tc>
                <w:tcPr>
                  <w:tcW w:w="359"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94" w:type="pct"/>
                  <w:vMerge w:val="continue"/>
                  <w:tcBorders>
                    <w:tl2br w:val="nil"/>
                    <w:tr2bl w:val="nil"/>
                  </w:tcBorders>
                  <w:vAlign w:val="center"/>
                </w:tcPr>
                <w:p>
                  <w:pPr>
                    <w:pStyle w:val="61"/>
                    <w:adjustRightInd w:val="0"/>
                    <w:snapToGrid w:val="0"/>
                    <w:spacing w:line="240" w:lineRule="auto"/>
                    <w:rPr>
                      <w:rFonts w:cs="Times New Roman"/>
                      <w:color w:val="auto"/>
                    </w:rPr>
                  </w:pPr>
                </w:p>
              </w:tc>
              <w:tc>
                <w:tcPr>
                  <w:tcW w:w="559" w:type="pct"/>
                  <w:vMerge w:val="restar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其他</w:t>
                  </w:r>
                </w:p>
              </w:tc>
              <w:tc>
                <w:tcPr>
                  <w:tcW w:w="609"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w:t>
                  </w:r>
                </w:p>
              </w:tc>
              <w:tc>
                <w:tcPr>
                  <w:tcW w:w="1304" w:type="pct"/>
                  <w:tcBorders>
                    <w:tl2br w:val="nil"/>
                    <w:tr2bl w:val="nil"/>
                  </w:tcBorders>
                  <w:vAlign w:val="center"/>
                </w:tcPr>
                <w:p>
                  <w:pPr>
                    <w:pStyle w:val="61"/>
                    <w:adjustRightInd w:val="0"/>
                    <w:snapToGrid w:val="0"/>
                    <w:spacing w:line="240" w:lineRule="auto"/>
                    <w:jc w:val="both"/>
                    <w:rPr>
                      <w:rFonts w:cs="Times New Roman"/>
                      <w:color w:val="auto"/>
                    </w:rPr>
                  </w:pPr>
                  <w:r>
                    <w:rPr>
                      <w:rFonts w:cs="Times New Roman"/>
                      <w:color w:val="auto"/>
                    </w:rPr>
                    <w:t>禁止引进使用煤为燃料的工业项目。</w:t>
                  </w:r>
                </w:p>
              </w:tc>
              <w:tc>
                <w:tcPr>
                  <w:tcW w:w="1772" w:type="pct"/>
                  <w:tcBorders>
                    <w:tl2br w:val="nil"/>
                    <w:tr2bl w:val="nil"/>
                  </w:tcBorders>
                  <w:vAlign w:val="center"/>
                </w:tcPr>
                <w:p>
                  <w:pPr>
                    <w:pStyle w:val="61"/>
                    <w:adjustRightInd w:val="0"/>
                    <w:snapToGrid w:val="0"/>
                    <w:spacing w:line="240" w:lineRule="auto"/>
                    <w:jc w:val="both"/>
                    <w:rPr>
                      <w:rFonts w:cs="Times New Roman"/>
                      <w:color w:val="auto"/>
                    </w:rPr>
                  </w:pPr>
                  <w:r>
                    <w:rPr>
                      <w:rFonts w:cs="Times New Roman"/>
                      <w:color w:val="auto"/>
                    </w:rPr>
                    <w:t>项目主要能源为电能</w:t>
                  </w:r>
                  <w:r>
                    <w:rPr>
                      <w:rFonts w:hint="eastAsia" w:cs="Times New Roman"/>
                      <w:color w:val="auto"/>
                    </w:rPr>
                    <w:t>、天然气</w:t>
                  </w:r>
                  <w:r>
                    <w:rPr>
                      <w:rFonts w:cs="Times New Roman"/>
                      <w:color w:val="auto"/>
                    </w:rPr>
                    <w:t>，不使用煤。</w:t>
                  </w:r>
                </w:p>
              </w:tc>
              <w:tc>
                <w:tcPr>
                  <w:tcW w:w="359"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394" w:type="pct"/>
                  <w:vMerge w:val="continue"/>
                  <w:tcBorders>
                    <w:tl2br w:val="nil"/>
                    <w:tr2bl w:val="nil"/>
                  </w:tcBorders>
                  <w:vAlign w:val="center"/>
                </w:tcPr>
                <w:p>
                  <w:pPr>
                    <w:pStyle w:val="61"/>
                    <w:adjustRightInd w:val="0"/>
                    <w:snapToGrid w:val="0"/>
                    <w:spacing w:line="240" w:lineRule="auto"/>
                    <w:rPr>
                      <w:rFonts w:cs="Times New Roman"/>
                      <w:color w:val="auto"/>
                    </w:rPr>
                  </w:pPr>
                </w:p>
              </w:tc>
              <w:tc>
                <w:tcPr>
                  <w:tcW w:w="559" w:type="pct"/>
                  <w:vMerge w:val="continue"/>
                  <w:tcBorders>
                    <w:tl2br w:val="nil"/>
                    <w:tr2bl w:val="nil"/>
                  </w:tcBorders>
                  <w:vAlign w:val="center"/>
                </w:tcPr>
                <w:p>
                  <w:pPr>
                    <w:pStyle w:val="61"/>
                    <w:adjustRightInd w:val="0"/>
                    <w:snapToGrid w:val="0"/>
                    <w:spacing w:line="240" w:lineRule="auto"/>
                    <w:rPr>
                      <w:rFonts w:cs="Times New Roman"/>
                      <w:color w:val="auto"/>
                    </w:rPr>
                  </w:pPr>
                </w:p>
              </w:tc>
              <w:tc>
                <w:tcPr>
                  <w:tcW w:w="609"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电镀企业应进入表面处理园</w:t>
                  </w:r>
                </w:p>
              </w:tc>
              <w:tc>
                <w:tcPr>
                  <w:tcW w:w="1304"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w:t>
                  </w:r>
                </w:p>
              </w:tc>
              <w:tc>
                <w:tcPr>
                  <w:tcW w:w="1772"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项目不涉及电镀工艺。</w:t>
                  </w:r>
                </w:p>
              </w:tc>
              <w:tc>
                <w:tcPr>
                  <w:tcW w:w="359" w:type="pct"/>
                  <w:tcBorders>
                    <w:tl2br w:val="nil"/>
                    <w:tr2bl w:val="nil"/>
                  </w:tcBorders>
                  <w:vAlign w:val="center"/>
                </w:tcPr>
                <w:p>
                  <w:pPr>
                    <w:pStyle w:val="61"/>
                    <w:adjustRightInd w:val="0"/>
                    <w:snapToGrid w:val="0"/>
                    <w:spacing w:line="240" w:lineRule="auto"/>
                    <w:rPr>
                      <w:rFonts w:cs="Times New Roman"/>
                      <w:color w:val="auto"/>
                    </w:rPr>
                  </w:pPr>
                  <w:r>
                    <w:rPr>
                      <w:rFonts w:cs="Times New Roman"/>
                      <w:color w:val="auto"/>
                    </w:rPr>
                    <w:t>符合</w:t>
                  </w:r>
                </w:p>
              </w:tc>
            </w:tr>
          </w:tbl>
          <w:p>
            <w:pPr>
              <w:pStyle w:val="60"/>
              <w:rPr>
                <w:color w:val="auto"/>
              </w:rPr>
            </w:pPr>
            <w:r>
              <w:rPr>
                <w:rFonts w:hint="eastAsia" w:eastAsia="宋体"/>
                <w:color w:val="auto"/>
              </w:rPr>
              <w:t>综上所述，本项目符合</w:t>
            </w:r>
            <w:r>
              <w:rPr>
                <w:color w:val="auto"/>
              </w:rPr>
              <w:t>《重庆铜梁高新区铜梁片区及全蒲片区规划环境影响跟踪评价报告书》</w:t>
            </w:r>
            <w:r>
              <w:rPr>
                <w:rFonts w:hint="eastAsia"/>
                <w:color w:val="auto"/>
              </w:rPr>
              <w:t>的相关要求</w:t>
            </w:r>
          </w:p>
          <w:p>
            <w:pPr>
              <w:pStyle w:val="60"/>
              <w:rPr>
                <w:rFonts w:eastAsia="宋体"/>
                <w:color w:val="auto"/>
              </w:rPr>
            </w:pPr>
            <w:r>
              <w:rPr>
                <w:rFonts w:hint="eastAsia" w:eastAsia="宋体"/>
                <w:color w:val="auto"/>
              </w:rPr>
              <w:t>根据《</w:t>
            </w:r>
            <w:r>
              <w:rPr>
                <w:rFonts w:eastAsia="宋体"/>
                <w:color w:val="auto"/>
              </w:rPr>
              <w:t>重庆铜梁高新区铜梁片区及全蒲片区规划环境影响跟踪评价报告书</w:t>
            </w:r>
            <w:r>
              <w:rPr>
                <w:rFonts w:hint="eastAsia" w:eastAsia="宋体"/>
                <w:color w:val="auto"/>
              </w:rPr>
              <w:t>》中相关法律、法规及环保政策符合性分析的结论，本项目符合《重庆市工业项目环境准入规定（修订）》（渝办发[2012]142号文）、《关于严格工业布局和准入的通知》（渝发改工[2018]781号）的相关要求。</w:t>
            </w:r>
          </w:p>
          <w:p>
            <w:pPr>
              <w:pStyle w:val="49"/>
              <w:tabs>
                <w:tab w:val="left" w:pos="1306"/>
              </w:tabs>
              <w:wordWrap w:val="0"/>
              <w:autoSpaceDE/>
              <w:autoSpaceDN/>
              <w:snapToGrid w:val="0"/>
              <w:ind w:firstLine="0" w:firstLineChars="0"/>
              <w:rPr>
                <w:b/>
                <w:bCs/>
                <w:color w:val="auto"/>
              </w:rPr>
            </w:pPr>
            <w:r>
              <w:rPr>
                <w:rFonts w:hint="eastAsia"/>
                <w:b/>
                <w:bCs/>
                <w:color w:val="auto"/>
              </w:rPr>
              <w:t>3.与规划环评审查意见函符合性分析</w:t>
            </w:r>
          </w:p>
          <w:p>
            <w:pPr>
              <w:autoSpaceDE w:val="0"/>
              <w:autoSpaceDN w:val="0"/>
              <w:adjustRightInd w:val="0"/>
              <w:snapToGrid w:val="0"/>
              <w:jc w:val="center"/>
              <w:rPr>
                <w:rFonts w:eastAsiaTheme="minorEastAsia"/>
                <w:color w:val="auto"/>
                <w:kern w:val="0"/>
                <w:sz w:val="21"/>
                <w:szCs w:val="21"/>
              </w:rPr>
            </w:pPr>
            <w:r>
              <w:rPr>
                <w:rFonts w:eastAsiaTheme="minorEastAsia"/>
                <w:color w:val="auto"/>
                <w:kern w:val="0"/>
                <w:sz w:val="21"/>
                <w:szCs w:val="21"/>
              </w:rPr>
              <w:t>表</w:t>
            </w:r>
            <w:r>
              <w:rPr>
                <w:rFonts w:hint="eastAsia" w:eastAsiaTheme="minorEastAsia"/>
                <w:color w:val="auto"/>
                <w:kern w:val="0"/>
                <w:sz w:val="21"/>
                <w:szCs w:val="21"/>
              </w:rPr>
              <w:t xml:space="preserve">1.2 </w:t>
            </w:r>
            <w:r>
              <w:rPr>
                <w:rFonts w:eastAsiaTheme="minorEastAsia"/>
                <w:color w:val="auto"/>
                <w:kern w:val="0"/>
                <w:sz w:val="21"/>
                <w:szCs w:val="21"/>
              </w:rPr>
              <w:t>与规划环评审查意见函渝环函[2019]94号的符合性分析</w:t>
            </w:r>
          </w:p>
          <w:tbl>
            <w:tblPr>
              <w:tblStyle w:val="22"/>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4068"/>
              <w:gridCol w:w="2255"/>
              <w:gridCol w:w="72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tcBorders>
                    <w:tl2br w:val="nil"/>
                    <w:tr2bl w:val="nil"/>
                  </w:tcBorders>
                  <w:vAlign w:val="center"/>
                </w:tcPr>
                <w:p>
                  <w:pPr>
                    <w:autoSpaceDE w:val="0"/>
                    <w:autoSpaceDN w:val="0"/>
                    <w:adjustRightInd w:val="0"/>
                    <w:snapToGrid w:val="0"/>
                    <w:jc w:val="center"/>
                    <w:rPr>
                      <w:rFonts w:eastAsiaTheme="minorEastAsia"/>
                      <w:color w:val="auto"/>
                      <w:kern w:val="0"/>
                      <w:szCs w:val="21"/>
                    </w:rPr>
                  </w:pPr>
                  <w:r>
                    <w:rPr>
                      <w:rFonts w:eastAsiaTheme="minorEastAsia"/>
                      <w:color w:val="auto"/>
                      <w:kern w:val="0"/>
                      <w:szCs w:val="21"/>
                    </w:rPr>
                    <w:t>序号</w:t>
                  </w:r>
                </w:p>
              </w:tc>
              <w:tc>
                <w:tcPr>
                  <w:tcW w:w="2610" w:type="pct"/>
                  <w:tcBorders>
                    <w:tl2br w:val="nil"/>
                    <w:tr2bl w:val="nil"/>
                  </w:tcBorders>
                  <w:vAlign w:val="center"/>
                </w:tcPr>
                <w:p>
                  <w:pPr>
                    <w:autoSpaceDE w:val="0"/>
                    <w:autoSpaceDN w:val="0"/>
                    <w:adjustRightInd w:val="0"/>
                    <w:snapToGrid w:val="0"/>
                    <w:jc w:val="center"/>
                    <w:rPr>
                      <w:rFonts w:eastAsiaTheme="minorEastAsia"/>
                      <w:color w:val="auto"/>
                      <w:kern w:val="0"/>
                      <w:szCs w:val="21"/>
                    </w:rPr>
                  </w:pPr>
                  <w:r>
                    <w:rPr>
                      <w:rFonts w:eastAsiaTheme="minorEastAsia"/>
                      <w:color w:val="auto"/>
                      <w:kern w:val="0"/>
                      <w:szCs w:val="21"/>
                    </w:rPr>
                    <w:t>审查意见</w:t>
                  </w:r>
                </w:p>
              </w:tc>
              <w:tc>
                <w:tcPr>
                  <w:tcW w:w="1447" w:type="pct"/>
                  <w:tcBorders>
                    <w:tl2br w:val="nil"/>
                    <w:tr2bl w:val="nil"/>
                  </w:tcBorders>
                  <w:vAlign w:val="center"/>
                </w:tcPr>
                <w:p>
                  <w:pPr>
                    <w:autoSpaceDE w:val="0"/>
                    <w:autoSpaceDN w:val="0"/>
                    <w:adjustRightInd w:val="0"/>
                    <w:snapToGrid w:val="0"/>
                    <w:jc w:val="center"/>
                    <w:rPr>
                      <w:rFonts w:eastAsiaTheme="minorEastAsia"/>
                      <w:color w:val="auto"/>
                      <w:kern w:val="0"/>
                      <w:szCs w:val="21"/>
                    </w:rPr>
                  </w:pPr>
                  <w:r>
                    <w:rPr>
                      <w:rFonts w:eastAsiaTheme="minorEastAsia"/>
                      <w:color w:val="auto"/>
                      <w:kern w:val="0"/>
                      <w:szCs w:val="21"/>
                    </w:rPr>
                    <w:t>项目情况</w:t>
                  </w:r>
                </w:p>
              </w:tc>
              <w:tc>
                <w:tcPr>
                  <w:tcW w:w="465" w:type="pct"/>
                  <w:tcBorders>
                    <w:tl2br w:val="nil"/>
                    <w:tr2bl w:val="nil"/>
                  </w:tcBorders>
                  <w:vAlign w:val="center"/>
                </w:tcPr>
                <w:p>
                  <w:pPr>
                    <w:autoSpaceDE w:val="0"/>
                    <w:autoSpaceDN w:val="0"/>
                    <w:adjustRightInd w:val="0"/>
                    <w:snapToGrid w:val="0"/>
                    <w:jc w:val="center"/>
                    <w:rPr>
                      <w:rFonts w:eastAsiaTheme="minorEastAsia"/>
                      <w:color w:val="auto"/>
                      <w:kern w:val="0"/>
                      <w:szCs w:val="21"/>
                    </w:rPr>
                  </w:pPr>
                  <w:r>
                    <w:rPr>
                      <w:rFonts w:eastAsiaTheme="minorEastAsia"/>
                      <w:color w:val="auto"/>
                      <w:kern w:val="0"/>
                      <w:szCs w:val="21"/>
                    </w:rPr>
                    <w:t>符合性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tcBorders>
                    <w:tl2br w:val="nil"/>
                    <w:tr2bl w:val="nil"/>
                  </w:tcBorders>
                  <w:vAlign w:val="center"/>
                </w:tcPr>
                <w:p>
                  <w:pPr>
                    <w:autoSpaceDE w:val="0"/>
                    <w:autoSpaceDN w:val="0"/>
                    <w:adjustRightInd w:val="0"/>
                    <w:snapToGrid w:val="0"/>
                    <w:jc w:val="center"/>
                    <w:rPr>
                      <w:rFonts w:eastAsiaTheme="minorEastAsia"/>
                      <w:color w:val="auto"/>
                      <w:kern w:val="0"/>
                      <w:szCs w:val="21"/>
                    </w:rPr>
                  </w:pPr>
                  <w:r>
                    <w:rPr>
                      <w:rFonts w:eastAsiaTheme="minorEastAsia"/>
                      <w:color w:val="auto"/>
                      <w:kern w:val="0"/>
                      <w:szCs w:val="21"/>
                    </w:rPr>
                    <w:t>1</w:t>
                  </w:r>
                </w:p>
              </w:tc>
              <w:tc>
                <w:tcPr>
                  <w:tcW w:w="2610" w:type="pct"/>
                  <w:tcBorders>
                    <w:tl2br w:val="nil"/>
                    <w:tr2bl w:val="nil"/>
                  </w:tcBorders>
                  <w:vAlign w:val="center"/>
                </w:tcPr>
                <w:p>
                  <w:pPr>
                    <w:autoSpaceDE w:val="0"/>
                    <w:autoSpaceDN w:val="0"/>
                    <w:adjustRightInd w:val="0"/>
                    <w:snapToGrid w:val="0"/>
                    <w:rPr>
                      <w:rFonts w:eastAsiaTheme="minorEastAsia"/>
                      <w:color w:val="auto"/>
                      <w:kern w:val="0"/>
                      <w:szCs w:val="21"/>
                    </w:rPr>
                  </w:pPr>
                  <w:r>
                    <w:rPr>
                      <w:rFonts w:eastAsiaTheme="minorEastAsia"/>
                      <w:color w:val="auto"/>
                      <w:kern w:val="0"/>
                      <w:szCs w:val="21"/>
                    </w:rPr>
                    <w:t>规划区应不断优化产业发展方向，按照报告书提出的“三线一单”管理要求，以资源利用上线、环境质量底线为约束，严格建设项目环境准入，入驻工业企业应满足《重庆市工业项目环境准入规定(修订)》《报告书》确定的环境准入清单要求，禁止发展印染、化学合成药类等重污染企业，限制引进食品发酵业等耗水量大、水污染物排放强度高的项目。</w:t>
                  </w:r>
                </w:p>
              </w:tc>
              <w:tc>
                <w:tcPr>
                  <w:tcW w:w="1447" w:type="pct"/>
                  <w:tcBorders>
                    <w:tl2br w:val="nil"/>
                    <w:tr2bl w:val="nil"/>
                  </w:tcBorders>
                  <w:vAlign w:val="center"/>
                </w:tcPr>
                <w:p>
                  <w:pPr>
                    <w:autoSpaceDE w:val="0"/>
                    <w:autoSpaceDN w:val="0"/>
                    <w:adjustRightInd w:val="0"/>
                    <w:snapToGrid w:val="0"/>
                    <w:rPr>
                      <w:rFonts w:eastAsiaTheme="minorEastAsia"/>
                      <w:color w:val="auto"/>
                      <w:kern w:val="0"/>
                      <w:szCs w:val="21"/>
                    </w:rPr>
                  </w:pPr>
                  <w:r>
                    <w:rPr>
                      <w:rFonts w:eastAsiaTheme="minorEastAsia"/>
                      <w:color w:val="auto"/>
                      <w:kern w:val="0"/>
                      <w:szCs w:val="21"/>
                    </w:rPr>
                    <w:t>项目满足《重庆市工业项目环境准入规定(修订)》，符合园区环境准入清单要求，不属于印染、化学合成药类等重污染企业，不属于食品发酵业等耗水量大、水污染物排放强度</w:t>
                  </w:r>
                </w:p>
                <w:p>
                  <w:pPr>
                    <w:autoSpaceDE w:val="0"/>
                    <w:autoSpaceDN w:val="0"/>
                    <w:adjustRightInd w:val="0"/>
                    <w:snapToGrid w:val="0"/>
                    <w:rPr>
                      <w:rFonts w:eastAsiaTheme="minorEastAsia"/>
                      <w:color w:val="auto"/>
                      <w:kern w:val="0"/>
                      <w:szCs w:val="21"/>
                    </w:rPr>
                  </w:pPr>
                  <w:r>
                    <w:rPr>
                      <w:rFonts w:eastAsiaTheme="minorEastAsia"/>
                      <w:color w:val="auto"/>
                      <w:kern w:val="0"/>
                      <w:szCs w:val="21"/>
                    </w:rPr>
                    <w:t>高的项目。</w:t>
                  </w:r>
                </w:p>
              </w:tc>
              <w:tc>
                <w:tcPr>
                  <w:tcW w:w="465" w:type="pct"/>
                  <w:tcBorders>
                    <w:tl2br w:val="nil"/>
                    <w:tr2bl w:val="nil"/>
                  </w:tcBorders>
                  <w:vAlign w:val="center"/>
                </w:tcPr>
                <w:p>
                  <w:pPr>
                    <w:autoSpaceDE w:val="0"/>
                    <w:autoSpaceDN w:val="0"/>
                    <w:adjustRightInd w:val="0"/>
                    <w:snapToGrid w:val="0"/>
                    <w:jc w:val="center"/>
                    <w:rPr>
                      <w:rFonts w:eastAsiaTheme="minorEastAsia"/>
                      <w:color w:val="auto"/>
                      <w:kern w:val="0"/>
                      <w:szCs w:val="21"/>
                    </w:rPr>
                  </w:pPr>
                  <w:r>
                    <w:rPr>
                      <w:rFonts w:eastAsiaTheme="minorEastAsia"/>
                      <w:color w:val="auto"/>
                      <w:kern w:val="0"/>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tcBorders>
                    <w:tl2br w:val="nil"/>
                    <w:tr2bl w:val="nil"/>
                  </w:tcBorders>
                  <w:vAlign w:val="center"/>
                </w:tcPr>
                <w:p>
                  <w:pPr>
                    <w:autoSpaceDE w:val="0"/>
                    <w:autoSpaceDN w:val="0"/>
                    <w:adjustRightInd w:val="0"/>
                    <w:snapToGrid w:val="0"/>
                    <w:jc w:val="center"/>
                    <w:rPr>
                      <w:rFonts w:eastAsiaTheme="minorEastAsia"/>
                      <w:color w:val="auto"/>
                      <w:kern w:val="0"/>
                      <w:szCs w:val="21"/>
                    </w:rPr>
                  </w:pPr>
                  <w:r>
                    <w:rPr>
                      <w:rFonts w:eastAsiaTheme="minorEastAsia"/>
                      <w:color w:val="auto"/>
                      <w:kern w:val="0"/>
                      <w:szCs w:val="21"/>
                    </w:rPr>
                    <w:t>2</w:t>
                  </w:r>
                </w:p>
              </w:tc>
              <w:tc>
                <w:tcPr>
                  <w:tcW w:w="2610" w:type="pct"/>
                  <w:tcBorders>
                    <w:tl2br w:val="nil"/>
                    <w:tr2bl w:val="nil"/>
                  </w:tcBorders>
                  <w:vAlign w:val="center"/>
                </w:tcPr>
                <w:p>
                  <w:pPr>
                    <w:autoSpaceDE w:val="0"/>
                    <w:autoSpaceDN w:val="0"/>
                    <w:adjustRightInd w:val="0"/>
                    <w:snapToGrid w:val="0"/>
                    <w:rPr>
                      <w:rFonts w:eastAsiaTheme="minorEastAsia"/>
                      <w:color w:val="auto"/>
                      <w:kern w:val="0"/>
                      <w:szCs w:val="21"/>
                    </w:rPr>
                  </w:pPr>
                  <w:r>
                    <w:rPr>
                      <w:rFonts w:eastAsiaTheme="minorEastAsia"/>
                      <w:color w:val="auto"/>
                      <w:kern w:val="0"/>
                      <w:szCs w:val="21"/>
                    </w:rPr>
                    <w:t>规划区内淮远河、小安溪等河流两岸以及拦河堰水库、生基嘴水库库岸应设置一定宽度的绿化缓冲带，绿化缓冲带要保持原有的状况和自然形态，原则上应为绿地，除护岸工程及必要的市政设施外，禁止修建任何建筑物和构筑物。规划区要优化区域内的工业景观设计和建设，调整不和谐的建筑因素，按国务院实现全域旅游景观的原则要求，逐步调整工业园区与城市的景观和谐、自然，达到园区工业景观的“产业美”目标。规划区后续涉及环境防护距离的工业企业或项目，应通过选址或调整布局严格控制环境防护距离。结合铜梁区工业发展规划，白土坝片区采取“腾笼换鸟”的方式，发展以物流、生产资料交易为主的生产性服务业，将片区内不符合产业规划、排污量大企业逐步迁出片区。</w:t>
                  </w:r>
                </w:p>
              </w:tc>
              <w:tc>
                <w:tcPr>
                  <w:tcW w:w="1447" w:type="pct"/>
                  <w:tcBorders>
                    <w:tl2br w:val="nil"/>
                    <w:tr2bl w:val="nil"/>
                  </w:tcBorders>
                  <w:vAlign w:val="center"/>
                </w:tcPr>
                <w:p>
                  <w:pPr>
                    <w:autoSpaceDE w:val="0"/>
                    <w:autoSpaceDN w:val="0"/>
                    <w:adjustRightInd w:val="0"/>
                    <w:snapToGrid w:val="0"/>
                    <w:rPr>
                      <w:rFonts w:eastAsiaTheme="minorEastAsia"/>
                      <w:color w:val="auto"/>
                      <w:kern w:val="0"/>
                      <w:szCs w:val="21"/>
                    </w:rPr>
                  </w:pPr>
                  <w:r>
                    <w:rPr>
                      <w:rFonts w:eastAsiaTheme="minorEastAsia"/>
                      <w:color w:val="auto"/>
                      <w:kern w:val="0"/>
                      <w:szCs w:val="21"/>
                    </w:rPr>
                    <w:t>项目符合园区规划，不属于白土坝片区。</w:t>
                  </w:r>
                </w:p>
              </w:tc>
              <w:tc>
                <w:tcPr>
                  <w:tcW w:w="465" w:type="pct"/>
                  <w:tcBorders>
                    <w:tl2br w:val="nil"/>
                    <w:tr2bl w:val="nil"/>
                  </w:tcBorders>
                  <w:vAlign w:val="center"/>
                </w:tcPr>
                <w:p>
                  <w:pPr>
                    <w:autoSpaceDE w:val="0"/>
                    <w:autoSpaceDN w:val="0"/>
                    <w:adjustRightInd w:val="0"/>
                    <w:snapToGrid w:val="0"/>
                    <w:jc w:val="center"/>
                    <w:rPr>
                      <w:rFonts w:eastAsiaTheme="minorEastAsia"/>
                      <w:color w:val="auto"/>
                      <w:kern w:val="0"/>
                      <w:szCs w:val="21"/>
                    </w:rPr>
                  </w:pPr>
                  <w:r>
                    <w:rPr>
                      <w:rFonts w:eastAsiaTheme="minorEastAsia"/>
                      <w:color w:val="auto"/>
                      <w:kern w:val="0"/>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tcBorders>
                    <w:tl2br w:val="nil"/>
                    <w:tr2bl w:val="nil"/>
                  </w:tcBorders>
                  <w:vAlign w:val="center"/>
                </w:tcPr>
                <w:p>
                  <w:pPr>
                    <w:autoSpaceDE w:val="0"/>
                    <w:autoSpaceDN w:val="0"/>
                    <w:adjustRightInd w:val="0"/>
                    <w:snapToGrid w:val="0"/>
                    <w:jc w:val="center"/>
                    <w:rPr>
                      <w:rFonts w:eastAsiaTheme="minorEastAsia"/>
                      <w:color w:val="auto"/>
                      <w:kern w:val="0"/>
                      <w:szCs w:val="21"/>
                    </w:rPr>
                  </w:pPr>
                  <w:r>
                    <w:rPr>
                      <w:rFonts w:eastAsiaTheme="minorEastAsia"/>
                      <w:color w:val="auto"/>
                      <w:kern w:val="0"/>
                      <w:szCs w:val="21"/>
                    </w:rPr>
                    <w:t>3</w:t>
                  </w:r>
                </w:p>
              </w:tc>
              <w:tc>
                <w:tcPr>
                  <w:tcW w:w="2610" w:type="pct"/>
                  <w:tcBorders>
                    <w:tl2br w:val="nil"/>
                    <w:tr2bl w:val="nil"/>
                  </w:tcBorders>
                  <w:vAlign w:val="center"/>
                </w:tcPr>
                <w:p>
                  <w:pPr>
                    <w:autoSpaceDE w:val="0"/>
                    <w:autoSpaceDN w:val="0"/>
                    <w:adjustRightInd w:val="0"/>
                    <w:snapToGrid w:val="0"/>
                    <w:rPr>
                      <w:rFonts w:eastAsiaTheme="minorEastAsia"/>
                      <w:color w:val="auto"/>
                      <w:kern w:val="0"/>
                      <w:szCs w:val="21"/>
                    </w:rPr>
                  </w:pPr>
                  <w:r>
                    <w:rPr>
                      <w:rFonts w:eastAsiaTheme="minorEastAsia"/>
                      <w:color w:val="auto"/>
                      <w:kern w:val="0"/>
                      <w:szCs w:val="21"/>
                    </w:rPr>
                    <w:t>严格环境准入。禁止燃煤，鼓励燃气锅炉采用低氮燃烧技术。加强现状企业大气污染治理和监管，各入驻企业采用清洁工艺，采取先进的污染防治措施，确保废气稳定达标排放。排放挥发性有机物的企业应符合《重庆市“十三五”挥发性有机物污染防治工作实施方案》等相关要求。合理布局，产生有毒有害气体、粉尘的项目尽量远离生活配套服务区等集中居住区，尽量降低企业达标扰民的影响。食品加工、生物医药等对环境要求较高企业布局</w:t>
                  </w:r>
                </w:p>
                <w:p>
                  <w:pPr>
                    <w:autoSpaceDE w:val="0"/>
                    <w:autoSpaceDN w:val="0"/>
                    <w:adjustRightInd w:val="0"/>
                    <w:snapToGrid w:val="0"/>
                    <w:rPr>
                      <w:rFonts w:eastAsiaTheme="minorEastAsia"/>
                      <w:color w:val="auto"/>
                      <w:kern w:val="0"/>
                      <w:szCs w:val="21"/>
                    </w:rPr>
                  </w:pPr>
                  <w:r>
                    <w:rPr>
                      <w:rFonts w:eastAsiaTheme="minorEastAsia"/>
                      <w:color w:val="auto"/>
                      <w:kern w:val="0"/>
                      <w:szCs w:val="21"/>
                    </w:rPr>
                    <w:t>应考虑周边企业污染排放，留足防护距离。</w:t>
                  </w:r>
                </w:p>
              </w:tc>
              <w:tc>
                <w:tcPr>
                  <w:tcW w:w="1447" w:type="pct"/>
                  <w:tcBorders>
                    <w:tl2br w:val="nil"/>
                    <w:tr2bl w:val="nil"/>
                  </w:tcBorders>
                  <w:vAlign w:val="center"/>
                </w:tcPr>
                <w:p>
                  <w:pPr>
                    <w:autoSpaceDE w:val="0"/>
                    <w:autoSpaceDN w:val="0"/>
                    <w:adjustRightInd w:val="0"/>
                    <w:snapToGrid w:val="0"/>
                    <w:rPr>
                      <w:rFonts w:eastAsiaTheme="minorEastAsia"/>
                      <w:color w:val="auto"/>
                      <w:kern w:val="0"/>
                      <w:szCs w:val="21"/>
                    </w:rPr>
                  </w:pPr>
                  <w:r>
                    <w:rPr>
                      <w:rFonts w:eastAsiaTheme="minorEastAsia"/>
                      <w:color w:val="auto"/>
                      <w:kern w:val="0"/>
                      <w:szCs w:val="21"/>
                    </w:rPr>
                    <w:t>项</w:t>
                  </w:r>
                  <w:r>
                    <w:rPr>
                      <w:rFonts w:eastAsiaTheme="minorEastAsia"/>
                      <w:color w:val="auto"/>
                      <w:kern w:val="0"/>
                      <w:szCs w:val="21"/>
                      <w:highlight w:val="none"/>
                    </w:rPr>
                    <w:t>目排放的有机废气采用“</w:t>
                  </w:r>
                  <w:r>
                    <w:rPr>
                      <w:rFonts w:hint="eastAsia" w:eastAsiaTheme="minorEastAsia"/>
                      <w:color w:val="auto"/>
                      <w:kern w:val="0"/>
                      <w:szCs w:val="21"/>
                      <w:highlight w:val="none"/>
                      <w:lang w:val="en-US" w:eastAsia="zh-CN"/>
                    </w:rPr>
                    <w:t>UV光解+二级</w:t>
                  </w:r>
                  <w:r>
                    <w:rPr>
                      <w:rFonts w:hint="eastAsia" w:eastAsiaTheme="minorEastAsia"/>
                      <w:color w:val="auto"/>
                      <w:kern w:val="0"/>
                      <w:szCs w:val="21"/>
                      <w:highlight w:val="none"/>
                    </w:rPr>
                    <w:t>活性炭吸附</w:t>
                  </w:r>
                  <w:r>
                    <w:rPr>
                      <w:rFonts w:eastAsiaTheme="minorEastAsia"/>
                      <w:color w:val="auto"/>
                      <w:kern w:val="0"/>
                      <w:szCs w:val="21"/>
                      <w:highlight w:val="none"/>
                    </w:rPr>
                    <w:t>”处理，能达标排放，符合要</w:t>
                  </w:r>
                  <w:r>
                    <w:rPr>
                      <w:rFonts w:eastAsiaTheme="minorEastAsia"/>
                      <w:color w:val="auto"/>
                      <w:kern w:val="0"/>
                      <w:szCs w:val="21"/>
                    </w:rPr>
                    <w:t>求。</w:t>
                  </w:r>
                </w:p>
              </w:tc>
              <w:tc>
                <w:tcPr>
                  <w:tcW w:w="465" w:type="pct"/>
                  <w:tcBorders>
                    <w:tl2br w:val="nil"/>
                    <w:tr2bl w:val="nil"/>
                  </w:tcBorders>
                  <w:vAlign w:val="center"/>
                </w:tcPr>
                <w:p>
                  <w:pPr>
                    <w:autoSpaceDE w:val="0"/>
                    <w:autoSpaceDN w:val="0"/>
                    <w:adjustRightInd w:val="0"/>
                    <w:snapToGrid w:val="0"/>
                    <w:jc w:val="center"/>
                    <w:rPr>
                      <w:rFonts w:eastAsiaTheme="minorEastAsia"/>
                      <w:color w:val="auto"/>
                      <w:kern w:val="0"/>
                      <w:szCs w:val="21"/>
                    </w:rPr>
                  </w:pPr>
                  <w:r>
                    <w:rPr>
                      <w:rFonts w:eastAsiaTheme="minorEastAsia"/>
                      <w:color w:val="auto"/>
                      <w:kern w:val="0"/>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tcBorders>
                    <w:tl2br w:val="nil"/>
                    <w:tr2bl w:val="nil"/>
                  </w:tcBorders>
                  <w:vAlign w:val="center"/>
                </w:tcPr>
                <w:p>
                  <w:pPr>
                    <w:autoSpaceDE w:val="0"/>
                    <w:autoSpaceDN w:val="0"/>
                    <w:adjustRightInd w:val="0"/>
                    <w:snapToGrid w:val="0"/>
                    <w:jc w:val="center"/>
                    <w:rPr>
                      <w:rFonts w:eastAsiaTheme="minorEastAsia"/>
                      <w:color w:val="auto"/>
                      <w:kern w:val="0"/>
                      <w:szCs w:val="21"/>
                    </w:rPr>
                  </w:pPr>
                  <w:r>
                    <w:rPr>
                      <w:rFonts w:eastAsiaTheme="minorEastAsia"/>
                      <w:color w:val="auto"/>
                      <w:kern w:val="0"/>
                      <w:szCs w:val="21"/>
                    </w:rPr>
                    <w:t>4</w:t>
                  </w:r>
                </w:p>
              </w:tc>
              <w:tc>
                <w:tcPr>
                  <w:tcW w:w="2610" w:type="pct"/>
                  <w:tcBorders>
                    <w:tl2br w:val="nil"/>
                    <w:tr2bl w:val="nil"/>
                  </w:tcBorders>
                  <w:vAlign w:val="center"/>
                </w:tcPr>
                <w:p>
                  <w:pPr>
                    <w:autoSpaceDE w:val="0"/>
                    <w:autoSpaceDN w:val="0"/>
                    <w:adjustRightInd w:val="0"/>
                    <w:snapToGrid w:val="0"/>
                    <w:rPr>
                      <w:rFonts w:eastAsiaTheme="minorEastAsia"/>
                      <w:color w:val="auto"/>
                      <w:kern w:val="0"/>
                      <w:szCs w:val="21"/>
                    </w:rPr>
                  </w:pPr>
                  <w:r>
                    <w:rPr>
                      <w:rFonts w:eastAsiaTheme="minorEastAsia"/>
                      <w:color w:val="auto"/>
                      <w:kern w:val="0"/>
                      <w:szCs w:val="21"/>
                    </w:rPr>
                    <w:t>合理布局企业噪声源，高噪声源企业选址和布局应满足相应的环境防护距离要求，尽量远离居住区:选择低噪声设备,采取消声、隔声、减震等措施，确保厂界噪声达标:合理布局、科学设定建筑物与交通干线的防噪声距离，严格落实规划区内交通主干道两侧的防护绿化带要求。</w:t>
                  </w:r>
                </w:p>
              </w:tc>
              <w:tc>
                <w:tcPr>
                  <w:tcW w:w="1447" w:type="pct"/>
                  <w:tcBorders>
                    <w:tl2br w:val="nil"/>
                    <w:tr2bl w:val="nil"/>
                  </w:tcBorders>
                  <w:vAlign w:val="center"/>
                </w:tcPr>
                <w:p>
                  <w:pPr>
                    <w:autoSpaceDE w:val="0"/>
                    <w:autoSpaceDN w:val="0"/>
                    <w:adjustRightInd w:val="0"/>
                    <w:snapToGrid w:val="0"/>
                    <w:rPr>
                      <w:rFonts w:eastAsiaTheme="minorEastAsia"/>
                      <w:color w:val="auto"/>
                      <w:kern w:val="0"/>
                      <w:szCs w:val="21"/>
                    </w:rPr>
                  </w:pPr>
                  <w:r>
                    <w:rPr>
                      <w:rFonts w:eastAsiaTheme="minorEastAsia"/>
                      <w:color w:val="auto"/>
                      <w:kern w:val="0"/>
                      <w:szCs w:val="21"/>
                    </w:rPr>
                    <w:t>项目噪声采取消声、隔声、减震等措施，厂界噪声能达标。</w:t>
                  </w:r>
                </w:p>
              </w:tc>
              <w:tc>
                <w:tcPr>
                  <w:tcW w:w="465" w:type="pct"/>
                  <w:tcBorders>
                    <w:tl2br w:val="nil"/>
                    <w:tr2bl w:val="nil"/>
                  </w:tcBorders>
                  <w:vAlign w:val="center"/>
                </w:tcPr>
                <w:p>
                  <w:pPr>
                    <w:autoSpaceDE w:val="0"/>
                    <w:autoSpaceDN w:val="0"/>
                    <w:adjustRightInd w:val="0"/>
                    <w:snapToGrid w:val="0"/>
                    <w:jc w:val="center"/>
                    <w:rPr>
                      <w:rFonts w:eastAsiaTheme="minorEastAsia"/>
                      <w:color w:val="auto"/>
                      <w:kern w:val="0"/>
                      <w:szCs w:val="21"/>
                    </w:rPr>
                  </w:pPr>
                  <w:r>
                    <w:rPr>
                      <w:rFonts w:eastAsiaTheme="minorEastAsia"/>
                      <w:color w:val="auto"/>
                      <w:kern w:val="0"/>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tcBorders>
                    <w:tl2br w:val="nil"/>
                    <w:tr2bl w:val="nil"/>
                  </w:tcBorders>
                  <w:vAlign w:val="center"/>
                </w:tcPr>
                <w:p>
                  <w:pPr>
                    <w:autoSpaceDE w:val="0"/>
                    <w:autoSpaceDN w:val="0"/>
                    <w:adjustRightInd w:val="0"/>
                    <w:snapToGrid w:val="0"/>
                    <w:jc w:val="center"/>
                    <w:rPr>
                      <w:rFonts w:eastAsiaTheme="minorEastAsia"/>
                      <w:color w:val="auto"/>
                      <w:kern w:val="0"/>
                      <w:szCs w:val="21"/>
                    </w:rPr>
                  </w:pPr>
                  <w:r>
                    <w:rPr>
                      <w:rFonts w:eastAsiaTheme="minorEastAsia"/>
                      <w:color w:val="auto"/>
                      <w:kern w:val="0"/>
                      <w:szCs w:val="21"/>
                    </w:rPr>
                    <w:t>5</w:t>
                  </w:r>
                </w:p>
              </w:tc>
              <w:tc>
                <w:tcPr>
                  <w:tcW w:w="2610" w:type="pct"/>
                  <w:tcBorders>
                    <w:tl2br w:val="nil"/>
                    <w:tr2bl w:val="nil"/>
                  </w:tcBorders>
                  <w:vAlign w:val="center"/>
                </w:tcPr>
                <w:p>
                  <w:pPr>
                    <w:autoSpaceDE w:val="0"/>
                    <w:autoSpaceDN w:val="0"/>
                    <w:adjustRightInd w:val="0"/>
                    <w:snapToGrid w:val="0"/>
                    <w:rPr>
                      <w:rFonts w:eastAsiaTheme="minorEastAsia"/>
                      <w:color w:val="auto"/>
                      <w:kern w:val="0"/>
                      <w:szCs w:val="21"/>
                    </w:rPr>
                  </w:pPr>
                  <w:r>
                    <w:rPr>
                      <w:rFonts w:eastAsiaTheme="minorEastAsia"/>
                      <w:color w:val="auto"/>
                      <w:kern w:val="0"/>
                      <w:szCs w:val="21"/>
                    </w:rPr>
                    <w:t>固体废物应按相关要求进行妥善收集、处理。加强一般工业固体废物综合利用和处置:危险废物交有相应危险废物处理资质的单位进行处置：生活垃圾经收集后由环卫部门</w:t>
                  </w:r>
                  <w:r>
                    <w:rPr>
                      <w:rFonts w:hint="eastAsia" w:eastAsiaTheme="minorEastAsia"/>
                      <w:color w:val="auto"/>
                      <w:kern w:val="0"/>
                      <w:szCs w:val="21"/>
                    </w:rPr>
                    <w:t>统一</w:t>
                  </w:r>
                  <w:r>
                    <w:rPr>
                      <w:rFonts w:eastAsiaTheme="minorEastAsia"/>
                      <w:color w:val="auto"/>
                      <w:kern w:val="0"/>
                      <w:szCs w:val="21"/>
                    </w:rPr>
                    <w:t>清运处置。严格执行土壤风险评估和污染土壤修复制度,对疑似污染地块开展调查评估，建立污染地块名录及其开发利用负面清单，土地开发利用必须满足规划用地土壤环境质量要求。</w:t>
                  </w:r>
                </w:p>
              </w:tc>
              <w:tc>
                <w:tcPr>
                  <w:tcW w:w="1447" w:type="pct"/>
                  <w:tcBorders>
                    <w:tl2br w:val="nil"/>
                    <w:tr2bl w:val="nil"/>
                  </w:tcBorders>
                  <w:vAlign w:val="center"/>
                </w:tcPr>
                <w:p>
                  <w:pPr>
                    <w:autoSpaceDE w:val="0"/>
                    <w:autoSpaceDN w:val="0"/>
                    <w:adjustRightInd w:val="0"/>
                    <w:snapToGrid w:val="0"/>
                    <w:rPr>
                      <w:rFonts w:eastAsiaTheme="minorEastAsia"/>
                      <w:color w:val="auto"/>
                      <w:kern w:val="0"/>
                      <w:szCs w:val="21"/>
                    </w:rPr>
                  </w:pPr>
                  <w:r>
                    <w:rPr>
                      <w:rFonts w:eastAsiaTheme="minorEastAsia"/>
                      <w:color w:val="auto"/>
                      <w:kern w:val="0"/>
                      <w:szCs w:val="21"/>
                    </w:rPr>
                    <w:t>项目危废分类暂存于危废暂存间，定期交有危废处置资质的单位处置，对固体废物进行妥善收集、处理。</w:t>
                  </w:r>
                </w:p>
              </w:tc>
              <w:tc>
                <w:tcPr>
                  <w:tcW w:w="465" w:type="pct"/>
                  <w:tcBorders>
                    <w:tl2br w:val="nil"/>
                    <w:tr2bl w:val="nil"/>
                  </w:tcBorders>
                  <w:vAlign w:val="center"/>
                </w:tcPr>
                <w:p>
                  <w:pPr>
                    <w:autoSpaceDE w:val="0"/>
                    <w:autoSpaceDN w:val="0"/>
                    <w:adjustRightInd w:val="0"/>
                    <w:snapToGrid w:val="0"/>
                    <w:jc w:val="center"/>
                    <w:rPr>
                      <w:rFonts w:eastAsiaTheme="minorEastAsia"/>
                      <w:color w:val="auto"/>
                      <w:kern w:val="0"/>
                      <w:szCs w:val="21"/>
                    </w:rPr>
                  </w:pPr>
                  <w:r>
                    <w:rPr>
                      <w:rFonts w:eastAsiaTheme="minorEastAsia"/>
                      <w:color w:val="auto"/>
                      <w:kern w:val="0"/>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76" w:type="pct"/>
                  <w:tcBorders>
                    <w:tl2br w:val="nil"/>
                    <w:tr2bl w:val="nil"/>
                  </w:tcBorders>
                  <w:vAlign w:val="center"/>
                </w:tcPr>
                <w:p>
                  <w:pPr>
                    <w:autoSpaceDE w:val="0"/>
                    <w:autoSpaceDN w:val="0"/>
                    <w:adjustRightInd w:val="0"/>
                    <w:snapToGrid w:val="0"/>
                    <w:jc w:val="center"/>
                    <w:rPr>
                      <w:rFonts w:eastAsiaTheme="minorEastAsia"/>
                      <w:color w:val="auto"/>
                      <w:kern w:val="0"/>
                      <w:szCs w:val="21"/>
                    </w:rPr>
                  </w:pPr>
                  <w:r>
                    <w:rPr>
                      <w:rFonts w:eastAsiaTheme="minorEastAsia"/>
                      <w:color w:val="auto"/>
                      <w:kern w:val="0"/>
                      <w:szCs w:val="21"/>
                    </w:rPr>
                    <w:t>6</w:t>
                  </w:r>
                </w:p>
              </w:tc>
              <w:tc>
                <w:tcPr>
                  <w:tcW w:w="2610" w:type="pct"/>
                  <w:tcBorders>
                    <w:tl2br w:val="nil"/>
                    <w:tr2bl w:val="nil"/>
                  </w:tcBorders>
                  <w:vAlign w:val="center"/>
                </w:tcPr>
                <w:p>
                  <w:pPr>
                    <w:autoSpaceDE w:val="0"/>
                    <w:autoSpaceDN w:val="0"/>
                    <w:adjustRightInd w:val="0"/>
                    <w:snapToGrid w:val="0"/>
                    <w:rPr>
                      <w:rFonts w:eastAsiaTheme="minorEastAsia"/>
                      <w:color w:val="auto"/>
                      <w:kern w:val="0"/>
                      <w:szCs w:val="21"/>
                    </w:rPr>
                  </w:pPr>
                  <w:r>
                    <w:rPr>
                      <w:rFonts w:eastAsiaTheme="minorEastAsia"/>
                      <w:color w:val="auto"/>
                      <w:kern w:val="0"/>
                      <w:szCs w:val="21"/>
                    </w:rPr>
                    <w:t>环境风险防范和应急处置是确保环境安全的重要工作内容，园区应在现有基础上完善环境风险防范体系建设，相关企业尤其是涉及危化品的企业应严格落实各项环境风险防范措施，防范突发性环境风险事故发生。完善环境污染事故应急预案，配备相应风险防范应急物资,定期做好应急演练,完善园区三级风险防范体系，保障环境安全。</w:t>
                  </w:r>
                </w:p>
              </w:tc>
              <w:tc>
                <w:tcPr>
                  <w:tcW w:w="1447" w:type="pct"/>
                  <w:tcBorders>
                    <w:tl2br w:val="nil"/>
                    <w:tr2bl w:val="nil"/>
                  </w:tcBorders>
                  <w:vAlign w:val="center"/>
                </w:tcPr>
                <w:p>
                  <w:pPr>
                    <w:autoSpaceDE w:val="0"/>
                    <w:autoSpaceDN w:val="0"/>
                    <w:adjustRightInd w:val="0"/>
                    <w:snapToGrid w:val="0"/>
                    <w:rPr>
                      <w:rFonts w:eastAsiaTheme="minorEastAsia"/>
                      <w:color w:val="auto"/>
                      <w:kern w:val="0"/>
                      <w:szCs w:val="21"/>
                    </w:rPr>
                  </w:pPr>
                  <w:r>
                    <w:rPr>
                      <w:rFonts w:eastAsiaTheme="minorEastAsia"/>
                      <w:color w:val="auto"/>
                      <w:kern w:val="0"/>
                      <w:szCs w:val="21"/>
                    </w:rPr>
                    <w:t>项目设有环境风险防范措施，无重大危险源。</w:t>
                  </w:r>
                </w:p>
              </w:tc>
              <w:tc>
                <w:tcPr>
                  <w:tcW w:w="465" w:type="pct"/>
                  <w:tcBorders>
                    <w:tl2br w:val="nil"/>
                    <w:tr2bl w:val="nil"/>
                  </w:tcBorders>
                  <w:vAlign w:val="center"/>
                </w:tcPr>
                <w:p>
                  <w:pPr>
                    <w:autoSpaceDE w:val="0"/>
                    <w:autoSpaceDN w:val="0"/>
                    <w:adjustRightInd w:val="0"/>
                    <w:snapToGrid w:val="0"/>
                    <w:jc w:val="center"/>
                    <w:rPr>
                      <w:rFonts w:eastAsiaTheme="minorEastAsia"/>
                      <w:color w:val="auto"/>
                      <w:kern w:val="0"/>
                      <w:szCs w:val="21"/>
                    </w:rPr>
                  </w:pPr>
                  <w:r>
                    <w:rPr>
                      <w:rFonts w:eastAsiaTheme="minorEastAsia"/>
                      <w:color w:val="auto"/>
                      <w:kern w:val="0"/>
                      <w:szCs w:val="21"/>
                    </w:rPr>
                    <w:t>符合</w:t>
                  </w:r>
                </w:p>
              </w:tc>
            </w:tr>
          </w:tbl>
          <w:p>
            <w:pPr>
              <w:pStyle w:val="49"/>
              <w:tabs>
                <w:tab w:val="left" w:pos="1306"/>
              </w:tabs>
              <w:wordWrap w:val="0"/>
              <w:autoSpaceDE/>
              <w:autoSpaceDN/>
              <w:snapToGrid w:val="0"/>
              <w:ind w:firstLine="480"/>
              <w:rPr>
                <w:b/>
                <w:bCs/>
                <w:color w:val="auto"/>
              </w:rPr>
            </w:pPr>
            <w:r>
              <w:rPr>
                <w:rFonts w:hint="eastAsia" w:eastAsiaTheme="minorEastAsia"/>
                <w:color w:val="auto"/>
              </w:rPr>
              <w:t>综上所述，本项目</w:t>
            </w:r>
            <w:r>
              <w:rPr>
                <w:rFonts w:eastAsiaTheme="minorEastAsia"/>
                <w:color w:val="auto"/>
              </w:rPr>
              <w:t>符合规划环评审查意见</w:t>
            </w:r>
            <w:r>
              <w:rPr>
                <w:rFonts w:hint="eastAsia" w:eastAsiaTheme="minorEastAsia"/>
                <w:color w:val="auto"/>
              </w:rPr>
              <w:t>函的相关要求</w:t>
            </w:r>
            <w:r>
              <w:rPr>
                <w:rFonts w:eastAsiaTheme="minorEastAsia"/>
                <w:color w:val="auto"/>
              </w:rPr>
              <w:t>。</w:t>
            </w:r>
          </w:p>
          <w:p>
            <w:pPr>
              <w:autoSpaceDE w:val="0"/>
              <w:autoSpaceDN w:val="0"/>
              <w:adjustRightInd w:val="0"/>
              <w:snapToGrid w:val="0"/>
              <w:spacing w:line="360" w:lineRule="auto"/>
              <w:ind w:firstLine="480" w:firstLineChars="200"/>
              <w:jc w:val="left"/>
              <w:rPr>
                <w:rFonts w:eastAsiaTheme="minorEastAsia"/>
                <w:color w:val="auto"/>
                <w:kern w:val="0"/>
                <w:sz w:val="24"/>
              </w:rPr>
            </w:pPr>
          </w:p>
          <w:p>
            <w:pPr>
              <w:autoSpaceDE w:val="0"/>
              <w:autoSpaceDN w:val="0"/>
              <w:adjustRightInd w:val="0"/>
              <w:snapToGrid w:val="0"/>
              <w:spacing w:line="360" w:lineRule="auto"/>
              <w:ind w:firstLine="480" w:firstLineChars="200"/>
              <w:jc w:val="left"/>
              <w:rPr>
                <w:rFonts w:eastAsiaTheme="minorEastAsia"/>
                <w:color w:val="auto"/>
                <w:kern w:val="0"/>
                <w:sz w:val="24"/>
              </w:rPr>
            </w:pPr>
          </w:p>
          <w:p>
            <w:pPr>
              <w:pStyle w:val="2"/>
              <w:rPr>
                <w:color w:val="auto"/>
              </w:rPr>
            </w:pPr>
          </w:p>
          <w:p>
            <w:pPr>
              <w:autoSpaceDE w:val="0"/>
              <w:autoSpaceDN w:val="0"/>
              <w:adjustRightInd w:val="0"/>
              <w:snapToGrid w:val="0"/>
              <w:spacing w:line="360" w:lineRule="auto"/>
              <w:ind w:firstLine="480" w:firstLineChars="200"/>
              <w:jc w:val="left"/>
              <w:rPr>
                <w:rFonts w:eastAsiaTheme="minorEastAsia"/>
                <w:color w:val="auto"/>
                <w:kern w:val="0"/>
                <w:sz w:val="24"/>
              </w:rPr>
            </w:pPr>
          </w:p>
          <w:p>
            <w:pPr>
              <w:autoSpaceDE w:val="0"/>
              <w:autoSpaceDN w:val="0"/>
              <w:adjustRightInd w:val="0"/>
              <w:snapToGrid w:val="0"/>
              <w:spacing w:line="360" w:lineRule="auto"/>
              <w:ind w:firstLine="480" w:firstLineChars="200"/>
              <w:jc w:val="left"/>
              <w:rPr>
                <w:rFonts w:eastAsiaTheme="minorEastAsia"/>
                <w:color w:val="auto"/>
                <w:kern w:val="0"/>
                <w:sz w:val="24"/>
              </w:rPr>
            </w:pPr>
          </w:p>
          <w:p>
            <w:pPr>
              <w:autoSpaceDE w:val="0"/>
              <w:autoSpaceDN w:val="0"/>
              <w:adjustRightInd w:val="0"/>
              <w:snapToGrid w:val="0"/>
              <w:spacing w:line="360" w:lineRule="auto"/>
              <w:ind w:firstLine="480" w:firstLineChars="200"/>
              <w:jc w:val="left"/>
              <w:rPr>
                <w:rFonts w:eastAsiaTheme="minorEastAsia"/>
                <w:color w:val="auto"/>
                <w:kern w:val="0"/>
                <w:sz w:val="24"/>
              </w:rPr>
            </w:pPr>
          </w:p>
          <w:p>
            <w:pPr>
              <w:autoSpaceDE w:val="0"/>
              <w:autoSpaceDN w:val="0"/>
              <w:adjustRightInd w:val="0"/>
              <w:snapToGrid w:val="0"/>
              <w:spacing w:line="360" w:lineRule="auto"/>
              <w:ind w:firstLine="480" w:firstLineChars="200"/>
              <w:jc w:val="left"/>
              <w:rPr>
                <w:rFonts w:eastAsiaTheme="minorEastAsia"/>
                <w:color w:val="auto"/>
                <w:kern w:val="0"/>
                <w:sz w:val="24"/>
              </w:rPr>
            </w:pPr>
          </w:p>
          <w:p>
            <w:pPr>
              <w:autoSpaceDE w:val="0"/>
              <w:autoSpaceDN w:val="0"/>
              <w:adjustRightInd w:val="0"/>
              <w:snapToGrid w:val="0"/>
              <w:spacing w:line="360" w:lineRule="auto"/>
              <w:ind w:firstLine="480" w:firstLineChars="200"/>
              <w:jc w:val="left"/>
              <w:rPr>
                <w:rFonts w:eastAsiaTheme="minorEastAsia"/>
                <w:color w:val="auto"/>
                <w:kern w:val="0"/>
                <w:sz w:val="24"/>
              </w:rPr>
            </w:pPr>
          </w:p>
          <w:p>
            <w:pPr>
              <w:autoSpaceDE w:val="0"/>
              <w:autoSpaceDN w:val="0"/>
              <w:adjustRightInd w:val="0"/>
              <w:snapToGrid w:val="0"/>
              <w:spacing w:line="360" w:lineRule="auto"/>
              <w:ind w:firstLine="480" w:firstLineChars="200"/>
              <w:jc w:val="left"/>
              <w:rPr>
                <w:rFonts w:eastAsiaTheme="minorEastAsia"/>
                <w:color w:val="auto"/>
                <w:kern w:val="0"/>
                <w:sz w:val="24"/>
              </w:rPr>
            </w:pPr>
          </w:p>
          <w:p>
            <w:pPr>
              <w:autoSpaceDE w:val="0"/>
              <w:autoSpaceDN w:val="0"/>
              <w:adjustRightInd w:val="0"/>
              <w:snapToGrid w:val="0"/>
              <w:spacing w:line="360" w:lineRule="auto"/>
              <w:ind w:firstLine="480" w:firstLineChars="200"/>
              <w:jc w:val="left"/>
              <w:rPr>
                <w:rFonts w:eastAsiaTheme="minorEastAsia"/>
                <w:color w:val="auto"/>
                <w:kern w:val="0"/>
                <w:sz w:val="24"/>
              </w:rPr>
            </w:pPr>
          </w:p>
          <w:p>
            <w:pPr>
              <w:autoSpaceDE w:val="0"/>
              <w:autoSpaceDN w:val="0"/>
              <w:adjustRightInd w:val="0"/>
              <w:snapToGrid w:val="0"/>
              <w:spacing w:line="360" w:lineRule="auto"/>
              <w:jc w:val="left"/>
              <w:rPr>
                <w:rFonts w:ascii="宋体" w:hAnsi="宋体" w:cs="宋体"/>
                <w:color w:val="auto"/>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04" w:hRule="atLeast"/>
          <w:jc w:val="center"/>
        </w:trPr>
        <w:tc>
          <w:tcPr>
            <w:tcW w:w="864" w:type="dxa"/>
            <w:vAlign w:val="center"/>
          </w:tcPr>
          <w:p>
            <w:pPr>
              <w:autoSpaceDE w:val="0"/>
              <w:autoSpaceDN w:val="0"/>
              <w:adjustRightInd w:val="0"/>
              <w:snapToGrid w:val="0"/>
              <w:jc w:val="center"/>
              <w:rPr>
                <w:rFonts w:ascii="宋体" w:hAnsi="宋体" w:cs="宋体"/>
                <w:color w:val="auto"/>
                <w:kern w:val="0"/>
                <w:sz w:val="24"/>
              </w:rPr>
            </w:pPr>
            <w:r>
              <w:rPr>
                <w:rFonts w:hint="eastAsia" w:ascii="宋体" w:hAnsi="宋体" w:cs="宋体"/>
                <w:color w:val="auto"/>
                <w:kern w:val="0"/>
                <w:sz w:val="24"/>
              </w:rPr>
              <w:t>其他符合性分析</w:t>
            </w:r>
          </w:p>
        </w:tc>
        <w:tc>
          <w:tcPr>
            <w:tcW w:w="8006" w:type="dxa"/>
          </w:tcPr>
          <w:p>
            <w:pPr>
              <w:pStyle w:val="13"/>
              <w:adjustRightInd w:val="0"/>
              <w:snapToGrid w:val="0"/>
              <w:spacing w:line="360" w:lineRule="auto"/>
              <w:rPr>
                <w:rFonts w:ascii="Times New Roman" w:hAnsi="Times New Roman" w:cs="Times New Roman"/>
                <w:b/>
                <w:color w:val="auto"/>
                <w:sz w:val="24"/>
                <w:szCs w:val="24"/>
              </w:rPr>
            </w:pPr>
            <w:r>
              <w:rPr>
                <w:rFonts w:hint="eastAsia" w:ascii="Times New Roman" w:hAnsi="Times New Roman" w:cs="Times New Roman"/>
                <w:b/>
                <w:color w:val="auto"/>
                <w:sz w:val="24"/>
                <w:szCs w:val="24"/>
              </w:rPr>
              <w:t>1.</w:t>
            </w:r>
            <w:r>
              <w:rPr>
                <w:rFonts w:ascii="Times New Roman" w:hAnsi="Times New Roman" w:cs="Times New Roman"/>
                <w:b/>
                <w:color w:val="auto"/>
                <w:sz w:val="24"/>
                <w:szCs w:val="24"/>
              </w:rPr>
              <w:t>产业政策符合性分析</w:t>
            </w:r>
          </w:p>
          <w:p>
            <w:pPr>
              <w:adjustRightInd w:val="0"/>
              <w:snapToGrid w:val="0"/>
              <w:spacing w:line="360" w:lineRule="auto"/>
              <w:ind w:firstLine="480" w:firstLineChars="200"/>
              <w:rPr>
                <w:color w:val="auto"/>
                <w:sz w:val="24"/>
              </w:rPr>
            </w:pPr>
            <w:r>
              <w:rPr>
                <w:color w:val="auto"/>
                <w:sz w:val="24"/>
              </w:rPr>
              <w:t>本项目主要</w:t>
            </w:r>
            <w:r>
              <w:rPr>
                <w:rFonts w:hint="eastAsia"/>
                <w:color w:val="auto"/>
                <w:sz w:val="24"/>
              </w:rPr>
              <w:t>生产汽车零部件</w:t>
            </w:r>
            <w:r>
              <w:rPr>
                <w:color w:val="auto"/>
                <w:sz w:val="24"/>
              </w:rPr>
              <w:t>，不属于《产业结构调整指导目录（2019年本）》中鼓励类、限制类、淘汰类项目，属于允许类项目，因此本项目符合国家产业政策。本项目已获得</w:t>
            </w:r>
            <w:r>
              <w:rPr>
                <w:rFonts w:hint="eastAsia" w:ascii="宋体" w:hAnsi="宋体" w:cs="宋体"/>
                <w:color w:val="auto"/>
                <w:sz w:val="24"/>
              </w:rPr>
              <w:t>重庆市铜梁区发展改革委员会</w:t>
            </w:r>
            <w:r>
              <w:rPr>
                <w:color w:val="auto"/>
                <w:sz w:val="24"/>
              </w:rPr>
              <w:t>颁发的《重庆市企业投资项目备案证》（项目代码：</w:t>
            </w:r>
            <w:r>
              <w:rPr>
                <w:rFonts w:hint="eastAsia"/>
                <w:color w:val="auto"/>
                <w:sz w:val="24"/>
              </w:rPr>
              <w:t>2302</w:t>
            </w:r>
            <w:r>
              <w:rPr>
                <w:color w:val="auto"/>
                <w:sz w:val="24"/>
              </w:rPr>
              <w:t>-500</w:t>
            </w:r>
            <w:r>
              <w:rPr>
                <w:rFonts w:hint="eastAsia"/>
                <w:color w:val="auto"/>
                <w:sz w:val="24"/>
              </w:rPr>
              <w:t>151</w:t>
            </w:r>
            <w:r>
              <w:rPr>
                <w:color w:val="auto"/>
                <w:sz w:val="24"/>
              </w:rPr>
              <w:t>-0</w:t>
            </w:r>
            <w:r>
              <w:rPr>
                <w:rFonts w:hint="eastAsia"/>
                <w:color w:val="auto"/>
                <w:sz w:val="24"/>
              </w:rPr>
              <w:t>4</w:t>
            </w:r>
            <w:r>
              <w:rPr>
                <w:color w:val="auto"/>
                <w:sz w:val="24"/>
              </w:rPr>
              <w:t>-0</w:t>
            </w:r>
            <w:r>
              <w:rPr>
                <w:rFonts w:hint="eastAsia"/>
                <w:color w:val="auto"/>
                <w:sz w:val="24"/>
              </w:rPr>
              <w:t>1</w:t>
            </w:r>
            <w:r>
              <w:rPr>
                <w:color w:val="auto"/>
                <w:sz w:val="24"/>
              </w:rPr>
              <w:t>-</w:t>
            </w:r>
            <w:r>
              <w:rPr>
                <w:rFonts w:hint="eastAsia"/>
                <w:color w:val="auto"/>
                <w:sz w:val="24"/>
              </w:rPr>
              <w:t>196772</w:t>
            </w:r>
            <w:r>
              <w:rPr>
                <w:color w:val="auto"/>
                <w:sz w:val="24"/>
              </w:rPr>
              <w:t>）</w:t>
            </w:r>
          </w:p>
          <w:p>
            <w:pPr>
              <w:pStyle w:val="13"/>
              <w:adjustRightInd w:val="0"/>
              <w:snapToGrid w:val="0"/>
              <w:spacing w:line="36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2.与“三线一单”的符合性分析</w:t>
            </w:r>
          </w:p>
          <w:p>
            <w:pPr>
              <w:adjustRightInd w:val="0"/>
              <w:snapToGrid w:val="0"/>
              <w:spacing w:line="360" w:lineRule="auto"/>
              <w:ind w:firstLine="480" w:firstLineChars="200"/>
              <w:rPr>
                <w:color w:val="auto"/>
                <w:sz w:val="24"/>
              </w:rPr>
            </w:pPr>
            <w:r>
              <w:rPr>
                <w:color w:val="auto"/>
                <w:sz w:val="24"/>
              </w:rPr>
              <w:t>本项目位于</w:t>
            </w:r>
            <w:r>
              <w:rPr>
                <w:rFonts w:hint="eastAsia"/>
                <w:color w:val="auto"/>
                <w:spacing w:val="8"/>
                <w:sz w:val="24"/>
                <w:shd w:val="clear" w:color="auto" w:fill="FFFFFF"/>
              </w:rPr>
              <w:t>重庆市铜梁区东城街道祝英南路7号</w:t>
            </w:r>
            <w:r>
              <w:rPr>
                <w:color w:val="auto"/>
                <w:kern w:val="0"/>
                <w:sz w:val="24"/>
                <w:lang w:bidi="ar"/>
              </w:rPr>
              <w:t>，</w:t>
            </w:r>
            <w:r>
              <w:rPr>
                <w:color w:val="auto"/>
                <w:sz w:val="24"/>
              </w:rPr>
              <w:t>根据《</w:t>
            </w:r>
            <w:bookmarkStart w:id="1" w:name="tbx_bt"/>
            <w:r>
              <w:rPr>
                <w:color w:val="auto"/>
                <w:sz w:val="24"/>
              </w:rPr>
              <w:t>重庆市生态环境局关于印发&lt;规划环评“三线一单”符合性分析技术要点（试行）、&lt;建设项目环评“三线一单”符合性分析技术要点（试行）&gt;的通知</w:t>
            </w:r>
            <w:bookmarkEnd w:id="1"/>
            <w:r>
              <w:rPr>
                <w:color w:val="auto"/>
                <w:sz w:val="24"/>
              </w:rPr>
              <w:t>》</w:t>
            </w:r>
            <w:bookmarkStart w:id="2" w:name="gwz"/>
            <w:r>
              <w:rPr>
                <w:color w:val="auto"/>
                <w:sz w:val="24"/>
              </w:rPr>
              <w:t>（渝环函[2022]</w:t>
            </w:r>
            <w:bookmarkStart w:id="3" w:name="gwqh"/>
            <w:r>
              <w:rPr>
                <w:color w:val="auto"/>
                <w:sz w:val="24"/>
              </w:rPr>
              <w:t>397</w:t>
            </w:r>
            <w:bookmarkEnd w:id="3"/>
            <w:r>
              <w:rPr>
                <w:color w:val="auto"/>
                <w:sz w:val="24"/>
              </w:rPr>
              <w:t>号）</w:t>
            </w:r>
            <w:bookmarkEnd w:id="2"/>
            <w:r>
              <w:rPr>
                <w:color w:val="auto"/>
                <w:sz w:val="24"/>
              </w:rPr>
              <w:t>，本项目与“三线一单”符合性见表1.</w:t>
            </w:r>
            <w:r>
              <w:rPr>
                <w:rFonts w:hint="eastAsia"/>
                <w:color w:val="auto"/>
                <w:sz w:val="24"/>
              </w:rPr>
              <w:t>2</w:t>
            </w:r>
            <w:r>
              <w:rPr>
                <w:color w:val="auto"/>
                <w:sz w:val="24"/>
              </w:rPr>
              <w:t>。</w:t>
            </w:r>
          </w:p>
          <w:p>
            <w:pPr>
              <w:pStyle w:val="44"/>
              <w:spacing w:line="360" w:lineRule="auto"/>
              <w:ind w:firstLine="0" w:firstLineChars="0"/>
              <w:jc w:val="center"/>
              <w:rPr>
                <w:color w:val="auto"/>
                <w:sz w:val="21"/>
                <w:szCs w:val="21"/>
              </w:rPr>
            </w:pPr>
            <w:r>
              <w:rPr>
                <w:color w:val="auto"/>
                <w:sz w:val="21"/>
                <w:szCs w:val="21"/>
              </w:rPr>
              <w:t>表1.</w:t>
            </w:r>
            <w:r>
              <w:rPr>
                <w:rFonts w:hint="eastAsia"/>
                <w:color w:val="auto"/>
                <w:sz w:val="21"/>
                <w:szCs w:val="21"/>
              </w:rPr>
              <w:t>2</w:t>
            </w:r>
            <w:r>
              <w:rPr>
                <w:color w:val="auto"/>
                <w:sz w:val="21"/>
                <w:szCs w:val="21"/>
              </w:rPr>
              <w:t xml:space="preserve"> 建设项目与“三线一单”管控要求的符合性分析表</w:t>
            </w:r>
          </w:p>
          <w:tbl>
            <w:tblPr>
              <w:tblStyle w:val="22"/>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800"/>
              <w:gridCol w:w="953"/>
              <w:gridCol w:w="2377"/>
              <w:gridCol w:w="1686"/>
              <w:gridCol w:w="115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1" w:type="dxa"/>
                  <w:gridSpan w:val="3"/>
                  <w:tcBorders>
                    <w:tl2br w:val="nil"/>
                    <w:tr2bl w:val="nil"/>
                  </w:tcBorders>
                  <w:vAlign w:val="center"/>
                </w:tcPr>
                <w:p>
                  <w:pPr>
                    <w:snapToGrid w:val="0"/>
                    <w:jc w:val="center"/>
                    <w:rPr>
                      <w:bCs/>
                      <w:color w:val="auto"/>
                      <w:szCs w:val="21"/>
                    </w:rPr>
                  </w:pPr>
                  <w:r>
                    <w:rPr>
                      <w:bCs/>
                      <w:color w:val="auto"/>
                      <w:szCs w:val="21"/>
                    </w:rPr>
                    <w:t>环境管控单元编码</w:t>
                  </w:r>
                </w:p>
              </w:tc>
              <w:tc>
                <w:tcPr>
                  <w:tcW w:w="2377" w:type="dxa"/>
                  <w:tcBorders>
                    <w:tl2br w:val="nil"/>
                    <w:tr2bl w:val="nil"/>
                  </w:tcBorders>
                  <w:vAlign w:val="center"/>
                </w:tcPr>
                <w:p>
                  <w:pPr>
                    <w:snapToGrid w:val="0"/>
                    <w:jc w:val="center"/>
                    <w:rPr>
                      <w:bCs/>
                      <w:color w:val="auto"/>
                      <w:szCs w:val="21"/>
                    </w:rPr>
                  </w:pPr>
                  <w:r>
                    <w:rPr>
                      <w:bCs/>
                      <w:color w:val="auto"/>
                      <w:szCs w:val="21"/>
                    </w:rPr>
                    <w:t>环境管控单元名称</w:t>
                  </w:r>
                </w:p>
              </w:tc>
              <w:tc>
                <w:tcPr>
                  <w:tcW w:w="2842" w:type="dxa"/>
                  <w:gridSpan w:val="2"/>
                  <w:tcBorders>
                    <w:tl2br w:val="nil"/>
                    <w:tr2bl w:val="nil"/>
                  </w:tcBorders>
                  <w:vAlign w:val="center"/>
                </w:tcPr>
                <w:p>
                  <w:pPr>
                    <w:snapToGrid w:val="0"/>
                    <w:jc w:val="center"/>
                    <w:rPr>
                      <w:bCs/>
                      <w:color w:val="auto"/>
                      <w:szCs w:val="21"/>
                    </w:rPr>
                  </w:pPr>
                  <w:r>
                    <w:rPr>
                      <w:bCs/>
                      <w:color w:val="auto"/>
                      <w:szCs w:val="21"/>
                    </w:rPr>
                    <w:t>环境管控单元类型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71" w:type="dxa"/>
                  <w:gridSpan w:val="3"/>
                  <w:tcBorders>
                    <w:tl2br w:val="nil"/>
                    <w:tr2bl w:val="nil"/>
                  </w:tcBorders>
                  <w:vAlign w:val="center"/>
                </w:tcPr>
                <w:p>
                  <w:pPr>
                    <w:widowControl/>
                    <w:jc w:val="center"/>
                    <w:rPr>
                      <w:bCs/>
                      <w:color w:val="auto"/>
                      <w:szCs w:val="21"/>
                    </w:rPr>
                  </w:pPr>
                  <w:r>
                    <w:rPr>
                      <w:color w:val="auto"/>
                      <w:kern w:val="0"/>
                      <w:szCs w:val="21"/>
                      <w:lang w:bidi="ar"/>
                    </w:rPr>
                    <w:t>ZH5001512000</w:t>
                  </w:r>
                  <w:r>
                    <w:rPr>
                      <w:rFonts w:hint="eastAsia"/>
                      <w:color w:val="auto"/>
                      <w:kern w:val="0"/>
                      <w:szCs w:val="21"/>
                      <w:lang w:bidi="ar"/>
                    </w:rPr>
                    <w:t>2</w:t>
                  </w:r>
                </w:p>
              </w:tc>
              <w:tc>
                <w:tcPr>
                  <w:tcW w:w="2377" w:type="dxa"/>
                  <w:tcBorders>
                    <w:tl2br w:val="nil"/>
                    <w:tr2bl w:val="nil"/>
                  </w:tcBorders>
                  <w:vAlign w:val="center"/>
                </w:tcPr>
                <w:p>
                  <w:pPr>
                    <w:snapToGrid w:val="0"/>
                    <w:jc w:val="center"/>
                    <w:rPr>
                      <w:bCs/>
                      <w:color w:val="auto"/>
                      <w:szCs w:val="21"/>
                    </w:rPr>
                  </w:pPr>
                  <w:r>
                    <w:rPr>
                      <w:rFonts w:hint="eastAsia"/>
                      <w:color w:val="auto"/>
                      <w:kern w:val="0"/>
                      <w:szCs w:val="21"/>
                    </w:rPr>
                    <w:t>淮远河众志桥</w:t>
                  </w:r>
                </w:p>
              </w:tc>
              <w:tc>
                <w:tcPr>
                  <w:tcW w:w="2842" w:type="dxa"/>
                  <w:gridSpan w:val="2"/>
                  <w:tcBorders>
                    <w:tl2br w:val="nil"/>
                    <w:tr2bl w:val="nil"/>
                  </w:tcBorders>
                  <w:vAlign w:val="center"/>
                </w:tcPr>
                <w:p>
                  <w:pPr>
                    <w:snapToGrid w:val="0"/>
                    <w:jc w:val="center"/>
                    <w:rPr>
                      <w:bCs/>
                      <w:color w:val="auto"/>
                      <w:szCs w:val="21"/>
                    </w:rPr>
                  </w:pPr>
                  <w:r>
                    <w:rPr>
                      <w:bCs/>
                      <w:color w:val="auto"/>
                      <w:szCs w:val="21"/>
                    </w:rPr>
                    <w:t>重点管控单元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tcBorders>
                    <w:tl2br w:val="nil"/>
                    <w:tr2bl w:val="nil"/>
                  </w:tcBorders>
                  <w:vAlign w:val="center"/>
                </w:tcPr>
                <w:p>
                  <w:pPr>
                    <w:snapToGrid w:val="0"/>
                    <w:jc w:val="center"/>
                    <w:rPr>
                      <w:bCs/>
                      <w:color w:val="auto"/>
                      <w:szCs w:val="21"/>
                    </w:rPr>
                  </w:pPr>
                  <w:r>
                    <w:rPr>
                      <w:bCs/>
                      <w:color w:val="auto"/>
                      <w:szCs w:val="21"/>
                    </w:rPr>
                    <w:t>管控要求层级</w:t>
                  </w:r>
                </w:p>
              </w:tc>
              <w:tc>
                <w:tcPr>
                  <w:tcW w:w="800" w:type="dxa"/>
                  <w:tcBorders>
                    <w:tl2br w:val="nil"/>
                    <w:tr2bl w:val="nil"/>
                  </w:tcBorders>
                  <w:vAlign w:val="center"/>
                </w:tcPr>
                <w:p>
                  <w:pPr>
                    <w:snapToGrid w:val="0"/>
                    <w:jc w:val="center"/>
                    <w:rPr>
                      <w:bCs/>
                      <w:color w:val="auto"/>
                      <w:szCs w:val="21"/>
                    </w:rPr>
                  </w:pPr>
                  <w:r>
                    <w:rPr>
                      <w:bCs/>
                      <w:color w:val="auto"/>
                      <w:szCs w:val="21"/>
                    </w:rPr>
                    <w:t>管控</w:t>
                  </w:r>
                </w:p>
                <w:p>
                  <w:pPr>
                    <w:snapToGrid w:val="0"/>
                    <w:jc w:val="center"/>
                    <w:rPr>
                      <w:bCs/>
                      <w:color w:val="auto"/>
                      <w:szCs w:val="21"/>
                    </w:rPr>
                  </w:pPr>
                  <w:r>
                    <w:rPr>
                      <w:bCs/>
                      <w:color w:val="auto"/>
                      <w:szCs w:val="21"/>
                    </w:rPr>
                    <w:t>类型</w:t>
                  </w:r>
                </w:p>
              </w:tc>
              <w:tc>
                <w:tcPr>
                  <w:tcW w:w="3330" w:type="dxa"/>
                  <w:gridSpan w:val="2"/>
                  <w:tcBorders>
                    <w:tl2br w:val="nil"/>
                    <w:tr2bl w:val="nil"/>
                  </w:tcBorders>
                  <w:vAlign w:val="center"/>
                </w:tcPr>
                <w:p>
                  <w:pPr>
                    <w:snapToGrid w:val="0"/>
                    <w:jc w:val="center"/>
                    <w:rPr>
                      <w:bCs/>
                      <w:color w:val="auto"/>
                      <w:szCs w:val="21"/>
                    </w:rPr>
                  </w:pPr>
                  <w:r>
                    <w:rPr>
                      <w:bCs/>
                      <w:color w:val="auto"/>
                      <w:szCs w:val="21"/>
                    </w:rPr>
                    <w:t>管控要求</w:t>
                  </w:r>
                </w:p>
              </w:tc>
              <w:tc>
                <w:tcPr>
                  <w:tcW w:w="1686" w:type="dxa"/>
                  <w:tcBorders>
                    <w:tl2br w:val="nil"/>
                    <w:tr2bl w:val="nil"/>
                  </w:tcBorders>
                  <w:vAlign w:val="center"/>
                </w:tcPr>
                <w:p>
                  <w:pPr>
                    <w:snapToGrid w:val="0"/>
                    <w:jc w:val="center"/>
                    <w:rPr>
                      <w:bCs/>
                      <w:color w:val="auto"/>
                      <w:szCs w:val="21"/>
                    </w:rPr>
                  </w:pPr>
                  <w:r>
                    <w:rPr>
                      <w:bCs/>
                      <w:color w:val="auto"/>
                      <w:szCs w:val="21"/>
                    </w:rPr>
                    <w:t>建设项目</w:t>
                  </w:r>
                </w:p>
                <w:p>
                  <w:pPr>
                    <w:snapToGrid w:val="0"/>
                    <w:jc w:val="center"/>
                    <w:rPr>
                      <w:bCs/>
                      <w:color w:val="auto"/>
                      <w:szCs w:val="21"/>
                    </w:rPr>
                  </w:pPr>
                  <w:r>
                    <w:rPr>
                      <w:bCs/>
                      <w:color w:val="auto"/>
                      <w:szCs w:val="21"/>
                    </w:rPr>
                    <w:t>相关情况</w:t>
                  </w:r>
                </w:p>
              </w:tc>
              <w:tc>
                <w:tcPr>
                  <w:tcW w:w="1156" w:type="dxa"/>
                  <w:tcBorders>
                    <w:tl2br w:val="nil"/>
                    <w:tr2bl w:val="nil"/>
                  </w:tcBorders>
                  <w:vAlign w:val="center"/>
                </w:tcPr>
                <w:p>
                  <w:pPr>
                    <w:snapToGrid w:val="0"/>
                    <w:jc w:val="center"/>
                    <w:rPr>
                      <w:bCs/>
                      <w:color w:val="auto"/>
                      <w:szCs w:val="21"/>
                    </w:rPr>
                  </w:pPr>
                  <w:r>
                    <w:rPr>
                      <w:bCs/>
                      <w:color w:val="auto"/>
                      <w:szCs w:val="21"/>
                    </w:rPr>
                    <w:t>符合性分析结论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vMerge w:val="restart"/>
                  <w:tcBorders>
                    <w:tl2br w:val="nil"/>
                    <w:tr2bl w:val="nil"/>
                  </w:tcBorders>
                  <w:vAlign w:val="center"/>
                </w:tcPr>
                <w:p>
                  <w:pPr>
                    <w:snapToGrid w:val="0"/>
                    <w:jc w:val="center"/>
                    <w:rPr>
                      <w:color w:val="auto"/>
                      <w:szCs w:val="21"/>
                    </w:rPr>
                  </w:pPr>
                  <w:r>
                    <w:rPr>
                      <w:color w:val="auto"/>
                      <w:szCs w:val="21"/>
                    </w:rPr>
                    <w:t>全市</w:t>
                  </w:r>
                </w:p>
                <w:p>
                  <w:pPr>
                    <w:snapToGrid w:val="0"/>
                    <w:jc w:val="center"/>
                    <w:rPr>
                      <w:color w:val="auto"/>
                      <w:szCs w:val="21"/>
                    </w:rPr>
                  </w:pPr>
                  <w:r>
                    <w:rPr>
                      <w:color w:val="auto"/>
                      <w:szCs w:val="21"/>
                    </w:rPr>
                    <w:t>总体</w:t>
                  </w:r>
                </w:p>
                <w:p>
                  <w:pPr>
                    <w:snapToGrid w:val="0"/>
                    <w:jc w:val="center"/>
                    <w:rPr>
                      <w:color w:val="auto"/>
                      <w:szCs w:val="21"/>
                    </w:rPr>
                  </w:pPr>
                  <w:r>
                    <w:rPr>
                      <w:color w:val="auto"/>
                      <w:szCs w:val="21"/>
                    </w:rPr>
                    <w:t>管控</w:t>
                  </w:r>
                </w:p>
                <w:p>
                  <w:pPr>
                    <w:snapToGrid w:val="0"/>
                    <w:jc w:val="center"/>
                    <w:rPr>
                      <w:color w:val="auto"/>
                      <w:szCs w:val="21"/>
                    </w:rPr>
                  </w:pPr>
                  <w:r>
                    <w:rPr>
                      <w:color w:val="auto"/>
                      <w:szCs w:val="21"/>
                    </w:rPr>
                    <w:t>要求</w:t>
                  </w:r>
                </w:p>
              </w:tc>
              <w:tc>
                <w:tcPr>
                  <w:tcW w:w="800" w:type="dxa"/>
                  <w:vMerge w:val="restart"/>
                  <w:tcBorders>
                    <w:tl2br w:val="nil"/>
                    <w:tr2bl w:val="nil"/>
                  </w:tcBorders>
                  <w:vAlign w:val="center"/>
                </w:tcPr>
                <w:p>
                  <w:pPr>
                    <w:snapToGrid w:val="0"/>
                    <w:jc w:val="center"/>
                    <w:rPr>
                      <w:color w:val="auto"/>
                      <w:szCs w:val="21"/>
                    </w:rPr>
                  </w:pPr>
                  <w:r>
                    <w:rPr>
                      <w:color w:val="auto"/>
                      <w:szCs w:val="21"/>
                    </w:rPr>
                    <w:t>空间</w:t>
                  </w:r>
                </w:p>
                <w:p>
                  <w:pPr>
                    <w:snapToGrid w:val="0"/>
                    <w:jc w:val="center"/>
                    <w:rPr>
                      <w:color w:val="auto"/>
                      <w:szCs w:val="21"/>
                    </w:rPr>
                  </w:pPr>
                  <w:r>
                    <w:rPr>
                      <w:color w:val="auto"/>
                      <w:szCs w:val="21"/>
                    </w:rPr>
                    <w:t>布局</w:t>
                  </w:r>
                </w:p>
                <w:p>
                  <w:pPr>
                    <w:snapToGrid w:val="0"/>
                    <w:jc w:val="center"/>
                    <w:rPr>
                      <w:color w:val="auto"/>
                      <w:szCs w:val="21"/>
                    </w:rPr>
                  </w:pPr>
                  <w:r>
                    <w:rPr>
                      <w:color w:val="auto"/>
                      <w:szCs w:val="21"/>
                    </w:rPr>
                    <w:t>约束</w:t>
                  </w:r>
                </w:p>
              </w:tc>
              <w:tc>
                <w:tcPr>
                  <w:tcW w:w="3330" w:type="dxa"/>
                  <w:gridSpan w:val="2"/>
                  <w:tcBorders>
                    <w:tl2br w:val="nil"/>
                    <w:tr2bl w:val="nil"/>
                  </w:tcBorders>
                  <w:vAlign w:val="center"/>
                </w:tcPr>
                <w:p>
                  <w:pPr>
                    <w:autoSpaceDE w:val="0"/>
                    <w:autoSpaceDN w:val="0"/>
                    <w:adjustRightInd w:val="0"/>
                    <w:jc w:val="left"/>
                    <w:rPr>
                      <w:color w:val="auto"/>
                      <w:szCs w:val="21"/>
                    </w:rPr>
                  </w:pPr>
                  <w:r>
                    <w:rPr>
                      <w:color w:val="auto"/>
                      <w:szCs w:val="21"/>
                    </w:rPr>
                    <w:t>严格执行《产业结构调整指导目录》、《重庆市产业投资准入工作手册》、《重庆市工业项目环境准入规定》、《重庆市长江经济带发展负面清单指南实施细则（试行）》等文件要求，优化重点区域、流域、产业的空间布局。对不符合准入要求的既有项目，依法依规实施整改、退出等分类治理方案。</w:t>
                  </w:r>
                </w:p>
              </w:tc>
              <w:tc>
                <w:tcPr>
                  <w:tcW w:w="1686" w:type="dxa"/>
                  <w:tcBorders>
                    <w:tl2br w:val="nil"/>
                    <w:tr2bl w:val="nil"/>
                  </w:tcBorders>
                  <w:vAlign w:val="center"/>
                </w:tcPr>
                <w:p>
                  <w:pPr>
                    <w:autoSpaceDE w:val="0"/>
                    <w:autoSpaceDN w:val="0"/>
                    <w:adjustRightInd w:val="0"/>
                    <w:jc w:val="left"/>
                    <w:rPr>
                      <w:color w:val="auto"/>
                      <w:szCs w:val="21"/>
                    </w:rPr>
                  </w:pPr>
                  <w:r>
                    <w:rPr>
                      <w:color w:val="auto"/>
                      <w:szCs w:val="21"/>
                    </w:rPr>
                    <w:t>项目符合以上产业文件的相关要求。</w:t>
                  </w:r>
                </w:p>
              </w:tc>
              <w:tc>
                <w:tcPr>
                  <w:tcW w:w="1156" w:type="dxa"/>
                  <w:tcBorders>
                    <w:tl2br w:val="nil"/>
                    <w:tr2bl w:val="nil"/>
                  </w:tcBorders>
                  <w:vAlign w:val="center"/>
                </w:tcPr>
                <w:p>
                  <w:pPr>
                    <w:snapToGrid w:val="0"/>
                    <w:jc w:val="center"/>
                    <w:rPr>
                      <w:color w:val="auto"/>
                      <w:szCs w:val="21"/>
                    </w:rPr>
                  </w:pPr>
                  <w:r>
                    <w:rPr>
                      <w:rFonts w:hint="eastAsia"/>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vMerge w:val="continue"/>
                  <w:tcBorders>
                    <w:tl2br w:val="nil"/>
                    <w:tr2bl w:val="nil"/>
                  </w:tcBorders>
                  <w:vAlign w:val="center"/>
                </w:tcPr>
                <w:p>
                  <w:pPr>
                    <w:snapToGrid w:val="0"/>
                    <w:jc w:val="center"/>
                    <w:rPr>
                      <w:color w:val="auto"/>
                      <w:szCs w:val="21"/>
                    </w:rPr>
                  </w:pPr>
                </w:p>
              </w:tc>
              <w:tc>
                <w:tcPr>
                  <w:tcW w:w="800" w:type="dxa"/>
                  <w:vMerge w:val="continue"/>
                  <w:tcBorders>
                    <w:tl2br w:val="nil"/>
                    <w:tr2bl w:val="nil"/>
                  </w:tcBorders>
                  <w:vAlign w:val="center"/>
                </w:tcPr>
                <w:p>
                  <w:pPr>
                    <w:snapToGrid w:val="0"/>
                    <w:jc w:val="center"/>
                    <w:rPr>
                      <w:color w:val="auto"/>
                      <w:szCs w:val="21"/>
                    </w:rPr>
                  </w:pPr>
                </w:p>
              </w:tc>
              <w:tc>
                <w:tcPr>
                  <w:tcW w:w="3330" w:type="dxa"/>
                  <w:gridSpan w:val="2"/>
                  <w:tcBorders>
                    <w:tl2br w:val="nil"/>
                    <w:tr2bl w:val="nil"/>
                  </w:tcBorders>
                  <w:vAlign w:val="center"/>
                </w:tcPr>
                <w:p>
                  <w:pPr>
                    <w:autoSpaceDE w:val="0"/>
                    <w:autoSpaceDN w:val="0"/>
                    <w:adjustRightInd w:val="0"/>
                    <w:jc w:val="left"/>
                    <w:rPr>
                      <w:color w:val="auto"/>
                      <w:szCs w:val="21"/>
                    </w:rPr>
                  </w:pPr>
                  <w:r>
                    <w:rPr>
                      <w:color w:val="auto"/>
                      <w:szCs w:val="21"/>
                    </w:rPr>
                    <w:t>禁止在长江干流及主要支流岸线1公里范围内新建重化工、纺织、造纸等存在污染风险的工业项目，禁止在长江干支流1公里范围内新建、扩建化工园区和化工项目。5公里范围内除经国家和市政府批准设立、仍在建设的工业园区外，不再新布局工业园区（不包括现有工业园区拓展）。新建有污染物排放的工业项目应进入工业园区或工业集中区，不得在工业园区（集聚区）以外区域实施单纯增加产能的技改（扩建）项目。</w:t>
                  </w:r>
                </w:p>
              </w:tc>
              <w:tc>
                <w:tcPr>
                  <w:tcW w:w="1686" w:type="dxa"/>
                  <w:tcBorders>
                    <w:tl2br w:val="nil"/>
                    <w:tr2bl w:val="nil"/>
                  </w:tcBorders>
                  <w:vAlign w:val="center"/>
                </w:tcPr>
                <w:p>
                  <w:pPr>
                    <w:autoSpaceDE w:val="0"/>
                    <w:autoSpaceDN w:val="0"/>
                    <w:adjustRightInd w:val="0"/>
                    <w:jc w:val="left"/>
                    <w:rPr>
                      <w:color w:val="auto"/>
                      <w:szCs w:val="21"/>
                    </w:rPr>
                  </w:pPr>
                  <w:r>
                    <w:rPr>
                      <w:rFonts w:hint="eastAsia"/>
                      <w:color w:val="auto"/>
                      <w:szCs w:val="21"/>
                    </w:rPr>
                    <w:t>本项目不在长江干流及重要支流1公里范围内；不属于新布局的工业园区；本项目铜梁工业园</w:t>
                  </w:r>
                  <w:r>
                    <w:rPr>
                      <w:color w:val="auto"/>
                      <w:szCs w:val="21"/>
                    </w:rPr>
                    <w:t>，位于工业园区范围内</w:t>
                  </w:r>
                  <w:r>
                    <w:rPr>
                      <w:bCs/>
                      <w:color w:val="auto"/>
                      <w:szCs w:val="21"/>
                    </w:rPr>
                    <w:t>。</w:t>
                  </w:r>
                </w:p>
              </w:tc>
              <w:tc>
                <w:tcPr>
                  <w:tcW w:w="1156" w:type="dxa"/>
                  <w:tcBorders>
                    <w:tl2br w:val="nil"/>
                    <w:tr2bl w:val="nil"/>
                  </w:tcBorders>
                  <w:vAlign w:val="center"/>
                </w:tcPr>
                <w:p>
                  <w:pPr>
                    <w:snapToGrid w:val="0"/>
                    <w:jc w:val="center"/>
                    <w:rPr>
                      <w:color w:val="auto"/>
                      <w:szCs w:val="21"/>
                    </w:rPr>
                  </w:pPr>
                  <w:r>
                    <w:rPr>
                      <w:rFonts w:hint="eastAsia"/>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vMerge w:val="continue"/>
                  <w:tcBorders>
                    <w:tl2br w:val="nil"/>
                    <w:tr2bl w:val="nil"/>
                  </w:tcBorders>
                  <w:vAlign w:val="center"/>
                </w:tcPr>
                <w:p>
                  <w:pPr>
                    <w:snapToGrid w:val="0"/>
                    <w:jc w:val="center"/>
                    <w:rPr>
                      <w:color w:val="auto"/>
                      <w:szCs w:val="21"/>
                    </w:rPr>
                  </w:pPr>
                </w:p>
              </w:tc>
              <w:tc>
                <w:tcPr>
                  <w:tcW w:w="800" w:type="dxa"/>
                  <w:vMerge w:val="continue"/>
                  <w:tcBorders>
                    <w:tl2br w:val="nil"/>
                    <w:tr2bl w:val="nil"/>
                  </w:tcBorders>
                  <w:vAlign w:val="center"/>
                </w:tcPr>
                <w:p>
                  <w:pPr>
                    <w:snapToGrid w:val="0"/>
                    <w:jc w:val="center"/>
                    <w:rPr>
                      <w:color w:val="auto"/>
                      <w:szCs w:val="21"/>
                    </w:rPr>
                  </w:pPr>
                </w:p>
              </w:tc>
              <w:tc>
                <w:tcPr>
                  <w:tcW w:w="3330" w:type="dxa"/>
                  <w:gridSpan w:val="2"/>
                  <w:tcBorders>
                    <w:tl2br w:val="nil"/>
                    <w:tr2bl w:val="nil"/>
                  </w:tcBorders>
                  <w:vAlign w:val="center"/>
                </w:tcPr>
                <w:p>
                  <w:pPr>
                    <w:autoSpaceDE w:val="0"/>
                    <w:autoSpaceDN w:val="0"/>
                    <w:adjustRightInd w:val="0"/>
                    <w:jc w:val="left"/>
                    <w:rPr>
                      <w:color w:val="auto"/>
                      <w:szCs w:val="21"/>
                    </w:rPr>
                  </w:pPr>
                  <w:r>
                    <w:rPr>
                      <w:color w:val="auto"/>
                      <w:szCs w:val="21"/>
                    </w:rPr>
                    <w:t>在长江鱼嘴以上江段及其一级支流汇入口上游20公里、嘉陵江及其一级支流汇入口上游20公里、集中式饮用水水源取水口上游20公里范围内的沿岸地区（江河50年一遇洪水位向陆域一侧1公里范围内），禁止新建、扩建排放重点重金属（铬、镉、汞、砷、铅等五类重金属）、剧毒物质和持久性有机污染物的工业项目。</w:t>
                  </w:r>
                </w:p>
              </w:tc>
              <w:tc>
                <w:tcPr>
                  <w:tcW w:w="1686" w:type="dxa"/>
                  <w:tcBorders>
                    <w:tl2br w:val="nil"/>
                    <w:tr2bl w:val="nil"/>
                  </w:tcBorders>
                  <w:vAlign w:val="center"/>
                </w:tcPr>
                <w:p>
                  <w:pPr>
                    <w:autoSpaceDE w:val="0"/>
                    <w:autoSpaceDN w:val="0"/>
                    <w:adjustRightInd w:val="0"/>
                    <w:jc w:val="left"/>
                    <w:rPr>
                      <w:color w:val="auto"/>
                      <w:szCs w:val="21"/>
                    </w:rPr>
                  </w:pPr>
                  <w:r>
                    <w:rPr>
                      <w:rFonts w:hint="eastAsia"/>
                      <w:color w:val="auto"/>
                      <w:szCs w:val="21"/>
                    </w:rPr>
                    <w:t>本</w:t>
                  </w:r>
                  <w:r>
                    <w:rPr>
                      <w:color w:val="auto"/>
                      <w:szCs w:val="21"/>
                    </w:rPr>
                    <w:t>项目不在上述区域，不排放五类重金属、剧毒物质和持久性有机污染物。</w:t>
                  </w:r>
                </w:p>
              </w:tc>
              <w:tc>
                <w:tcPr>
                  <w:tcW w:w="1156" w:type="dxa"/>
                  <w:tcBorders>
                    <w:tl2br w:val="nil"/>
                    <w:tr2bl w:val="nil"/>
                  </w:tcBorders>
                  <w:vAlign w:val="center"/>
                </w:tcPr>
                <w:p>
                  <w:pPr>
                    <w:snapToGrid w:val="0"/>
                    <w:jc w:val="center"/>
                    <w:rPr>
                      <w:color w:val="auto"/>
                      <w:szCs w:val="21"/>
                    </w:rPr>
                  </w:pPr>
                  <w:r>
                    <w:rPr>
                      <w:rFonts w:hint="eastAsia"/>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vMerge w:val="continue"/>
                  <w:tcBorders>
                    <w:tl2br w:val="nil"/>
                    <w:tr2bl w:val="nil"/>
                  </w:tcBorders>
                  <w:vAlign w:val="center"/>
                </w:tcPr>
                <w:p>
                  <w:pPr>
                    <w:snapToGrid w:val="0"/>
                    <w:jc w:val="center"/>
                    <w:rPr>
                      <w:color w:val="auto"/>
                      <w:szCs w:val="21"/>
                    </w:rPr>
                  </w:pPr>
                </w:p>
              </w:tc>
              <w:tc>
                <w:tcPr>
                  <w:tcW w:w="800" w:type="dxa"/>
                  <w:vMerge w:val="continue"/>
                  <w:tcBorders>
                    <w:tl2br w:val="nil"/>
                    <w:tr2bl w:val="nil"/>
                  </w:tcBorders>
                  <w:vAlign w:val="center"/>
                </w:tcPr>
                <w:p>
                  <w:pPr>
                    <w:snapToGrid w:val="0"/>
                    <w:jc w:val="center"/>
                    <w:rPr>
                      <w:color w:val="auto"/>
                      <w:szCs w:val="21"/>
                    </w:rPr>
                  </w:pPr>
                </w:p>
              </w:tc>
              <w:tc>
                <w:tcPr>
                  <w:tcW w:w="3330" w:type="dxa"/>
                  <w:gridSpan w:val="2"/>
                  <w:tcBorders>
                    <w:tl2br w:val="nil"/>
                    <w:tr2bl w:val="nil"/>
                  </w:tcBorders>
                  <w:vAlign w:val="center"/>
                </w:tcPr>
                <w:p>
                  <w:pPr>
                    <w:autoSpaceDE w:val="0"/>
                    <w:autoSpaceDN w:val="0"/>
                    <w:adjustRightInd w:val="0"/>
                    <w:jc w:val="left"/>
                    <w:rPr>
                      <w:color w:val="auto"/>
                      <w:szCs w:val="21"/>
                    </w:rPr>
                  </w:pPr>
                  <w:r>
                    <w:rPr>
                      <w:color w:val="auto"/>
                      <w:szCs w:val="21"/>
                    </w:rPr>
                    <w:t>严格执行相关行业企业布局选址要求，优化环境防护距离设置，按要求设置生态隔离带，防范工业园区（工业集聚区）涉生态环境“邻避”问题，将环境防护距离优化控制在园区边界或用地红线以内。</w:t>
                  </w:r>
                </w:p>
              </w:tc>
              <w:tc>
                <w:tcPr>
                  <w:tcW w:w="1686" w:type="dxa"/>
                  <w:tcBorders>
                    <w:tl2br w:val="nil"/>
                    <w:tr2bl w:val="nil"/>
                  </w:tcBorders>
                  <w:vAlign w:val="center"/>
                </w:tcPr>
                <w:p>
                  <w:pPr>
                    <w:autoSpaceDE w:val="0"/>
                    <w:autoSpaceDN w:val="0"/>
                    <w:adjustRightInd w:val="0"/>
                    <w:jc w:val="left"/>
                    <w:rPr>
                      <w:color w:val="auto"/>
                      <w:szCs w:val="21"/>
                    </w:rPr>
                  </w:pPr>
                  <w:r>
                    <w:rPr>
                      <w:rFonts w:hint="eastAsia"/>
                      <w:color w:val="auto"/>
                      <w:szCs w:val="21"/>
                    </w:rPr>
                    <w:t>本</w:t>
                  </w:r>
                  <w:r>
                    <w:rPr>
                      <w:color w:val="auto"/>
                      <w:szCs w:val="21"/>
                    </w:rPr>
                    <w:t>项目</w:t>
                  </w:r>
                  <w:r>
                    <w:rPr>
                      <w:rFonts w:hint="eastAsia"/>
                      <w:color w:val="auto"/>
                      <w:szCs w:val="21"/>
                    </w:rPr>
                    <w:t>位于工业园区内，</w:t>
                  </w:r>
                  <w:r>
                    <w:rPr>
                      <w:color w:val="auto"/>
                      <w:szCs w:val="21"/>
                    </w:rPr>
                    <w:t>不涉及</w:t>
                  </w:r>
                  <w:r>
                    <w:rPr>
                      <w:rFonts w:hint="eastAsia"/>
                      <w:color w:val="auto"/>
                      <w:szCs w:val="21"/>
                    </w:rPr>
                    <w:t>上述问题</w:t>
                  </w:r>
                  <w:r>
                    <w:rPr>
                      <w:color w:val="auto"/>
                      <w:szCs w:val="21"/>
                    </w:rPr>
                    <w:t>。</w:t>
                  </w:r>
                </w:p>
              </w:tc>
              <w:tc>
                <w:tcPr>
                  <w:tcW w:w="1156" w:type="dxa"/>
                  <w:tcBorders>
                    <w:tl2br w:val="nil"/>
                    <w:tr2bl w:val="nil"/>
                  </w:tcBorders>
                  <w:vAlign w:val="center"/>
                </w:tcPr>
                <w:p>
                  <w:pPr>
                    <w:snapToGrid w:val="0"/>
                    <w:jc w:val="center"/>
                    <w:rPr>
                      <w:color w:val="auto"/>
                      <w:szCs w:val="21"/>
                    </w:rPr>
                  </w:pPr>
                  <w:r>
                    <w:rPr>
                      <w:rFonts w:hint="eastAsia"/>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vMerge w:val="continue"/>
                  <w:tcBorders>
                    <w:tl2br w:val="nil"/>
                    <w:tr2bl w:val="nil"/>
                  </w:tcBorders>
                  <w:vAlign w:val="center"/>
                </w:tcPr>
                <w:p>
                  <w:pPr>
                    <w:snapToGrid w:val="0"/>
                    <w:jc w:val="center"/>
                    <w:rPr>
                      <w:color w:val="auto"/>
                      <w:szCs w:val="21"/>
                    </w:rPr>
                  </w:pPr>
                </w:p>
              </w:tc>
              <w:tc>
                <w:tcPr>
                  <w:tcW w:w="800" w:type="dxa"/>
                  <w:vMerge w:val="continue"/>
                  <w:tcBorders>
                    <w:tl2br w:val="nil"/>
                    <w:tr2bl w:val="nil"/>
                  </w:tcBorders>
                  <w:vAlign w:val="center"/>
                </w:tcPr>
                <w:p>
                  <w:pPr>
                    <w:snapToGrid w:val="0"/>
                    <w:jc w:val="center"/>
                    <w:rPr>
                      <w:color w:val="auto"/>
                      <w:szCs w:val="21"/>
                    </w:rPr>
                  </w:pPr>
                </w:p>
              </w:tc>
              <w:tc>
                <w:tcPr>
                  <w:tcW w:w="3330" w:type="dxa"/>
                  <w:gridSpan w:val="2"/>
                  <w:tcBorders>
                    <w:tl2br w:val="nil"/>
                    <w:tr2bl w:val="nil"/>
                  </w:tcBorders>
                  <w:vAlign w:val="center"/>
                </w:tcPr>
                <w:p>
                  <w:pPr>
                    <w:autoSpaceDE w:val="0"/>
                    <w:autoSpaceDN w:val="0"/>
                    <w:adjustRightInd w:val="0"/>
                    <w:jc w:val="left"/>
                    <w:rPr>
                      <w:color w:val="auto"/>
                      <w:szCs w:val="21"/>
                    </w:rPr>
                  </w:pPr>
                  <w:r>
                    <w:rPr>
                      <w:color w:val="auto"/>
                      <w:szCs w:val="21"/>
                    </w:rPr>
                    <w:t>加快布局分散的企业向园区集中，鼓励现有工业项目、化工项目分别搬入工业集聚区、化工产业集聚区。</w:t>
                  </w:r>
                </w:p>
              </w:tc>
              <w:tc>
                <w:tcPr>
                  <w:tcW w:w="1686" w:type="dxa"/>
                  <w:tcBorders>
                    <w:tl2br w:val="nil"/>
                    <w:tr2bl w:val="nil"/>
                  </w:tcBorders>
                  <w:vAlign w:val="center"/>
                </w:tcPr>
                <w:p>
                  <w:pPr>
                    <w:autoSpaceDE w:val="0"/>
                    <w:autoSpaceDN w:val="0"/>
                    <w:adjustRightInd w:val="0"/>
                    <w:jc w:val="left"/>
                    <w:rPr>
                      <w:color w:val="auto"/>
                      <w:szCs w:val="21"/>
                    </w:rPr>
                  </w:pPr>
                  <w:r>
                    <w:rPr>
                      <w:rFonts w:hint="eastAsia"/>
                      <w:color w:val="auto"/>
                      <w:szCs w:val="21"/>
                    </w:rPr>
                    <w:t>本项目位于铜梁工业园，属于工业园区</w:t>
                  </w:r>
                </w:p>
              </w:tc>
              <w:tc>
                <w:tcPr>
                  <w:tcW w:w="1156" w:type="dxa"/>
                  <w:tcBorders>
                    <w:tl2br w:val="nil"/>
                    <w:tr2bl w:val="nil"/>
                  </w:tcBorders>
                  <w:vAlign w:val="center"/>
                </w:tcPr>
                <w:p>
                  <w:pPr>
                    <w:snapToGrid w:val="0"/>
                    <w:jc w:val="center"/>
                    <w:rPr>
                      <w:color w:val="auto"/>
                      <w:szCs w:val="21"/>
                    </w:rPr>
                  </w:pPr>
                  <w:r>
                    <w:rPr>
                      <w:rFonts w:hint="eastAsia"/>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vMerge w:val="continue"/>
                  <w:tcBorders>
                    <w:tl2br w:val="nil"/>
                    <w:tr2bl w:val="nil"/>
                  </w:tcBorders>
                  <w:vAlign w:val="center"/>
                </w:tcPr>
                <w:p>
                  <w:pPr>
                    <w:snapToGrid w:val="0"/>
                    <w:jc w:val="center"/>
                    <w:rPr>
                      <w:color w:val="auto"/>
                      <w:szCs w:val="21"/>
                    </w:rPr>
                  </w:pPr>
                </w:p>
              </w:tc>
              <w:tc>
                <w:tcPr>
                  <w:tcW w:w="800" w:type="dxa"/>
                  <w:vMerge w:val="continue"/>
                  <w:tcBorders>
                    <w:tl2br w:val="nil"/>
                    <w:tr2bl w:val="nil"/>
                  </w:tcBorders>
                  <w:vAlign w:val="center"/>
                </w:tcPr>
                <w:p>
                  <w:pPr>
                    <w:snapToGrid w:val="0"/>
                    <w:jc w:val="center"/>
                    <w:rPr>
                      <w:color w:val="auto"/>
                      <w:szCs w:val="21"/>
                    </w:rPr>
                  </w:pPr>
                </w:p>
              </w:tc>
              <w:tc>
                <w:tcPr>
                  <w:tcW w:w="3330" w:type="dxa"/>
                  <w:gridSpan w:val="2"/>
                  <w:tcBorders>
                    <w:tl2br w:val="nil"/>
                    <w:tr2bl w:val="nil"/>
                  </w:tcBorders>
                  <w:vAlign w:val="center"/>
                </w:tcPr>
                <w:p>
                  <w:pPr>
                    <w:autoSpaceDE w:val="0"/>
                    <w:autoSpaceDN w:val="0"/>
                    <w:adjustRightInd w:val="0"/>
                    <w:jc w:val="left"/>
                    <w:rPr>
                      <w:color w:val="auto"/>
                      <w:szCs w:val="21"/>
                    </w:rPr>
                  </w:pPr>
                  <w:r>
                    <w:rPr>
                      <w:color w:val="auto"/>
                      <w:szCs w:val="21"/>
                    </w:rPr>
                    <w:t>优化城镇功能布局，开发活动限制在资源环境承载能力之内。科学确定城镇开发强度，提高城镇土地利用效率、建成区人口密度，划定城镇开发边界，从严供给城市建设用地，推动城镇化发展由外延扩张式向内涵提升式转变。精心维护自然山水和城乡人居环境，凸显历史文化底蕴，充分塑造和着力体现重庆的山水自然人文特色。</w:t>
                  </w:r>
                </w:p>
              </w:tc>
              <w:tc>
                <w:tcPr>
                  <w:tcW w:w="1686" w:type="dxa"/>
                  <w:tcBorders>
                    <w:tl2br w:val="nil"/>
                    <w:tr2bl w:val="nil"/>
                  </w:tcBorders>
                  <w:vAlign w:val="center"/>
                </w:tcPr>
                <w:p>
                  <w:pPr>
                    <w:autoSpaceDE w:val="0"/>
                    <w:autoSpaceDN w:val="0"/>
                    <w:adjustRightInd w:val="0"/>
                    <w:jc w:val="left"/>
                    <w:rPr>
                      <w:color w:val="auto"/>
                      <w:szCs w:val="21"/>
                    </w:rPr>
                  </w:pPr>
                  <w:r>
                    <w:rPr>
                      <w:color w:val="auto"/>
                      <w:szCs w:val="21"/>
                    </w:rPr>
                    <w:t>项目建设在环境资源承载能力之内。</w:t>
                  </w:r>
                </w:p>
              </w:tc>
              <w:tc>
                <w:tcPr>
                  <w:tcW w:w="1156" w:type="dxa"/>
                  <w:tcBorders>
                    <w:tl2br w:val="nil"/>
                    <w:tr2bl w:val="nil"/>
                  </w:tcBorders>
                  <w:vAlign w:val="center"/>
                </w:tcPr>
                <w:p>
                  <w:pPr>
                    <w:snapToGrid w:val="0"/>
                    <w:jc w:val="center"/>
                    <w:rPr>
                      <w:color w:val="auto"/>
                      <w:szCs w:val="21"/>
                    </w:rPr>
                  </w:pPr>
                  <w:r>
                    <w:rPr>
                      <w:rFonts w:hint="eastAsia"/>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vMerge w:val="continue"/>
                  <w:tcBorders>
                    <w:tl2br w:val="nil"/>
                    <w:tr2bl w:val="nil"/>
                  </w:tcBorders>
                  <w:vAlign w:val="center"/>
                </w:tcPr>
                <w:p>
                  <w:pPr>
                    <w:snapToGrid w:val="0"/>
                    <w:jc w:val="center"/>
                    <w:rPr>
                      <w:color w:val="auto"/>
                      <w:szCs w:val="21"/>
                    </w:rPr>
                  </w:pPr>
                </w:p>
              </w:tc>
              <w:tc>
                <w:tcPr>
                  <w:tcW w:w="800" w:type="dxa"/>
                  <w:vMerge w:val="restart"/>
                  <w:tcBorders>
                    <w:tl2br w:val="nil"/>
                    <w:tr2bl w:val="nil"/>
                  </w:tcBorders>
                  <w:vAlign w:val="center"/>
                </w:tcPr>
                <w:p>
                  <w:pPr>
                    <w:snapToGrid w:val="0"/>
                    <w:jc w:val="center"/>
                    <w:rPr>
                      <w:color w:val="auto"/>
                      <w:szCs w:val="21"/>
                    </w:rPr>
                  </w:pPr>
                  <w:r>
                    <w:rPr>
                      <w:color w:val="auto"/>
                      <w:szCs w:val="21"/>
                    </w:rPr>
                    <w:t>污染物排放管控</w:t>
                  </w:r>
                </w:p>
              </w:tc>
              <w:tc>
                <w:tcPr>
                  <w:tcW w:w="3330" w:type="dxa"/>
                  <w:gridSpan w:val="2"/>
                  <w:tcBorders>
                    <w:tl2br w:val="nil"/>
                    <w:tr2bl w:val="nil"/>
                  </w:tcBorders>
                  <w:vAlign w:val="center"/>
                </w:tcPr>
                <w:p>
                  <w:pPr>
                    <w:autoSpaceDE w:val="0"/>
                    <w:autoSpaceDN w:val="0"/>
                    <w:adjustRightInd w:val="0"/>
                    <w:jc w:val="left"/>
                    <w:rPr>
                      <w:color w:val="auto"/>
                      <w:szCs w:val="21"/>
                    </w:rPr>
                  </w:pPr>
                  <w:r>
                    <w:rPr>
                      <w:color w:val="auto"/>
                      <w:szCs w:val="21"/>
                    </w:rPr>
                    <w:t>未达到国家环境质量标准的重点区域、流域的有关地方人民政府，应当制定限期达标规划，并采取措施按期达标。</w:t>
                  </w:r>
                </w:p>
              </w:tc>
              <w:tc>
                <w:tcPr>
                  <w:tcW w:w="1686" w:type="dxa"/>
                  <w:tcBorders>
                    <w:tl2br w:val="nil"/>
                    <w:tr2bl w:val="nil"/>
                  </w:tcBorders>
                  <w:vAlign w:val="center"/>
                </w:tcPr>
                <w:p>
                  <w:pPr>
                    <w:autoSpaceDE w:val="0"/>
                    <w:autoSpaceDN w:val="0"/>
                    <w:adjustRightInd w:val="0"/>
                    <w:rPr>
                      <w:color w:val="auto"/>
                      <w:szCs w:val="21"/>
                    </w:rPr>
                  </w:pPr>
                  <w:r>
                    <w:rPr>
                      <w:bCs/>
                      <w:szCs w:val="21"/>
                    </w:rPr>
                    <w:t>项目位于铜梁，区</w:t>
                  </w:r>
                  <w:r>
                    <w:rPr>
                      <w:rFonts w:hint="eastAsia"/>
                      <w:bCs/>
                      <w:szCs w:val="21"/>
                      <w:lang w:eastAsia="zh-CN"/>
                    </w:rPr>
                    <w:t>属于环境质量达标区</w:t>
                  </w:r>
                  <w:r>
                    <w:rPr>
                      <w:bCs/>
                      <w:szCs w:val="21"/>
                    </w:rPr>
                    <w:t>。</w:t>
                  </w:r>
                </w:p>
              </w:tc>
              <w:tc>
                <w:tcPr>
                  <w:tcW w:w="1156" w:type="dxa"/>
                  <w:tcBorders>
                    <w:tl2br w:val="nil"/>
                    <w:tr2bl w:val="nil"/>
                  </w:tcBorders>
                  <w:vAlign w:val="center"/>
                </w:tcPr>
                <w:p>
                  <w:pPr>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vMerge w:val="continue"/>
                  <w:tcBorders>
                    <w:tl2br w:val="nil"/>
                    <w:tr2bl w:val="nil"/>
                  </w:tcBorders>
                  <w:vAlign w:val="center"/>
                </w:tcPr>
                <w:p>
                  <w:pPr>
                    <w:snapToGrid w:val="0"/>
                    <w:jc w:val="center"/>
                    <w:rPr>
                      <w:color w:val="auto"/>
                      <w:szCs w:val="21"/>
                    </w:rPr>
                  </w:pPr>
                </w:p>
              </w:tc>
              <w:tc>
                <w:tcPr>
                  <w:tcW w:w="800" w:type="dxa"/>
                  <w:vMerge w:val="continue"/>
                  <w:tcBorders>
                    <w:tl2br w:val="nil"/>
                    <w:tr2bl w:val="nil"/>
                  </w:tcBorders>
                  <w:vAlign w:val="center"/>
                </w:tcPr>
                <w:p>
                  <w:pPr>
                    <w:snapToGrid w:val="0"/>
                    <w:jc w:val="center"/>
                    <w:rPr>
                      <w:color w:val="auto"/>
                      <w:szCs w:val="21"/>
                    </w:rPr>
                  </w:pPr>
                </w:p>
              </w:tc>
              <w:tc>
                <w:tcPr>
                  <w:tcW w:w="3330" w:type="dxa"/>
                  <w:gridSpan w:val="2"/>
                  <w:tcBorders>
                    <w:tl2br w:val="nil"/>
                    <w:tr2bl w:val="nil"/>
                  </w:tcBorders>
                  <w:vAlign w:val="center"/>
                </w:tcPr>
                <w:p>
                  <w:pPr>
                    <w:autoSpaceDE w:val="0"/>
                    <w:autoSpaceDN w:val="0"/>
                    <w:adjustRightInd w:val="0"/>
                    <w:jc w:val="left"/>
                    <w:rPr>
                      <w:color w:val="auto"/>
                      <w:szCs w:val="21"/>
                    </w:rPr>
                  </w:pPr>
                  <w:r>
                    <w:rPr>
                      <w:color w:val="auto"/>
                      <w:szCs w:val="21"/>
                    </w:rPr>
                    <w:t>巩固“十一小”（不符合国家产业政策的小型造纸、制革、印染、染料、炼焦、炼硫、炼砷、炼油、电镀、农药、涉磷生产和使用等企业）取缔成果，防止死灰复燃。巩固“十一大”（造纸、焦化、氮肥、有色金属、印染、农副产品及食品加工、原料药制造(生化制药)、制革、农药、电镀以及涉磷产品等）企业污染整治成果。</w:t>
                  </w:r>
                </w:p>
              </w:tc>
              <w:tc>
                <w:tcPr>
                  <w:tcW w:w="1686" w:type="dxa"/>
                  <w:tcBorders>
                    <w:tl2br w:val="nil"/>
                    <w:tr2bl w:val="nil"/>
                  </w:tcBorders>
                  <w:vAlign w:val="center"/>
                </w:tcPr>
                <w:p>
                  <w:pPr>
                    <w:autoSpaceDE w:val="0"/>
                    <w:autoSpaceDN w:val="0"/>
                    <w:adjustRightInd w:val="0"/>
                    <w:ind w:firstLine="420" w:firstLineChars="200"/>
                    <w:jc w:val="left"/>
                    <w:rPr>
                      <w:color w:val="auto"/>
                      <w:szCs w:val="21"/>
                    </w:rPr>
                  </w:pPr>
                  <w:r>
                    <w:rPr>
                      <w:rFonts w:hint="eastAsia"/>
                      <w:color w:val="auto"/>
                      <w:szCs w:val="21"/>
                    </w:rPr>
                    <w:t>本项目不属于“十一小”、“十一大”项目</w:t>
                  </w:r>
                </w:p>
              </w:tc>
              <w:tc>
                <w:tcPr>
                  <w:tcW w:w="1156" w:type="dxa"/>
                  <w:tcBorders>
                    <w:tl2br w:val="nil"/>
                    <w:tr2bl w:val="nil"/>
                  </w:tcBorders>
                  <w:vAlign w:val="center"/>
                </w:tcPr>
                <w:p>
                  <w:pPr>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vMerge w:val="continue"/>
                  <w:tcBorders>
                    <w:tl2br w:val="nil"/>
                    <w:tr2bl w:val="nil"/>
                  </w:tcBorders>
                  <w:vAlign w:val="center"/>
                </w:tcPr>
                <w:p>
                  <w:pPr>
                    <w:snapToGrid w:val="0"/>
                    <w:jc w:val="center"/>
                    <w:rPr>
                      <w:color w:val="auto"/>
                      <w:szCs w:val="21"/>
                    </w:rPr>
                  </w:pPr>
                </w:p>
              </w:tc>
              <w:tc>
                <w:tcPr>
                  <w:tcW w:w="800" w:type="dxa"/>
                  <w:vMerge w:val="continue"/>
                  <w:tcBorders>
                    <w:tl2br w:val="nil"/>
                    <w:tr2bl w:val="nil"/>
                  </w:tcBorders>
                  <w:vAlign w:val="center"/>
                </w:tcPr>
                <w:p>
                  <w:pPr>
                    <w:snapToGrid w:val="0"/>
                    <w:jc w:val="center"/>
                    <w:rPr>
                      <w:color w:val="auto"/>
                      <w:szCs w:val="21"/>
                    </w:rPr>
                  </w:pPr>
                </w:p>
              </w:tc>
              <w:tc>
                <w:tcPr>
                  <w:tcW w:w="3330" w:type="dxa"/>
                  <w:gridSpan w:val="2"/>
                  <w:tcBorders>
                    <w:tl2br w:val="nil"/>
                    <w:tr2bl w:val="nil"/>
                  </w:tcBorders>
                  <w:vAlign w:val="center"/>
                </w:tcPr>
                <w:p>
                  <w:pPr>
                    <w:autoSpaceDE w:val="0"/>
                    <w:autoSpaceDN w:val="0"/>
                    <w:adjustRightInd w:val="0"/>
                    <w:jc w:val="left"/>
                    <w:rPr>
                      <w:color w:val="auto"/>
                      <w:szCs w:val="21"/>
                    </w:rPr>
                  </w:pPr>
                  <w:r>
                    <w:rPr>
                      <w:color w:val="auto"/>
                      <w:szCs w:val="21"/>
                    </w:rPr>
                    <w:t>城区及江津区、合川区、璧山区、铜梁区二氧化硫、氮氧化物、颗粒物、挥发性有机物严格执行大气污染物特别排放限值，并逐步将执行范围扩大到重点控制区重点行业。</w:t>
                  </w:r>
                </w:p>
              </w:tc>
              <w:tc>
                <w:tcPr>
                  <w:tcW w:w="1686" w:type="dxa"/>
                  <w:tcBorders>
                    <w:tl2br w:val="nil"/>
                    <w:tr2bl w:val="nil"/>
                  </w:tcBorders>
                  <w:vAlign w:val="center"/>
                </w:tcPr>
                <w:p>
                  <w:pPr>
                    <w:autoSpaceDE w:val="0"/>
                    <w:autoSpaceDN w:val="0"/>
                    <w:adjustRightInd w:val="0"/>
                    <w:jc w:val="left"/>
                    <w:rPr>
                      <w:color w:val="auto"/>
                      <w:szCs w:val="21"/>
                    </w:rPr>
                  </w:pPr>
                  <w:r>
                    <w:rPr>
                      <w:rFonts w:hint="eastAsia"/>
                      <w:color w:val="auto"/>
                      <w:szCs w:val="21"/>
                    </w:rPr>
                    <w:t>本</w:t>
                  </w:r>
                  <w:r>
                    <w:rPr>
                      <w:color w:val="auto"/>
                      <w:szCs w:val="21"/>
                    </w:rPr>
                    <w:t>项目位于铜梁区，项目排放的废气将严格执行大气污染物特别排放限值</w:t>
                  </w:r>
                  <w:r>
                    <w:rPr>
                      <w:bCs/>
                      <w:color w:val="auto"/>
                      <w:szCs w:val="21"/>
                    </w:rPr>
                    <w:t>。</w:t>
                  </w:r>
                </w:p>
              </w:tc>
              <w:tc>
                <w:tcPr>
                  <w:tcW w:w="1156" w:type="dxa"/>
                  <w:tcBorders>
                    <w:tl2br w:val="nil"/>
                    <w:tr2bl w:val="nil"/>
                  </w:tcBorders>
                  <w:vAlign w:val="center"/>
                </w:tcPr>
                <w:p>
                  <w:pPr>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vMerge w:val="continue"/>
                  <w:tcBorders>
                    <w:tl2br w:val="nil"/>
                    <w:tr2bl w:val="nil"/>
                  </w:tcBorders>
                  <w:vAlign w:val="center"/>
                </w:tcPr>
                <w:p>
                  <w:pPr>
                    <w:snapToGrid w:val="0"/>
                    <w:jc w:val="center"/>
                    <w:rPr>
                      <w:color w:val="auto"/>
                      <w:szCs w:val="21"/>
                    </w:rPr>
                  </w:pPr>
                </w:p>
              </w:tc>
              <w:tc>
                <w:tcPr>
                  <w:tcW w:w="800" w:type="dxa"/>
                  <w:vMerge w:val="continue"/>
                  <w:tcBorders>
                    <w:tl2br w:val="nil"/>
                    <w:tr2bl w:val="nil"/>
                  </w:tcBorders>
                  <w:vAlign w:val="center"/>
                </w:tcPr>
                <w:p>
                  <w:pPr>
                    <w:snapToGrid w:val="0"/>
                    <w:jc w:val="center"/>
                    <w:rPr>
                      <w:color w:val="auto"/>
                      <w:szCs w:val="21"/>
                    </w:rPr>
                  </w:pPr>
                </w:p>
              </w:tc>
              <w:tc>
                <w:tcPr>
                  <w:tcW w:w="3330" w:type="dxa"/>
                  <w:gridSpan w:val="2"/>
                  <w:tcBorders>
                    <w:tl2br w:val="nil"/>
                    <w:tr2bl w:val="nil"/>
                  </w:tcBorders>
                  <w:vAlign w:val="center"/>
                </w:tcPr>
                <w:p>
                  <w:pPr>
                    <w:autoSpaceDE w:val="0"/>
                    <w:autoSpaceDN w:val="0"/>
                    <w:adjustRightInd w:val="0"/>
                    <w:jc w:val="left"/>
                    <w:rPr>
                      <w:color w:val="auto"/>
                      <w:szCs w:val="21"/>
                    </w:rPr>
                  </w:pPr>
                  <w:r>
                    <w:rPr>
                      <w:color w:val="auto"/>
                      <w:szCs w:val="21"/>
                    </w:rPr>
                    <w:t>新建、改建、扩建涉VOCs排放的项目，加强源头控制，使用低（无）VOCs含量的原辅料，加强废气收集，安装高效治理设施。有条件的工业集聚区建设集中喷涂中心，配备高效治污设施，替代企业独立喷涂工序。</w:t>
                  </w:r>
                </w:p>
              </w:tc>
              <w:tc>
                <w:tcPr>
                  <w:tcW w:w="1686" w:type="dxa"/>
                  <w:tcBorders>
                    <w:tl2br w:val="nil"/>
                    <w:tr2bl w:val="nil"/>
                  </w:tcBorders>
                  <w:vAlign w:val="center"/>
                </w:tcPr>
                <w:p>
                  <w:pPr>
                    <w:autoSpaceDE w:val="0"/>
                    <w:autoSpaceDN w:val="0"/>
                    <w:adjustRightInd w:val="0"/>
                    <w:jc w:val="left"/>
                    <w:rPr>
                      <w:color w:val="auto"/>
                      <w:szCs w:val="21"/>
                    </w:rPr>
                  </w:pPr>
                  <w:r>
                    <w:rPr>
                      <w:rFonts w:hint="eastAsia"/>
                      <w:color w:val="auto"/>
                      <w:szCs w:val="21"/>
                    </w:rPr>
                    <w:t>本项目使用的VOC</w:t>
                  </w:r>
                  <w:r>
                    <w:rPr>
                      <w:rFonts w:hint="eastAsia"/>
                      <w:color w:val="auto"/>
                      <w:szCs w:val="21"/>
                      <w:highlight w:val="none"/>
                    </w:rPr>
                    <w:t>s物料主要为胶粘剂、P</w:t>
                  </w:r>
                  <w:r>
                    <w:rPr>
                      <w:rFonts w:hint="eastAsia"/>
                      <w:color w:val="auto"/>
                      <w:szCs w:val="21"/>
                      <w:highlight w:val="none"/>
                      <w:lang w:val="en-US" w:eastAsia="zh-CN"/>
                    </w:rPr>
                    <w:t>E</w:t>
                  </w:r>
                  <w:r>
                    <w:rPr>
                      <w:rFonts w:hint="eastAsia"/>
                      <w:color w:val="auto"/>
                      <w:szCs w:val="21"/>
                      <w:highlight w:val="none"/>
                    </w:rPr>
                    <w:t>塑料粒，</w:t>
                  </w:r>
                  <w:r>
                    <w:rPr>
                      <w:rFonts w:hint="eastAsia" w:ascii="宋体" w:hAnsi="宋体" w:cs="宋体"/>
                      <w:color w:val="auto"/>
                      <w:kern w:val="0"/>
                      <w:szCs w:val="21"/>
                      <w:highlight w:val="none"/>
                      <w:lang w:bidi="ar"/>
                    </w:rPr>
                    <w:t>其产生的</w:t>
                  </w:r>
                  <w:r>
                    <w:rPr>
                      <w:color w:val="auto"/>
                      <w:kern w:val="0"/>
                      <w:szCs w:val="21"/>
                      <w:highlight w:val="none"/>
                      <w:lang w:bidi="ar"/>
                    </w:rPr>
                    <w:t>VOCs</w:t>
                  </w:r>
                  <w:r>
                    <w:rPr>
                      <w:rFonts w:hint="eastAsia"/>
                      <w:color w:val="auto"/>
                      <w:kern w:val="0"/>
                      <w:szCs w:val="21"/>
                      <w:highlight w:val="none"/>
                      <w:lang w:bidi="ar"/>
                    </w:rPr>
                    <w:t>经收集后采用“</w:t>
                  </w:r>
                  <w:r>
                    <w:rPr>
                      <w:rFonts w:hint="eastAsia"/>
                      <w:color w:val="auto"/>
                      <w:kern w:val="0"/>
                      <w:szCs w:val="21"/>
                      <w:highlight w:val="none"/>
                      <w:lang w:val="en-US" w:eastAsia="zh-CN" w:bidi="ar"/>
                    </w:rPr>
                    <w:t>UV光解+二级</w:t>
                  </w:r>
                  <w:r>
                    <w:rPr>
                      <w:rFonts w:hint="eastAsia"/>
                      <w:color w:val="auto"/>
                      <w:kern w:val="0"/>
                      <w:szCs w:val="21"/>
                      <w:highlight w:val="none"/>
                      <w:lang w:bidi="ar"/>
                    </w:rPr>
                    <w:t>活性炭吸附”能实现达标排放；本</w:t>
                  </w:r>
                  <w:r>
                    <w:rPr>
                      <w:rFonts w:hint="eastAsia"/>
                      <w:color w:val="auto"/>
                      <w:kern w:val="0"/>
                      <w:szCs w:val="21"/>
                      <w:lang w:bidi="ar"/>
                    </w:rPr>
                    <w:t>项目不涉及喷涂工序</w:t>
                  </w:r>
                </w:p>
              </w:tc>
              <w:tc>
                <w:tcPr>
                  <w:tcW w:w="1156" w:type="dxa"/>
                  <w:tcBorders>
                    <w:tl2br w:val="nil"/>
                    <w:tr2bl w:val="nil"/>
                  </w:tcBorders>
                  <w:vAlign w:val="center"/>
                </w:tcPr>
                <w:p>
                  <w:pPr>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vMerge w:val="continue"/>
                  <w:tcBorders>
                    <w:tl2br w:val="nil"/>
                    <w:tr2bl w:val="nil"/>
                  </w:tcBorders>
                  <w:vAlign w:val="center"/>
                </w:tcPr>
                <w:p>
                  <w:pPr>
                    <w:snapToGrid w:val="0"/>
                    <w:jc w:val="center"/>
                    <w:rPr>
                      <w:color w:val="auto"/>
                      <w:szCs w:val="21"/>
                    </w:rPr>
                  </w:pPr>
                </w:p>
              </w:tc>
              <w:tc>
                <w:tcPr>
                  <w:tcW w:w="800" w:type="dxa"/>
                  <w:vMerge w:val="continue"/>
                  <w:tcBorders>
                    <w:tl2br w:val="nil"/>
                    <w:tr2bl w:val="nil"/>
                  </w:tcBorders>
                  <w:vAlign w:val="center"/>
                </w:tcPr>
                <w:p>
                  <w:pPr>
                    <w:snapToGrid w:val="0"/>
                    <w:jc w:val="center"/>
                    <w:rPr>
                      <w:color w:val="auto"/>
                      <w:szCs w:val="21"/>
                    </w:rPr>
                  </w:pPr>
                </w:p>
              </w:tc>
              <w:tc>
                <w:tcPr>
                  <w:tcW w:w="3330" w:type="dxa"/>
                  <w:gridSpan w:val="2"/>
                  <w:tcBorders>
                    <w:tl2br w:val="nil"/>
                    <w:tr2bl w:val="nil"/>
                  </w:tcBorders>
                  <w:vAlign w:val="center"/>
                </w:tcPr>
                <w:p>
                  <w:pPr>
                    <w:autoSpaceDE w:val="0"/>
                    <w:autoSpaceDN w:val="0"/>
                    <w:adjustRightInd w:val="0"/>
                    <w:jc w:val="left"/>
                    <w:rPr>
                      <w:color w:val="auto"/>
                      <w:szCs w:val="21"/>
                    </w:rPr>
                  </w:pPr>
                  <w:r>
                    <w:rPr>
                      <w:color w:val="auto"/>
                      <w:szCs w:val="21"/>
                    </w:rPr>
                    <w:t>集中治理工业集聚区水污染，新建、升级工业集聚区应同步规划建设污水集中处理设施并安装自动在线监控装置。组织评估依托城镇生活污水处理设施处理园区工业废水对出水的影响，导致出水不能稳定达标的，要限期退出城镇污水处理设施并另行专门处理。</w:t>
                  </w:r>
                </w:p>
              </w:tc>
              <w:tc>
                <w:tcPr>
                  <w:tcW w:w="1686" w:type="dxa"/>
                  <w:tcBorders>
                    <w:tl2br w:val="nil"/>
                    <w:tr2bl w:val="nil"/>
                  </w:tcBorders>
                  <w:vAlign w:val="center"/>
                </w:tcPr>
                <w:p>
                  <w:pPr>
                    <w:autoSpaceDE w:val="0"/>
                    <w:autoSpaceDN w:val="0"/>
                    <w:adjustRightInd w:val="0"/>
                    <w:jc w:val="left"/>
                    <w:rPr>
                      <w:color w:val="auto"/>
                      <w:szCs w:val="21"/>
                    </w:rPr>
                  </w:pPr>
                  <w:r>
                    <w:rPr>
                      <w:rFonts w:hint="eastAsia"/>
                      <w:bCs/>
                      <w:color w:val="auto"/>
                      <w:szCs w:val="21"/>
                    </w:rPr>
                    <w:t>本</w:t>
                  </w:r>
                  <w:r>
                    <w:rPr>
                      <w:bCs/>
                      <w:color w:val="auto"/>
                      <w:szCs w:val="21"/>
                    </w:rPr>
                    <w:t>项目不涉及</w:t>
                  </w:r>
                  <w:r>
                    <w:rPr>
                      <w:rFonts w:hint="eastAsia"/>
                      <w:bCs/>
                      <w:color w:val="auto"/>
                      <w:szCs w:val="21"/>
                    </w:rPr>
                    <w:t>工业聚居区污水处理设施的建设；不涉及城市生活污水处理设施处理园区工业废水稳定达标的评估</w:t>
                  </w:r>
                </w:p>
              </w:tc>
              <w:tc>
                <w:tcPr>
                  <w:tcW w:w="1156" w:type="dxa"/>
                  <w:tcBorders>
                    <w:tl2br w:val="nil"/>
                    <w:tr2bl w:val="nil"/>
                  </w:tcBorders>
                  <w:vAlign w:val="center"/>
                </w:tcPr>
                <w:p>
                  <w:pPr>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vMerge w:val="continue"/>
                  <w:tcBorders>
                    <w:tl2br w:val="nil"/>
                    <w:tr2bl w:val="nil"/>
                  </w:tcBorders>
                  <w:vAlign w:val="center"/>
                </w:tcPr>
                <w:p>
                  <w:pPr>
                    <w:snapToGrid w:val="0"/>
                    <w:jc w:val="center"/>
                    <w:rPr>
                      <w:color w:val="auto"/>
                      <w:szCs w:val="21"/>
                    </w:rPr>
                  </w:pPr>
                </w:p>
              </w:tc>
              <w:tc>
                <w:tcPr>
                  <w:tcW w:w="800" w:type="dxa"/>
                  <w:vMerge w:val="restart"/>
                  <w:tcBorders>
                    <w:tl2br w:val="nil"/>
                    <w:tr2bl w:val="nil"/>
                  </w:tcBorders>
                  <w:vAlign w:val="center"/>
                </w:tcPr>
                <w:p>
                  <w:pPr>
                    <w:snapToGrid w:val="0"/>
                    <w:jc w:val="center"/>
                    <w:rPr>
                      <w:color w:val="auto"/>
                      <w:szCs w:val="21"/>
                    </w:rPr>
                  </w:pPr>
                  <w:r>
                    <w:rPr>
                      <w:color w:val="auto"/>
                      <w:szCs w:val="21"/>
                    </w:rPr>
                    <w:t>环境风险防控</w:t>
                  </w:r>
                </w:p>
              </w:tc>
              <w:tc>
                <w:tcPr>
                  <w:tcW w:w="3330" w:type="dxa"/>
                  <w:gridSpan w:val="2"/>
                  <w:tcBorders>
                    <w:tl2br w:val="nil"/>
                    <w:tr2bl w:val="nil"/>
                  </w:tcBorders>
                  <w:vAlign w:val="center"/>
                </w:tcPr>
                <w:p>
                  <w:pPr>
                    <w:pStyle w:val="2"/>
                    <w:spacing w:line="240" w:lineRule="auto"/>
                    <w:rPr>
                      <w:color w:val="auto"/>
                      <w:szCs w:val="21"/>
                    </w:rPr>
                  </w:pPr>
                  <w:r>
                    <w:rPr>
                      <w:rFonts w:ascii="Times New Roman" w:cs="Times New Roman"/>
                      <w:color w:val="auto"/>
                      <w:sz w:val="21"/>
                      <w:szCs w:val="21"/>
                    </w:rPr>
                    <w:t>健全风险防范体系；制定环境风险防范协调联动工作机制。开展涉及化工生产的工业园区突发环境事件风险评估。长江三峡库区干流流域、城市集中式饮用水源、涉及化工生产的化工园区等按要求开展突发环境事件风险评估。</w:t>
                  </w:r>
                </w:p>
              </w:tc>
              <w:tc>
                <w:tcPr>
                  <w:tcW w:w="1686" w:type="dxa"/>
                  <w:tcBorders>
                    <w:tl2br w:val="nil"/>
                    <w:tr2bl w:val="nil"/>
                  </w:tcBorders>
                  <w:vAlign w:val="center"/>
                </w:tcPr>
                <w:p>
                  <w:pPr>
                    <w:autoSpaceDE w:val="0"/>
                    <w:autoSpaceDN w:val="0"/>
                    <w:adjustRightInd w:val="0"/>
                    <w:rPr>
                      <w:color w:val="auto"/>
                      <w:szCs w:val="21"/>
                    </w:rPr>
                  </w:pPr>
                  <w:r>
                    <w:rPr>
                      <w:bCs/>
                      <w:color w:val="auto"/>
                      <w:szCs w:val="21"/>
                    </w:rPr>
                    <w:t>项目建设、运行过程中将</w:t>
                  </w:r>
                  <w:r>
                    <w:rPr>
                      <w:color w:val="auto"/>
                    </w:rPr>
                    <w:t>针对可能存在的环境风险，实施有效的</w:t>
                  </w:r>
                  <w:r>
                    <w:rPr>
                      <w:rFonts w:hint="eastAsia"/>
                      <w:color w:val="auto"/>
                    </w:rPr>
                    <w:t>风险防范措施</w:t>
                  </w:r>
                  <w:r>
                    <w:rPr>
                      <w:bCs/>
                      <w:color w:val="auto"/>
                      <w:szCs w:val="21"/>
                    </w:rPr>
                    <w:t>。</w:t>
                  </w:r>
                </w:p>
              </w:tc>
              <w:tc>
                <w:tcPr>
                  <w:tcW w:w="1156" w:type="dxa"/>
                  <w:tcBorders>
                    <w:tl2br w:val="nil"/>
                    <w:tr2bl w:val="nil"/>
                  </w:tcBorders>
                  <w:vAlign w:val="center"/>
                </w:tcPr>
                <w:p>
                  <w:pPr>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vMerge w:val="continue"/>
                  <w:tcBorders>
                    <w:tl2br w:val="nil"/>
                    <w:tr2bl w:val="nil"/>
                  </w:tcBorders>
                  <w:vAlign w:val="center"/>
                </w:tcPr>
                <w:p>
                  <w:pPr>
                    <w:snapToGrid w:val="0"/>
                    <w:jc w:val="center"/>
                    <w:rPr>
                      <w:color w:val="auto"/>
                      <w:szCs w:val="21"/>
                    </w:rPr>
                  </w:pPr>
                </w:p>
              </w:tc>
              <w:tc>
                <w:tcPr>
                  <w:tcW w:w="800" w:type="dxa"/>
                  <w:vMerge w:val="continue"/>
                  <w:tcBorders>
                    <w:tl2br w:val="nil"/>
                    <w:tr2bl w:val="nil"/>
                  </w:tcBorders>
                  <w:vAlign w:val="center"/>
                </w:tcPr>
                <w:p>
                  <w:pPr>
                    <w:snapToGrid w:val="0"/>
                    <w:jc w:val="center"/>
                    <w:rPr>
                      <w:color w:val="auto"/>
                      <w:szCs w:val="21"/>
                    </w:rPr>
                  </w:pPr>
                </w:p>
              </w:tc>
              <w:tc>
                <w:tcPr>
                  <w:tcW w:w="3330" w:type="dxa"/>
                  <w:gridSpan w:val="2"/>
                  <w:tcBorders>
                    <w:tl2br w:val="nil"/>
                    <w:tr2bl w:val="nil"/>
                  </w:tcBorders>
                  <w:vAlign w:val="center"/>
                </w:tcPr>
                <w:p>
                  <w:pPr>
                    <w:pStyle w:val="2"/>
                    <w:spacing w:line="240" w:lineRule="auto"/>
                    <w:rPr>
                      <w:color w:val="auto"/>
                      <w:szCs w:val="21"/>
                    </w:rPr>
                  </w:pPr>
                  <w:r>
                    <w:rPr>
                      <w:rFonts w:ascii="Times New Roman" w:cs="Times New Roman"/>
                      <w:color w:val="auto"/>
                      <w:sz w:val="21"/>
                      <w:szCs w:val="21"/>
                    </w:rPr>
                    <w:t>禁止建设存在重大环境安全隐患的工业项目，严禁工艺技术落后、环境风险高的化工企业向我市转移。</w:t>
                  </w:r>
                </w:p>
              </w:tc>
              <w:tc>
                <w:tcPr>
                  <w:tcW w:w="1686" w:type="dxa"/>
                  <w:tcBorders>
                    <w:tl2br w:val="nil"/>
                    <w:tr2bl w:val="nil"/>
                  </w:tcBorders>
                  <w:vAlign w:val="center"/>
                </w:tcPr>
                <w:p>
                  <w:pPr>
                    <w:autoSpaceDE w:val="0"/>
                    <w:autoSpaceDN w:val="0"/>
                    <w:adjustRightInd w:val="0"/>
                    <w:rPr>
                      <w:color w:val="auto"/>
                      <w:szCs w:val="21"/>
                    </w:rPr>
                  </w:pPr>
                  <w:r>
                    <w:rPr>
                      <w:rFonts w:hint="eastAsia"/>
                      <w:bCs/>
                      <w:color w:val="auto"/>
                      <w:szCs w:val="21"/>
                    </w:rPr>
                    <w:t>本</w:t>
                  </w:r>
                  <w:r>
                    <w:rPr>
                      <w:bCs/>
                      <w:color w:val="auto"/>
                      <w:szCs w:val="21"/>
                    </w:rPr>
                    <w:t>项目无重大风险源，不属于存在重大环境安全隐患的工业项目。</w:t>
                  </w:r>
                </w:p>
              </w:tc>
              <w:tc>
                <w:tcPr>
                  <w:tcW w:w="1156" w:type="dxa"/>
                  <w:tcBorders>
                    <w:tl2br w:val="nil"/>
                    <w:tr2bl w:val="nil"/>
                  </w:tcBorders>
                  <w:vAlign w:val="center"/>
                </w:tcPr>
                <w:p>
                  <w:pPr>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vMerge w:val="continue"/>
                  <w:tcBorders>
                    <w:tl2br w:val="nil"/>
                    <w:tr2bl w:val="nil"/>
                  </w:tcBorders>
                  <w:vAlign w:val="center"/>
                </w:tcPr>
                <w:p>
                  <w:pPr>
                    <w:snapToGrid w:val="0"/>
                    <w:jc w:val="center"/>
                    <w:rPr>
                      <w:color w:val="auto"/>
                      <w:szCs w:val="21"/>
                    </w:rPr>
                  </w:pPr>
                </w:p>
              </w:tc>
              <w:tc>
                <w:tcPr>
                  <w:tcW w:w="800" w:type="dxa"/>
                  <w:vMerge w:val="restart"/>
                  <w:tcBorders>
                    <w:tl2br w:val="nil"/>
                    <w:tr2bl w:val="nil"/>
                  </w:tcBorders>
                  <w:vAlign w:val="center"/>
                </w:tcPr>
                <w:p>
                  <w:pPr>
                    <w:snapToGrid w:val="0"/>
                    <w:jc w:val="center"/>
                    <w:rPr>
                      <w:color w:val="auto"/>
                      <w:szCs w:val="21"/>
                    </w:rPr>
                  </w:pPr>
                  <w:r>
                    <w:rPr>
                      <w:color w:val="auto"/>
                      <w:szCs w:val="21"/>
                    </w:rPr>
                    <w:t>资源开发利用效率</w:t>
                  </w:r>
                </w:p>
              </w:tc>
              <w:tc>
                <w:tcPr>
                  <w:tcW w:w="3330" w:type="dxa"/>
                  <w:gridSpan w:val="2"/>
                  <w:tcBorders>
                    <w:tl2br w:val="nil"/>
                    <w:tr2bl w:val="nil"/>
                  </w:tcBorders>
                  <w:vAlign w:val="center"/>
                </w:tcPr>
                <w:p>
                  <w:pPr>
                    <w:pStyle w:val="2"/>
                    <w:snapToGrid w:val="0"/>
                    <w:spacing w:line="240" w:lineRule="auto"/>
                    <w:rPr>
                      <w:color w:val="auto"/>
                      <w:szCs w:val="21"/>
                    </w:rPr>
                  </w:pPr>
                  <w:r>
                    <w:rPr>
                      <w:rFonts w:ascii="Times New Roman" w:cs="Times New Roman"/>
                      <w:color w:val="auto"/>
                      <w:sz w:val="21"/>
                      <w:szCs w:val="21"/>
                    </w:rPr>
                    <w:t>加强资源节约集约利用。实行能源，水资源，建设用地总量和强度双控行动，推进节能、节水、节地，节材等节约自然资源行动，从源头减少污染物排放。</w:t>
                  </w:r>
                </w:p>
              </w:tc>
              <w:tc>
                <w:tcPr>
                  <w:tcW w:w="1686" w:type="dxa"/>
                  <w:tcBorders>
                    <w:tl2br w:val="nil"/>
                    <w:tr2bl w:val="nil"/>
                  </w:tcBorders>
                  <w:vAlign w:val="center"/>
                </w:tcPr>
                <w:p>
                  <w:pPr>
                    <w:autoSpaceDE w:val="0"/>
                    <w:autoSpaceDN w:val="0"/>
                    <w:adjustRightInd w:val="0"/>
                    <w:rPr>
                      <w:color w:val="auto"/>
                      <w:szCs w:val="21"/>
                    </w:rPr>
                  </w:pPr>
                  <w:r>
                    <w:rPr>
                      <w:rFonts w:hint="eastAsia"/>
                      <w:color w:val="auto"/>
                      <w:szCs w:val="21"/>
                    </w:rPr>
                    <w:t>本项目利用现有生产厂房，不新增用地面积；本项目</w:t>
                  </w:r>
                  <w:r>
                    <w:rPr>
                      <w:color w:val="auto"/>
                      <w:szCs w:val="21"/>
                    </w:rPr>
                    <w:t>生产使用电能，</w:t>
                  </w:r>
                  <w:r>
                    <w:rPr>
                      <w:rFonts w:hint="eastAsia"/>
                      <w:color w:val="auto"/>
                      <w:szCs w:val="21"/>
                    </w:rPr>
                    <w:t>本项目用排水量较少</w:t>
                  </w:r>
                </w:p>
              </w:tc>
              <w:tc>
                <w:tcPr>
                  <w:tcW w:w="1156" w:type="dxa"/>
                  <w:tcBorders>
                    <w:tl2br w:val="nil"/>
                    <w:tr2bl w:val="nil"/>
                  </w:tcBorders>
                  <w:vAlign w:val="center"/>
                </w:tcPr>
                <w:p>
                  <w:pPr>
                    <w:snapToGrid w:val="0"/>
                    <w:jc w:val="center"/>
                    <w:rPr>
                      <w:color w:val="auto"/>
                      <w:szCs w:val="21"/>
                    </w:rPr>
                  </w:pPr>
                  <w:r>
                    <w:rPr>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tcBorders>
                    <w:tl2br w:val="nil"/>
                    <w:tr2bl w:val="nil"/>
                  </w:tcBorders>
                  <w:vAlign w:val="center"/>
                </w:tcPr>
                <w:p>
                  <w:pPr>
                    <w:snapToGrid w:val="0"/>
                    <w:jc w:val="center"/>
                    <w:rPr>
                      <w:color w:val="auto"/>
                      <w:szCs w:val="21"/>
                    </w:rPr>
                  </w:pPr>
                </w:p>
              </w:tc>
              <w:tc>
                <w:tcPr>
                  <w:tcW w:w="800" w:type="dxa"/>
                  <w:vMerge w:val="continue"/>
                  <w:tcBorders>
                    <w:tl2br w:val="nil"/>
                    <w:tr2bl w:val="nil"/>
                  </w:tcBorders>
                  <w:vAlign w:val="center"/>
                </w:tcPr>
                <w:p>
                  <w:pPr>
                    <w:snapToGrid w:val="0"/>
                    <w:jc w:val="center"/>
                    <w:rPr>
                      <w:color w:val="auto"/>
                      <w:szCs w:val="21"/>
                    </w:rPr>
                  </w:pPr>
                </w:p>
              </w:tc>
              <w:tc>
                <w:tcPr>
                  <w:tcW w:w="3330" w:type="dxa"/>
                  <w:gridSpan w:val="2"/>
                  <w:tcBorders>
                    <w:tl2br w:val="nil"/>
                    <w:tr2bl w:val="nil"/>
                  </w:tcBorders>
                  <w:vAlign w:val="center"/>
                </w:tcPr>
                <w:p>
                  <w:pPr>
                    <w:pStyle w:val="2"/>
                    <w:snapToGrid w:val="0"/>
                    <w:spacing w:line="240" w:lineRule="auto"/>
                    <w:rPr>
                      <w:color w:val="auto"/>
                      <w:szCs w:val="21"/>
                    </w:rPr>
                  </w:pPr>
                  <w:r>
                    <w:rPr>
                      <w:rFonts w:ascii="Times New Roman" w:cs="Times New Roman"/>
                      <w:color w:val="auto"/>
                      <w:sz w:val="21"/>
                      <w:szCs w:val="21"/>
                    </w:rPr>
                    <w:t>在禁燃区内，禁止销售、燃用高污染燃料，禁止新建、改建、扩建任何燃用高污染燃料的项目和设备，已建成使用高污染燃料的各类设备应当拆除或者改用管道天然气、页岩气、液化石油气、电或者其他清洁能源；在不具备使用清洁能源条件的区域，可使用配备专用锅炉和除尘装置的生物质成型燃料。</w:t>
                  </w:r>
                </w:p>
              </w:tc>
              <w:tc>
                <w:tcPr>
                  <w:tcW w:w="1686" w:type="dxa"/>
                  <w:tcBorders>
                    <w:tl2br w:val="nil"/>
                    <w:tr2bl w:val="nil"/>
                  </w:tcBorders>
                  <w:vAlign w:val="center"/>
                </w:tcPr>
                <w:p>
                  <w:pPr>
                    <w:autoSpaceDE w:val="0"/>
                    <w:autoSpaceDN w:val="0"/>
                    <w:adjustRightInd w:val="0"/>
                    <w:rPr>
                      <w:color w:val="auto"/>
                      <w:szCs w:val="21"/>
                    </w:rPr>
                  </w:pPr>
                  <w:r>
                    <w:rPr>
                      <w:rFonts w:hint="eastAsia"/>
                      <w:bCs/>
                      <w:color w:val="auto"/>
                      <w:szCs w:val="21"/>
                    </w:rPr>
                    <w:t>本项目不使用燃煤或高污染物燃料。</w:t>
                  </w:r>
                </w:p>
              </w:tc>
              <w:tc>
                <w:tcPr>
                  <w:tcW w:w="1156" w:type="dxa"/>
                  <w:tcBorders>
                    <w:tl2br w:val="nil"/>
                    <w:tr2bl w:val="nil"/>
                  </w:tcBorders>
                  <w:vAlign w:val="center"/>
                </w:tcPr>
                <w:p>
                  <w:pPr>
                    <w:snapToGrid w:val="0"/>
                    <w:jc w:val="center"/>
                    <w:rPr>
                      <w:color w:val="auto"/>
                      <w:szCs w:val="21"/>
                    </w:rPr>
                  </w:pPr>
                  <w:r>
                    <w:rPr>
                      <w:rFonts w:hint="eastAsia"/>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vMerge w:val="restart"/>
                  <w:tcBorders>
                    <w:tl2br w:val="nil"/>
                    <w:tr2bl w:val="nil"/>
                  </w:tcBorders>
                  <w:vAlign w:val="center"/>
                </w:tcPr>
                <w:p>
                  <w:pPr>
                    <w:snapToGrid w:val="0"/>
                    <w:jc w:val="center"/>
                    <w:rPr>
                      <w:color w:val="auto"/>
                      <w:szCs w:val="21"/>
                    </w:rPr>
                  </w:pPr>
                  <w:r>
                    <w:rPr>
                      <w:color w:val="auto"/>
                      <w:szCs w:val="21"/>
                    </w:rPr>
                    <w:t>区县总体管控要求</w:t>
                  </w:r>
                </w:p>
              </w:tc>
              <w:tc>
                <w:tcPr>
                  <w:tcW w:w="800" w:type="dxa"/>
                  <w:vMerge w:val="restart"/>
                  <w:tcBorders>
                    <w:tl2br w:val="nil"/>
                    <w:tr2bl w:val="nil"/>
                  </w:tcBorders>
                  <w:vAlign w:val="center"/>
                </w:tcPr>
                <w:p>
                  <w:pPr>
                    <w:snapToGrid w:val="0"/>
                    <w:jc w:val="center"/>
                    <w:rPr>
                      <w:color w:val="auto"/>
                      <w:szCs w:val="21"/>
                    </w:rPr>
                  </w:pPr>
                  <w:r>
                    <w:rPr>
                      <w:color w:val="auto"/>
                      <w:szCs w:val="21"/>
                    </w:rPr>
                    <w:t>空间布局约束</w:t>
                  </w:r>
                </w:p>
              </w:tc>
              <w:tc>
                <w:tcPr>
                  <w:tcW w:w="3330" w:type="dxa"/>
                  <w:gridSpan w:val="2"/>
                  <w:tcBorders>
                    <w:tl2br w:val="nil"/>
                    <w:tr2bl w:val="nil"/>
                  </w:tcBorders>
                  <w:vAlign w:val="center"/>
                </w:tcPr>
                <w:p>
                  <w:pPr>
                    <w:snapToGrid w:val="0"/>
                    <w:rPr>
                      <w:color w:val="auto"/>
                      <w:szCs w:val="21"/>
                    </w:rPr>
                  </w:pPr>
                  <w:r>
                    <w:rPr>
                      <w:color w:val="auto"/>
                      <w:szCs w:val="21"/>
                    </w:rPr>
                    <w:t>第一条 保护好巴岳山、毓青山等自然生态环境，形成以生态功能区为支撑，国家禁止开发区域为重要组成部分的生态空间体系。小企业基地规划范围不得侵占生态空间。</w:t>
                  </w:r>
                </w:p>
              </w:tc>
              <w:tc>
                <w:tcPr>
                  <w:tcW w:w="1686" w:type="dxa"/>
                  <w:tcBorders>
                    <w:tl2br w:val="nil"/>
                    <w:tr2bl w:val="nil"/>
                  </w:tcBorders>
                  <w:vAlign w:val="center"/>
                </w:tcPr>
                <w:p>
                  <w:pPr>
                    <w:snapToGrid w:val="0"/>
                    <w:rPr>
                      <w:color w:val="auto"/>
                      <w:szCs w:val="21"/>
                    </w:rPr>
                  </w:pPr>
                  <w:r>
                    <w:rPr>
                      <w:rFonts w:hint="eastAsia"/>
                      <w:color w:val="auto"/>
                      <w:szCs w:val="21"/>
                    </w:rPr>
                    <w:t>本项目位于铜梁区东城街道，不属于上述区域</w:t>
                  </w:r>
                </w:p>
              </w:tc>
              <w:tc>
                <w:tcPr>
                  <w:tcW w:w="1156" w:type="dxa"/>
                  <w:tcBorders>
                    <w:tl2br w:val="nil"/>
                    <w:tr2bl w:val="nil"/>
                  </w:tcBorders>
                  <w:vAlign w:val="center"/>
                </w:tcPr>
                <w:p>
                  <w:pPr>
                    <w:snapToGrid w:val="0"/>
                    <w:jc w:val="center"/>
                    <w:rPr>
                      <w:color w:val="auto"/>
                      <w:szCs w:val="21"/>
                    </w:rPr>
                  </w:pPr>
                  <w:r>
                    <w:rPr>
                      <w:rFonts w:hint="eastAsia"/>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818" w:type="dxa"/>
                  <w:vMerge w:val="continue"/>
                  <w:tcBorders>
                    <w:tl2br w:val="nil"/>
                    <w:tr2bl w:val="nil"/>
                  </w:tcBorders>
                  <w:vAlign w:val="center"/>
                </w:tcPr>
                <w:p>
                  <w:pPr>
                    <w:snapToGrid w:val="0"/>
                    <w:jc w:val="center"/>
                    <w:rPr>
                      <w:color w:val="auto"/>
                      <w:szCs w:val="21"/>
                    </w:rPr>
                  </w:pPr>
                </w:p>
              </w:tc>
              <w:tc>
                <w:tcPr>
                  <w:tcW w:w="800" w:type="dxa"/>
                  <w:vMerge w:val="continue"/>
                  <w:tcBorders>
                    <w:tl2br w:val="nil"/>
                    <w:tr2bl w:val="nil"/>
                  </w:tcBorders>
                  <w:vAlign w:val="center"/>
                </w:tcPr>
                <w:p>
                  <w:pPr>
                    <w:snapToGrid w:val="0"/>
                    <w:jc w:val="center"/>
                    <w:rPr>
                      <w:color w:val="auto"/>
                      <w:szCs w:val="21"/>
                    </w:rPr>
                  </w:pPr>
                </w:p>
              </w:tc>
              <w:tc>
                <w:tcPr>
                  <w:tcW w:w="3330" w:type="dxa"/>
                  <w:gridSpan w:val="2"/>
                  <w:tcBorders>
                    <w:tl2br w:val="nil"/>
                    <w:tr2bl w:val="nil"/>
                  </w:tcBorders>
                  <w:vAlign w:val="center"/>
                </w:tcPr>
                <w:p>
                  <w:pPr>
                    <w:snapToGrid w:val="0"/>
                    <w:rPr>
                      <w:color w:val="auto"/>
                      <w:szCs w:val="21"/>
                    </w:rPr>
                  </w:pPr>
                  <w:r>
                    <w:rPr>
                      <w:color w:val="auto"/>
                      <w:szCs w:val="21"/>
                    </w:rPr>
                    <w:t>第二条 铜梁高新区白土坝片区采取“腾笼换鸟”的方式，推动现有产业，提档升级，发展环境影响小、风险可控的产业。</w:t>
                  </w:r>
                </w:p>
              </w:tc>
              <w:tc>
                <w:tcPr>
                  <w:tcW w:w="1686" w:type="dxa"/>
                  <w:tcBorders>
                    <w:tl2br w:val="nil"/>
                    <w:tr2bl w:val="nil"/>
                  </w:tcBorders>
                  <w:vAlign w:val="center"/>
                </w:tcPr>
                <w:p>
                  <w:pPr>
                    <w:snapToGrid w:val="0"/>
                    <w:rPr>
                      <w:color w:val="auto"/>
                      <w:szCs w:val="21"/>
                    </w:rPr>
                  </w:pPr>
                  <w:r>
                    <w:rPr>
                      <w:rFonts w:hint="eastAsia"/>
                      <w:color w:val="auto"/>
                      <w:szCs w:val="21"/>
                    </w:rPr>
                    <w:t>本项目不属于</w:t>
                  </w:r>
                  <w:r>
                    <w:rPr>
                      <w:color w:val="auto"/>
                      <w:szCs w:val="21"/>
                    </w:rPr>
                    <w:t>白土坝片区</w:t>
                  </w:r>
                  <w:r>
                    <w:rPr>
                      <w:rFonts w:hint="eastAsia"/>
                      <w:color w:val="auto"/>
                      <w:szCs w:val="21"/>
                    </w:rPr>
                    <w:t>，环境影响小，环境风险可控</w:t>
                  </w:r>
                </w:p>
              </w:tc>
              <w:tc>
                <w:tcPr>
                  <w:tcW w:w="1156" w:type="dxa"/>
                  <w:tcBorders>
                    <w:tl2br w:val="nil"/>
                    <w:tr2bl w:val="nil"/>
                  </w:tcBorders>
                  <w:vAlign w:val="center"/>
                </w:tcPr>
                <w:p>
                  <w:pPr>
                    <w:snapToGrid w:val="0"/>
                    <w:jc w:val="center"/>
                    <w:rPr>
                      <w:color w:val="auto"/>
                      <w:szCs w:val="21"/>
                    </w:rPr>
                  </w:pPr>
                  <w:r>
                    <w:rPr>
                      <w:rFonts w:hint="eastAsia"/>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vMerge w:val="continue"/>
                  <w:tcBorders>
                    <w:tl2br w:val="nil"/>
                    <w:tr2bl w:val="nil"/>
                  </w:tcBorders>
                  <w:vAlign w:val="center"/>
                </w:tcPr>
                <w:p>
                  <w:pPr>
                    <w:snapToGrid w:val="0"/>
                    <w:jc w:val="center"/>
                    <w:rPr>
                      <w:color w:val="auto"/>
                      <w:szCs w:val="21"/>
                    </w:rPr>
                  </w:pPr>
                </w:p>
              </w:tc>
              <w:tc>
                <w:tcPr>
                  <w:tcW w:w="800" w:type="dxa"/>
                  <w:vMerge w:val="restart"/>
                  <w:tcBorders>
                    <w:tl2br w:val="nil"/>
                    <w:tr2bl w:val="nil"/>
                  </w:tcBorders>
                  <w:vAlign w:val="center"/>
                </w:tcPr>
                <w:p>
                  <w:pPr>
                    <w:snapToGrid w:val="0"/>
                    <w:jc w:val="center"/>
                    <w:rPr>
                      <w:color w:val="auto"/>
                      <w:szCs w:val="21"/>
                    </w:rPr>
                  </w:pPr>
                  <w:r>
                    <w:rPr>
                      <w:color w:val="auto"/>
                      <w:szCs w:val="21"/>
                    </w:rPr>
                    <w:t>污染物排放管控</w:t>
                  </w:r>
                </w:p>
              </w:tc>
              <w:tc>
                <w:tcPr>
                  <w:tcW w:w="3330" w:type="dxa"/>
                  <w:gridSpan w:val="2"/>
                  <w:tcBorders>
                    <w:tl2br w:val="nil"/>
                    <w:tr2bl w:val="nil"/>
                  </w:tcBorders>
                  <w:vAlign w:val="center"/>
                </w:tcPr>
                <w:p>
                  <w:pPr>
                    <w:pStyle w:val="10"/>
                    <w:spacing w:line="240" w:lineRule="auto"/>
                    <w:rPr>
                      <w:color w:val="auto"/>
                      <w:szCs w:val="21"/>
                    </w:rPr>
                  </w:pPr>
                  <w:r>
                    <w:rPr>
                      <w:color w:val="auto"/>
                      <w:szCs w:val="21"/>
                    </w:rPr>
                    <w:t>第三条 城市生活污水处理厂全面达到《城镇污水处理厂污染物排放标准》（GB18919-2002）一级A排放标准，生活污水处理厂污泥无害化处置率达到85%。</w:t>
                  </w:r>
                </w:p>
              </w:tc>
              <w:tc>
                <w:tcPr>
                  <w:tcW w:w="1686" w:type="dxa"/>
                  <w:tcBorders>
                    <w:tl2br w:val="nil"/>
                    <w:tr2bl w:val="nil"/>
                  </w:tcBorders>
                  <w:vAlign w:val="center"/>
                </w:tcPr>
                <w:p>
                  <w:pPr>
                    <w:pStyle w:val="10"/>
                    <w:spacing w:line="240" w:lineRule="auto"/>
                    <w:jc w:val="center"/>
                    <w:rPr>
                      <w:color w:val="auto"/>
                      <w:szCs w:val="21"/>
                    </w:rPr>
                  </w:pPr>
                  <w:r>
                    <w:rPr>
                      <w:rFonts w:hint="eastAsia"/>
                      <w:color w:val="auto"/>
                      <w:szCs w:val="21"/>
                    </w:rPr>
                    <w:t>本项目不涉及</w:t>
                  </w:r>
                </w:p>
              </w:tc>
              <w:tc>
                <w:tcPr>
                  <w:tcW w:w="1156" w:type="dxa"/>
                  <w:tcBorders>
                    <w:tl2br w:val="nil"/>
                    <w:tr2bl w:val="nil"/>
                  </w:tcBorders>
                  <w:vAlign w:val="center"/>
                </w:tcPr>
                <w:p>
                  <w:pPr>
                    <w:snapToGrid w:val="0"/>
                    <w:jc w:val="center"/>
                    <w:rPr>
                      <w:color w:val="auto"/>
                      <w:szCs w:val="21"/>
                    </w:rPr>
                  </w:pPr>
                  <w:r>
                    <w:rPr>
                      <w:rFonts w:hint="eastAsia"/>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vMerge w:val="continue"/>
                  <w:tcBorders>
                    <w:tl2br w:val="nil"/>
                    <w:tr2bl w:val="nil"/>
                  </w:tcBorders>
                  <w:vAlign w:val="center"/>
                </w:tcPr>
                <w:p>
                  <w:pPr>
                    <w:snapToGrid w:val="0"/>
                    <w:jc w:val="center"/>
                    <w:rPr>
                      <w:color w:val="auto"/>
                      <w:szCs w:val="21"/>
                    </w:rPr>
                  </w:pPr>
                </w:p>
              </w:tc>
              <w:tc>
                <w:tcPr>
                  <w:tcW w:w="800" w:type="dxa"/>
                  <w:vMerge w:val="continue"/>
                  <w:tcBorders>
                    <w:tl2br w:val="nil"/>
                    <w:tr2bl w:val="nil"/>
                  </w:tcBorders>
                  <w:vAlign w:val="center"/>
                </w:tcPr>
                <w:p>
                  <w:pPr>
                    <w:snapToGrid w:val="0"/>
                    <w:jc w:val="center"/>
                    <w:rPr>
                      <w:color w:val="auto"/>
                      <w:szCs w:val="21"/>
                    </w:rPr>
                  </w:pPr>
                </w:p>
              </w:tc>
              <w:tc>
                <w:tcPr>
                  <w:tcW w:w="3330" w:type="dxa"/>
                  <w:gridSpan w:val="2"/>
                  <w:tcBorders>
                    <w:tl2br w:val="nil"/>
                    <w:tr2bl w:val="nil"/>
                  </w:tcBorders>
                  <w:vAlign w:val="center"/>
                </w:tcPr>
                <w:p>
                  <w:pPr>
                    <w:pStyle w:val="10"/>
                    <w:spacing w:line="240" w:lineRule="auto"/>
                    <w:rPr>
                      <w:color w:val="auto"/>
                      <w:szCs w:val="21"/>
                    </w:rPr>
                  </w:pPr>
                  <w:r>
                    <w:rPr>
                      <w:color w:val="auto"/>
                      <w:szCs w:val="21"/>
                    </w:rPr>
                    <w:t>第四条 持续推进企业大气污染防治。二氧化硫、氮氧化物、颗粒物、VOCs严格执行大气污染物特别排放限值，鼓励辖区内水泥、烧结砖瓦窑企业错峰生产</w:t>
                  </w:r>
                </w:p>
              </w:tc>
              <w:tc>
                <w:tcPr>
                  <w:tcW w:w="1686" w:type="dxa"/>
                  <w:tcBorders>
                    <w:tl2br w:val="nil"/>
                    <w:tr2bl w:val="nil"/>
                  </w:tcBorders>
                  <w:vAlign w:val="center"/>
                </w:tcPr>
                <w:p>
                  <w:pPr>
                    <w:pStyle w:val="10"/>
                    <w:spacing w:line="240" w:lineRule="auto"/>
                    <w:rPr>
                      <w:color w:val="auto"/>
                      <w:szCs w:val="21"/>
                    </w:rPr>
                  </w:pPr>
                  <w:r>
                    <w:rPr>
                      <w:rFonts w:hint="eastAsia"/>
                      <w:color w:val="auto"/>
                      <w:szCs w:val="21"/>
                    </w:rPr>
                    <w:t>本项目执行特别排放限值；本项目不属于</w:t>
                  </w:r>
                  <w:r>
                    <w:rPr>
                      <w:color w:val="auto"/>
                      <w:szCs w:val="21"/>
                    </w:rPr>
                    <w:t>水泥、烧结砖瓦窑</w:t>
                  </w:r>
                  <w:r>
                    <w:rPr>
                      <w:rFonts w:hint="eastAsia"/>
                      <w:color w:val="auto"/>
                      <w:szCs w:val="21"/>
                    </w:rPr>
                    <w:t>项目</w:t>
                  </w:r>
                </w:p>
              </w:tc>
              <w:tc>
                <w:tcPr>
                  <w:tcW w:w="1156" w:type="dxa"/>
                  <w:tcBorders>
                    <w:tl2br w:val="nil"/>
                    <w:tr2bl w:val="nil"/>
                  </w:tcBorders>
                  <w:vAlign w:val="center"/>
                </w:tcPr>
                <w:p>
                  <w:pPr>
                    <w:snapToGrid w:val="0"/>
                    <w:jc w:val="center"/>
                    <w:rPr>
                      <w:color w:val="auto"/>
                      <w:szCs w:val="21"/>
                    </w:rPr>
                  </w:pPr>
                  <w:r>
                    <w:rPr>
                      <w:rFonts w:hint="eastAsia"/>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vMerge w:val="continue"/>
                  <w:tcBorders>
                    <w:tl2br w:val="nil"/>
                    <w:tr2bl w:val="nil"/>
                  </w:tcBorders>
                  <w:vAlign w:val="center"/>
                </w:tcPr>
                <w:p>
                  <w:pPr>
                    <w:snapToGrid w:val="0"/>
                    <w:jc w:val="center"/>
                    <w:rPr>
                      <w:color w:val="auto"/>
                      <w:szCs w:val="21"/>
                    </w:rPr>
                  </w:pPr>
                </w:p>
              </w:tc>
              <w:tc>
                <w:tcPr>
                  <w:tcW w:w="800" w:type="dxa"/>
                  <w:vMerge w:val="continue"/>
                  <w:tcBorders>
                    <w:tl2br w:val="nil"/>
                    <w:tr2bl w:val="nil"/>
                  </w:tcBorders>
                  <w:vAlign w:val="center"/>
                </w:tcPr>
                <w:p>
                  <w:pPr>
                    <w:snapToGrid w:val="0"/>
                    <w:jc w:val="center"/>
                    <w:rPr>
                      <w:color w:val="auto"/>
                      <w:szCs w:val="21"/>
                    </w:rPr>
                  </w:pPr>
                </w:p>
              </w:tc>
              <w:tc>
                <w:tcPr>
                  <w:tcW w:w="3330" w:type="dxa"/>
                  <w:gridSpan w:val="2"/>
                  <w:tcBorders>
                    <w:tl2br w:val="nil"/>
                    <w:tr2bl w:val="nil"/>
                  </w:tcBorders>
                  <w:vAlign w:val="center"/>
                </w:tcPr>
                <w:p>
                  <w:pPr>
                    <w:pStyle w:val="10"/>
                    <w:spacing w:line="240" w:lineRule="auto"/>
                    <w:rPr>
                      <w:color w:val="auto"/>
                      <w:szCs w:val="21"/>
                    </w:rPr>
                  </w:pPr>
                  <w:r>
                    <w:rPr>
                      <w:color w:val="auto"/>
                      <w:szCs w:val="21"/>
                    </w:rPr>
                    <w:t>第五条 新建、改建、扩建涉VOCs的项目，要加强源头控制，使用低VOCs含量的原辅料，加强废气收集，安装高效治理设施。</w:t>
                  </w:r>
                </w:p>
              </w:tc>
              <w:tc>
                <w:tcPr>
                  <w:tcW w:w="1686" w:type="dxa"/>
                  <w:tcBorders>
                    <w:tl2br w:val="nil"/>
                    <w:tr2bl w:val="nil"/>
                  </w:tcBorders>
                  <w:vAlign w:val="center"/>
                </w:tcPr>
                <w:p>
                  <w:pPr>
                    <w:pStyle w:val="10"/>
                    <w:spacing w:line="240" w:lineRule="auto"/>
                    <w:rPr>
                      <w:color w:val="auto"/>
                      <w:szCs w:val="21"/>
                    </w:rPr>
                  </w:pPr>
                  <w:r>
                    <w:rPr>
                      <w:rFonts w:hint="eastAsia"/>
                      <w:color w:val="auto"/>
                      <w:szCs w:val="21"/>
                    </w:rPr>
                    <w:t>本项目使用的胶粘剂为水性胶粘剂，</w:t>
                  </w:r>
                  <w:r>
                    <w:rPr>
                      <w:rFonts w:hint="eastAsia"/>
                      <w:color w:val="auto"/>
                      <w:szCs w:val="21"/>
                      <w:highlight w:val="none"/>
                    </w:rPr>
                    <w:t>属于低</w:t>
                  </w:r>
                  <w:r>
                    <w:rPr>
                      <w:color w:val="auto"/>
                      <w:szCs w:val="21"/>
                      <w:highlight w:val="none"/>
                    </w:rPr>
                    <w:t>VOCs含量的</w:t>
                  </w:r>
                  <w:r>
                    <w:rPr>
                      <w:rFonts w:hint="eastAsia"/>
                      <w:color w:val="auto"/>
                      <w:szCs w:val="21"/>
                      <w:highlight w:val="none"/>
                      <w:lang w:eastAsia="zh-CN"/>
                    </w:rPr>
                    <w:t>物料</w:t>
                  </w:r>
                  <w:r>
                    <w:rPr>
                      <w:rFonts w:hint="eastAsia"/>
                      <w:color w:val="auto"/>
                      <w:szCs w:val="21"/>
                      <w:highlight w:val="none"/>
                    </w:rPr>
                    <w:t>；有机废气采用</w:t>
                  </w:r>
                  <w:r>
                    <w:rPr>
                      <w:rFonts w:hint="eastAsia"/>
                      <w:color w:val="auto"/>
                      <w:szCs w:val="21"/>
                      <w:highlight w:val="none"/>
                      <w:lang w:val="en-US" w:eastAsia="zh-CN"/>
                    </w:rPr>
                    <w:t>UV光解+二级活性炭</w:t>
                  </w:r>
                  <w:r>
                    <w:rPr>
                      <w:rFonts w:hint="eastAsia"/>
                      <w:color w:val="auto"/>
                      <w:szCs w:val="21"/>
                      <w:highlight w:val="none"/>
                    </w:rPr>
                    <w:t>活性炭吸附处</w:t>
                  </w:r>
                  <w:r>
                    <w:rPr>
                      <w:rFonts w:hint="eastAsia"/>
                      <w:color w:val="auto"/>
                      <w:szCs w:val="21"/>
                    </w:rPr>
                    <w:t>理后能达标排放</w:t>
                  </w:r>
                </w:p>
              </w:tc>
              <w:tc>
                <w:tcPr>
                  <w:tcW w:w="1156" w:type="dxa"/>
                  <w:tcBorders>
                    <w:tl2br w:val="nil"/>
                    <w:tr2bl w:val="nil"/>
                  </w:tcBorders>
                  <w:vAlign w:val="center"/>
                </w:tcPr>
                <w:p>
                  <w:pPr>
                    <w:snapToGrid w:val="0"/>
                    <w:jc w:val="center"/>
                    <w:rPr>
                      <w:color w:val="auto"/>
                      <w:szCs w:val="21"/>
                    </w:rPr>
                  </w:pPr>
                  <w:r>
                    <w:rPr>
                      <w:rFonts w:hint="eastAsia"/>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vMerge w:val="continue"/>
                  <w:tcBorders>
                    <w:tl2br w:val="nil"/>
                    <w:tr2bl w:val="nil"/>
                  </w:tcBorders>
                  <w:vAlign w:val="center"/>
                </w:tcPr>
                <w:p>
                  <w:pPr>
                    <w:snapToGrid w:val="0"/>
                    <w:jc w:val="center"/>
                    <w:rPr>
                      <w:color w:val="auto"/>
                      <w:szCs w:val="21"/>
                    </w:rPr>
                  </w:pPr>
                </w:p>
              </w:tc>
              <w:tc>
                <w:tcPr>
                  <w:tcW w:w="800" w:type="dxa"/>
                  <w:vMerge w:val="continue"/>
                  <w:tcBorders>
                    <w:tl2br w:val="nil"/>
                    <w:tr2bl w:val="nil"/>
                  </w:tcBorders>
                  <w:vAlign w:val="center"/>
                </w:tcPr>
                <w:p>
                  <w:pPr>
                    <w:snapToGrid w:val="0"/>
                    <w:jc w:val="center"/>
                    <w:rPr>
                      <w:color w:val="auto"/>
                      <w:szCs w:val="21"/>
                    </w:rPr>
                  </w:pPr>
                </w:p>
              </w:tc>
              <w:tc>
                <w:tcPr>
                  <w:tcW w:w="3330" w:type="dxa"/>
                  <w:gridSpan w:val="2"/>
                  <w:tcBorders>
                    <w:tl2br w:val="nil"/>
                    <w:tr2bl w:val="nil"/>
                  </w:tcBorders>
                  <w:vAlign w:val="center"/>
                </w:tcPr>
                <w:p>
                  <w:pPr>
                    <w:pStyle w:val="10"/>
                    <w:spacing w:line="240" w:lineRule="auto"/>
                    <w:rPr>
                      <w:color w:val="auto"/>
                      <w:szCs w:val="21"/>
                    </w:rPr>
                  </w:pPr>
                  <w:r>
                    <w:rPr>
                      <w:color w:val="auto"/>
                      <w:szCs w:val="21"/>
                    </w:rPr>
                    <w:t>第六条 持续推进小安溪综合整治，加强农业面源污染防治；加快农村分散污水有效处理，推进农村生活垃圾进行集中收集并装运统一处置。</w:t>
                  </w:r>
                </w:p>
              </w:tc>
              <w:tc>
                <w:tcPr>
                  <w:tcW w:w="1686" w:type="dxa"/>
                  <w:tcBorders>
                    <w:tl2br w:val="nil"/>
                    <w:tr2bl w:val="nil"/>
                  </w:tcBorders>
                  <w:vAlign w:val="center"/>
                </w:tcPr>
                <w:p>
                  <w:pPr>
                    <w:pStyle w:val="10"/>
                    <w:spacing w:line="240" w:lineRule="auto"/>
                    <w:rPr>
                      <w:color w:val="auto"/>
                      <w:szCs w:val="21"/>
                    </w:rPr>
                  </w:pPr>
                  <w:r>
                    <w:rPr>
                      <w:rFonts w:hint="eastAsia"/>
                      <w:color w:val="auto"/>
                      <w:szCs w:val="21"/>
                    </w:rPr>
                    <w:t>本项目不涉及农业面源污染防治，不涉及农村分散污水及生活的垃圾统一处置。</w:t>
                  </w:r>
                </w:p>
              </w:tc>
              <w:tc>
                <w:tcPr>
                  <w:tcW w:w="1156" w:type="dxa"/>
                  <w:tcBorders>
                    <w:tl2br w:val="nil"/>
                    <w:tr2bl w:val="nil"/>
                  </w:tcBorders>
                  <w:vAlign w:val="center"/>
                </w:tcPr>
                <w:p>
                  <w:pPr>
                    <w:snapToGrid w:val="0"/>
                    <w:jc w:val="center"/>
                    <w:rPr>
                      <w:color w:val="auto"/>
                      <w:szCs w:val="21"/>
                    </w:rPr>
                  </w:pPr>
                  <w:r>
                    <w:rPr>
                      <w:rFonts w:hint="eastAsia"/>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vMerge w:val="continue"/>
                  <w:tcBorders>
                    <w:tl2br w:val="nil"/>
                    <w:tr2bl w:val="nil"/>
                  </w:tcBorders>
                  <w:vAlign w:val="center"/>
                </w:tcPr>
                <w:p>
                  <w:pPr>
                    <w:snapToGrid w:val="0"/>
                    <w:jc w:val="center"/>
                    <w:rPr>
                      <w:color w:val="auto"/>
                      <w:szCs w:val="21"/>
                    </w:rPr>
                  </w:pPr>
                </w:p>
              </w:tc>
              <w:tc>
                <w:tcPr>
                  <w:tcW w:w="800" w:type="dxa"/>
                  <w:vMerge w:val="continue"/>
                  <w:tcBorders>
                    <w:tl2br w:val="nil"/>
                    <w:tr2bl w:val="nil"/>
                  </w:tcBorders>
                  <w:vAlign w:val="center"/>
                </w:tcPr>
                <w:p>
                  <w:pPr>
                    <w:snapToGrid w:val="0"/>
                    <w:jc w:val="center"/>
                    <w:rPr>
                      <w:color w:val="auto"/>
                      <w:szCs w:val="21"/>
                    </w:rPr>
                  </w:pPr>
                </w:p>
              </w:tc>
              <w:tc>
                <w:tcPr>
                  <w:tcW w:w="3330" w:type="dxa"/>
                  <w:gridSpan w:val="2"/>
                  <w:tcBorders>
                    <w:tl2br w:val="nil"/>
                    <w:tr2bl w:val="nil"/>
                  </w:tcBorders>
                  <w:vAlign w:val="center"/>
                </w:tcPr>
                <w:p>
                  <w:pPr>
                    <w:pStyle w:val="10"/>
                    <w:spacing w:line="240" w:lineRule="auto"/>
                    <w:rPr>
                      <w:color w:val="auto"/>
                      <w:szCs w:val="21"/>
                    </w:rPr>
                  </w:pPr>
                  <w:r>
                    <w:rPr>
                      <w:color w:val="auto"/>
                      <w:szCs w:val="21"/>
                    </w:rPr>
                    <w:t>第七条 严格落实畜禽养殖规划，取缔或搬迁小安溪流域禁养区畜禽养殖场。</w:t>
                  </w:r>
                </w:p>
              </w:tc>
              <w:tc>
                <w:tcPr>
                  <w:tcW w:w="1686" w:type="dxa"/>
                  <w:tcBorders>
                    <w:tl2br w:val="nil"/>
                    <w:tr2bl w:val="nil"/>
                  </w:tcBorders>
                  <w:vAlign w:val="center"/>
                </w:tcPr>
                <w:p>
                  <w:pPr>
                    <w:pStyle w:val="10"/>
                    <w:spacing w:line="240" w:lineRule="auto"/>
                    <w:rPr>
                      <w:color w:val="auto"/>
                      <w:szCs w:val="21"/>
                    </w:rPr>
                  </w:pPr>
                  <w:r>
                    <w:rPr>
                      <w:rFonts w:hint="eastAsia"/>
                      <w:color w:val="auto"/>
                      <w:szCs w:val="21"/>
                    </w:rPr>
                    <w:t>本项目不属于畜禽养殖项目</w:t>
                  </w:r>
                </w:p>
              </w:tc>
              <w:tc>
                <w:tcPr>
                  <w:tcW w:w="1156" w:type="dxa"/>
                  <w:tcBorders>
                    <w:tl2br w:val="nil"/>
                    <w:tr2bl w:val="nil"/>
                  </w:tcBorders>
                  <w:vAlign w:val="center"/>
                </w:tcPr>
                <w:p>
                  <w:pPr>
                    <w:snapToGrid w:val="0"/>
                    <w:jc w:val="center"/>
                    <w:rPr>
                      <w:color w:val="auto"/>
                      <w:szCs w:val="21"/>
                    </w:rPr>
                  </w:pPr>
                  <w:r>
                    <w:rPr>
                      <w:rFonts w:hint="eastAsia"/>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818" w:type="dxa"/>
                  <w:vMerge w:val="continue"/>
                  <w:tcBorders>
                    <w:tl2br w:val="nil"/>
                    <w:tr2bl w:val="nil"/>
                  </w:tcBorders>
                  <w:vAlign w:val="center"/>
                </w:tcPr>
                <w:p>
                  <w:pPr>
                    <w:snapToGrid w:val="0"/>
                    <w:jc w:val="center"/>
                    <w:rPr>
                      <w:color w:val="auto"/>
                      <w:szCs w:val="21"/>
                    </w:rPr>
                  </w:pPr>
                </w:p>
              </w:tc>
              <w:tc>
                <w:tcPr>
                  <w:tcW w:w="800" w:type="dxa"/>
                  <w:tcBorders>
                    <w:tl2br w:val="nil"/>
                    <w:tr2bl w:val="nil"/>
                  </w:tcBorders>
                  <w:vAlign w:val="center"/>
                </w:tcPr>
                <w:p>
                  <w:pPr>
                    <w:snapToGrid w:val="0"/>
                    <w:jc w:val="center"/>
                    <w:rPr>
                      <w:color w:val="auto"/>
                      <w:szCs w:val="21"/>
                    </w:rPr>
                  </w:pPr>
                  <w:r>
                    <w:rPr>
                      <w:color w:val="auto"/>
                      <w:szCs w:val="21"/>
                    </w:rPr>
                    <w:t>环境风险防控</w:t>
                  </w:r>
                </w:p>
              </w:tc>
              <w:tc>
                <w:tcPr>
                  <w:tcW w:w="3330" w:type="dxa"/>
                  <w:gridSpan w:val="2"/>
                  <w:tcBorders>
                    <w:tl2br w:val="nil"/>
                    <w:tr2bl w:val="nil"/>
                  </w:tcBorders>
                  <w:vAlign w:val="center"/>
                </w:tcPr>
                <w:p>
                  <w:pPr>
                    <w:pStyle w:val="10"/>
                    <w:spacing w:line="240" w:lineRule="auto"/>
                    <w:rPr>
                      <w:color w:val="auto"/>
                      <w:szCs w:val="21"/>
                    </w:rPr>
                  </w:pPr>
                  <w:r>
                    <w:rPr>
                      <w:color w:val="auto"/>
                      <w:szCs w:val="21"/>
                    </w:rPr>
                    <w:t>第八条 生产、存储危险化学品及产生大量废水的企业，应配套有效措施，防止因渗漏污染地下水、土壤，以及因事故废水直排污染地表水体</w:t>
                  </w:r>
                </w:p>
              </w:tc>
              <w:tc>
                <w:tcPr>
                  <w:tcW w:w="1686" w:type="dxa"/>
                  <w:tcBorders>
                    <w:tl2br w:val="nil"/>
                    <w:tr2bl w:val="nil"/>
                  </w:tcBorders>
                  <w:vAlign w:val="center"/>
                </w:tcPr>
                <w:p>
                  <w:pPr>
                    <w:pStyle w:val="10"/>
                    <w:spacing w:line="240" w:lineRule="auto"/>
                    <w:rPr>
                      <w:color w:val="auto"/>
                      <w:szCs w:val="21"/>
                    </w:rPr>
                  </w:pPr>
                  <w:r>
                    <w:rPr>
                      <w:rFonts w:hint="eastAsia"/>
                      <w:color w:val="auto"/>
                      <w:szCs w:val="21"/>
                    </w:rPr>
                    <w:t>本项目配套建设了地下水、土壤的污染防治措施</w:t>
                  </w:r>
                </w:p>
              </w:tc>
              <w:tc>
                <w:tcPr>
                  <w:tcW w:w="1156" w:type="dxa"/>
                  <w:tcBorders>
                    <w:tl2br w:val="nil"/>
                    <w:tr2bl w:val="nil"/>
                  </w:tcBorders>
                  <w:vAlign w:val="center"/>
                </w:tcPr>
                <w:p>
                  <w:pPr>
                    <w:snapToGrid w:val="0"/>
                    <w:jc w:val="center"/>
                    <w:rPr>
                      <w:color w:val="auto"/>
                      <w:szCs w:val="21"/>
                    </w:rPr>
                  </w:pPr>
                  <w:r>
                    <w:rPr>
                      <w:rFonts w:hint="eastAsia"/>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818" w:type="dxa"/>
                  <w:vMerge w:val="continue"/>
                  <w:tcBorders>
                    <w:tl2br w:val="nil"/>
                    <w:tr2bl w:val="nil"/>
                  </w:tcBorders>
                  <w:vAlign w:val="center"/>
                </w:tcPr>
                <w:p>
                  <w:pPr>
                    <w:snapToGrid w:val="0"/>
                    <w:jc w:val="center"/>
                    <w:rPr>
                      <w:color w:val="auto"/>
                      <w:szCs w:val="21"/>
                    </w:rPr>
                  </w:pPr>
                </w:p>
              </w:tc>
              <w:tc>
                <w:tcPr>
                  <w:tcW w:w="800" w:type="dxa"/>
                  <w:tcBorders>
                    <w:tl2br w:val="nil"/>
                    <w:tr2bl w:val="nil"/>
                  </w:tcBorders>
                  <w:vAlign w:val="center"/>
                </w:tcPr>
                <w:p>
                  <w:pPr>
                    <w:snapToGrid w:val="0"/>
                    <w:jc w:val="center"/>
                    <w:rPr>
                      <w:color w:val="auto"/>
                      <w:szCs w:val="21"/>
                    </w:rPr>
                  </w:pPr>
                  <w:r>
                    <w:rPr>
                      <w:color w:val="auto"/>
                      <w:szCs w:val="21"/>
                    </w:rPr>
                    <w:t>资源开发利用效率</w:t>
                  </w:r>
                </w:p>
              </w:tc>
              <w:tc>
                <w:tcPr>
                  <w:tcW w:w="3330" w:type="dxa"/>
                  <w:gridSpan w:val="2"/>
                  <w:tcBorders>
                    <w:tl2br w:val="nil"/>
                    <w:tr2bl w:val="nil"/>
                  </w:tcBorders>
                  <w:vAlign w:val="center"/>
                </w:tcPr>
                <w:p>
                  <w:pPr>
                    <w:pStyle w:val="10"/>
                    <w:spacing w:line="240" w:lineRule="auto"/>
                    <w:rPr>
                      <w:color w:val="auto"/>
                      <w:szCs w:val="21"/>
                    </w:rPr>
                  </w:pPr>
                  <w:r>
                    <w:rPr>
                      <w:color w:val="auto"/>
                      <w:szCs w:val="21"/>
                    </w:rPr>
                    <w:t>第九条 推行节水措施和中水回用，提高水资源</w:t>
                  </w:r>
                  <w:r>
                    <w:rPr>
                      <w:rFonts w:hint="eastAsia"/>
                      <w:color w:val="auto"/>
                      <w:szCs w:val="21"/>
                    </w:rPr>
                    <w:t>回</w:t>
                  </w:r>
                  <w:r>
                    <w:rPr>
                      <w:color w:val="auto"/>
                      <w:szCs w:val="21"/>
                    </w:rPr>
                    <w:t>用率，鼓励工业企业提高中水回用率。</w:t>
                  </w:r>
                </w:p>
              </w:tc>
              <w:tc>
                <w:tcPr>
                  <w:tcW w:w="1686" w:type="dxa"/>
                  <w:tcBorders>
                    <w:tl2br w:val="nil"/>
                    <w:tr2bl w:val="nil"/>
                  </w:tcBorders>
                  <w:vAlign w:val="center"/>
                </w:tcPr>
                <w:p>
                  <w:pPr>
                    <w:pStyle w:val="10"/>
                    <w:spacing w:line="240" w:lineRule="auto"/>
                    <w:rPr>
                      <w:color w:val="auto"/>
                      <w:szCs w:val="21"/>
                    </w:rPr>
                  </w:pPr>
                  <w:r>
                    <w:rPr>
                      <w:rFonts w:hint="eastAsia"/>
                      <w:color w:val="auto"/>
                      <w:szCs w:val="21"/>
                    </w:rPr>
                    <w:t>本项目不涉及中水回用。</w:t>
                  </w:r>
                </w:p>
              </w:tc>
              <w:tc>
                <w:tcPr>
                  <w:tcW w:w="1156" w:type="dxa"/>
                  <w:tcBorders>
                    <w:tl2br w:val="nil"/>
                    <w:tr2bl w:val="nil"/>
                  </w:tcBorders>
                  <w:vAlign w:val="center"/>
                </w:tcPr>
                <w:p>
                  <w:pPr>
                    <w:snapToGrid w:val="0"/>
                    <w:jc w:val="center"/>
                    <w:rPr>
                      <w:color w:val="auto"/>
                      <w:szCs w:val="21"/>
                    </w:rPr>
                  </w:pPr>
                  <w:r>
                    <w:rPr>
                      <w:rFonts w:hint="eastAsia"/>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vMerge w:val="restart"/>
                  <w:tcBorders>
                    <w:tl2br w:val="nil"/>
                    <w:tr2bl w:val="nil"/>
                  </w:tcBorders>
                  <w:vAlign w:val="center"/>
                </w:tcPr>
                <w:p>
                  <w:pPr>
                    <w:snapToGrid w:val="0"/>
                    <w:jc w:val="center"/>
                    <w:rPr>
                      <w:color w:val="auto"/>
                      <w:szCs w:val="21"/>
                    </w:rPr>
                  </w:pPr>
                  <w:r>
                    <w:rPr>
                      <w:color w:val="auto"/>
                      <w:szCs w:val="21"/>
                    </w:rPr>
                    <w:t>单元管控要求</w:t>
                  </w:r>
                </w:p>
              </w:tc>
              <w:tc>
                <w:tcPr>
                  <w:tcW w:w="800" w:type="dxa"/>
                  <w:tcBorders>
                    <w:tl2br w:val="nil"/>
                    <w:tr2bl w:val="nil"/>
                  </w:tcBorders>
                  <w:vAlign w:val="center"/>
                </w:tcPr>
                <w:p>
                  <w:pPr>
                    <w:snapToGrid w:val="0"/>
                    <w:jc w:val="center"/>
                    <w:rPr>
                      <w:color w:val="auto"/>
                      <w:szCs w:val="21"/>
                    </w:rPr>
                  </w:pPr>
                  <w:r>
                    <w:rPr>
                      <w:color w:val="auto"/>
                      <w:szCs w:val="21"/>
                    </w:rPr>
                    <w:t>空间布局约束</w:t>
                  </w:r>
                </w:p>
              </w:tc>
              <w:tc>
                <w:tcPr>
                  <w:tcW w:w="3330" w:type="dxa"/>
                  <w:gridSpan w:val="2"/>
                  <w:tcBorders>
                    <w:tl2br w:val="nil"/>
                    <w:tr2bl w:val="nil"/>
                  </w:tcBorders>
                  <w:vAlign w:val="center"/>
                </w:tcPr>
                <w:p>
                  <w:pPr>
                    <w:widowControl/>
                    <w:rPr>
                      <w:color w:val="auto"/>
                      <w:szCs w:val="21"/>
                    </w:rPr>
                  </w:pPr>
                  <w:r>
                    <w:rPr>
                      <w:rFonts w:hint="eastAsia"/>
                      <w:color w:val="auto"/>
                      <w:szCs w:val="21"/>
                    </w:rPr>
                    <w:t>除在安全或产业布局等方面有特殊要求的项目外，新建有污染物排放的工业项目，应当进入工业园区/工业聚集区。限制引入高耗水、高排水项目，铜梁高新区的</w:t>
                  </w:r>
                  <w:r>
                    <w:rPr>
                      <w:color w:val="auto"/>
                      <w:szCs w:val="21"/>
                    </w:rPr>
                    <w:t>白土坝片区采取“腾笼换鸟”的方式，</w:t>
                  </w:r>
                  <w:r>
                    <w:rPr>
                      <w:rFonts w:hint="eastAsia"/>
                      <w:color w:val="auto"/>
                      <w:szCs w:val="21"/>
                    </w:rPr>
                    <w:t>推动现有产业提档升级，发展环境影响小、风险可控产业</w:t>
                  </w:r>
                </w:p>
              </w:tc>
              <w:tc>
                <w:tcPr>
                  <w:tcW w:w="1686" w:type="dxa"/>
                  <w:tcBorders>
                    <w:tl2br w:val="nil"/>
                    <w:tr2bl w:val="nil"/>
                  </w:tcBorders>
                  <w:vAlign w:val="center"/>
                </w:tcPr>
                <w:p>
                  <w:pPr>
                    <w:adjustRightInd w:val="0"/>
                    <w:snapToGrid w:val="0"/>
                    <w:rPr>
                      <w:color w:val="auto"/>
                      <w:szCs w:val="21"/>
                    </w:rPr>
                  </w:pPr>
                  <w:r>
                    <w:rPr>
                      <w:color w:val="auto"/>
                      <w:szCs w:val="21"/>
                    </w:rPr>
                    <w:t>本项目位于铜梁工业园，属于</w:t>
                  </w:r>
                  <w:r>
                    <w:rPr>
                      <w:rFonts w:hint="eastAsia"/>
                      <w:color w:val="auto"/>
                      <w:szCs w:val="21"/>
                    </w:rPr>
                    <w:t>工业园区内</w:t>
                  </w:r>
                  <w:r>
                    <w:rPr>
                      <w:color w:val="auto"/>
                      <w:szCs w:val="21"/>
                    </w:rPr>
                    <w:t>；本项目不属于高耗水、高排水项目</w:t>
                  </w:r>
                  <w:r>
                    <w:rPr>
                      <w:rFonts w:hint="eastAsia"/>
                      <w:color w:val="auto"/>
                      <w:szCs w:val="21"/>
                    </w:rPr>
                    <w:t>。</w:t>
                  </w:r>
                </w:p>
              </w:tc>
              <w:tc>
                <w:tcPr>
                  <w:tcW w:w="1156" w:type="dxa"/>
                  <w:tcBorders>
                    <w:tl2br w:val="nil"/>
                    <w:tr2bl w:val="nil"/>
                  </w:tcBorders>
                  <w:vAlign w:val="center"/>
                </w:tcPr>
                <w:p>
                  <w:pPr>
                    <w:pStyle w:val="49"/>
                    <w:kinsoku w:val="0"/>
                    <w:overflowPunct w:val="0"/>
                    <w:snapToGrid w:val="0"/>
                    <w:spacing w:line="240" w:lineRule="auto"/>
                    <w:ind w:firstLine="0" w:firstLineChars="0"/>
                    <w:jc w:val="center"/>
                    <w:rPr>
                      <w:color w:val="auto"/>
                      <w:sz w:val="21"/>
                      <w:szCs w:val="21"/>
                    </w:rPr>
                  </w:pPr>
                  <w:r>
                    <w:rPr>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vMerge w:val="continue"/>
                  <w:tcBorders>
                    <w:tl2br w:val="nil"/>
                    <w:tr2bl w:val="nil"/>
                  </w:tcBorders>
                  <w:vAlign w:val="center"/>
                </w:tcPr>
                <w:p>
                  <w:pPr>
                    <w:snapToGrid w:val="0"/>
                    <w:jc w:val="center"/>
                    <w:rPr>
                      <w:color w:val="auto"/>
                      <w:szCs w:val="21"/>
                    </w:rPr>
                  </w:pPr>
                </w:p>
              </w:tc>
              <w:tc>
                <w:tcPr>
                  <w:tcW w:w="800" w:type="dxa"/>
                  <w:tcBorders>
                    <w:tl2br w:val="nil"/>
                    <w:tr2bl w:val="nil"/>
                  </w:tcBorders>
                  <w:vAlign w:val="center"/>
                </w:tcPr>
                <w:p>
                  <w:pPr>
                    <w:snapToGrid w:val="0"/>
                    <w:jc w:val="center"/>
                    <w:rPr>
                      <w:color w:val="auto"/>
                      <w:szCs w:val="21"/>
                    </w:rPr>
                  </w:pPr>
                  <w:r>
                    <w:rPr>
                      <w:color w:val="auto"/>
                      <w:szCs w:val="21"/>
                    </w:rPr>
                    <w:t>污染物排放管控</w:t>
                  </w:r>
                </w:p>
              </w:tc>
              <w:tc>
                <w:tcPr>
                  <w:tcW w:w="3330" w:type="dxa"/>
                  <w:gridSpan w:val="2"/>
                  <w:tcBorders>
                    <w:tl2br w:val="nil"/>
                    <w:tr2bl w:val="nil"/>
                  </w:tcBorders>
                  <w:vAlign w:val="center"/>
                </w:tcPr>
                <w:p>
                  <w:pPr>
                    <w:widowControl/>
                    <w:rPr>
                      <w:color w:val="auto"/>
                      <w:szCs w:val="21"/>
                    </w:rPr>
                  </w:pPr>
                  <w:r>
                    <w:rPr>
                      <w:color w:val="auto"/>
                      <w:kern w:val="0"/>
                      <w:szCs w:val="21"/>
                      <w:lang w:bidi="ar"/>
                    </w:rPr>
                    <w:t>城市建成区生活污水集中处理率达到95%；镇街生活污水集中处理率达到85%。</w:t>
                  </w:r>
                  <w:r>
                    <w:rPr>
                      <w:rFonts w:hint="eastAsia"/>
                      <w:color w:val="auto"/>
                      <w:kern w:val="0"/>
                      <w:szCs w:val="21"/>
                      <w:lang w:bidi="ar"/>
                    </w:rPr>
                    <w:t>城市生活污水处理厂全面达到一级A标排放，生活污水处理厂污泥无害化处置率达到100%。大力推广清洁能源，禁止新建20吨以下的小燃煤锅炉。鼓励烧结砖瓦窑开展错峰生产。持续推进企业大气污染防治，加强涉及挥发性有机物排放企业的VOCs的治理，新建涉及喷涂的建设项目鼓励使用环保涂料。</w:t>
                  </w:r>
                </w:p>
              </w:tc>
              <w:tc>
                <w:tcPr>
                  <w:tcW w:w="1686" w:type="dxa"/>
                  <w:tcBorders>
                    <w:tl2br w:val="nil"/>
                    <w:tr2bl w:val="nil"/>
                  </w:tcBorders>
                  <w:vAlign w:val="center"/>
                </w:tcPr>
                <w:p>
                  <w:pPr>
                    <w:adjustRightInd w:val="0"/>
                    <w:snapToGrid w:val="0"/>
                    <w:rPr>
                      <w:color w:val="auto"/>
                      <w:szCs w:val="21"/>
                    </w:rPr>
                  </w:pPr>
                  <w:r>
                    <w:rPr>
                      <w:rFonts w:hint="eastAsia"/>
                      <w:color w:val="auto"/>
                      <w:szCs w:val="21"/>
                    </w:rPr>
                    <w:t>本项目不涉及生活污水处理设施；本项目使用能源为电能、天然气，不使用燃煤锅炉；本项目不属于砖瓦窑项目；本项目产生的挥发性有机物经处理后能达标排放；本项目不涉及喷涂工艺</w:t>
                  </w:r>
                </w:p>
              </w:tc>
              <w:tc>
                <w:tcPr>
                  <w:tcW w:w="1156" w:type="dxa"/>
                  <w:tcBorders>
                    <w:tl2br w:val="nil"/>
                    <w:tr2bl w:val="nil"/>
                  </w:tcBorders>
                  <w:vAlign w:val="center"/>
                </w:tcPr>
                <w:p>
                  <w:pPr>
                    <w:pStyle w:val="49"/>
                    <w:kinsoku w:val="0"/>
                    <w:overflowPunct w:val="0"/>
                    <w:snapToGrid w:val="0"/>
                    <w:spacing w:line="240" w:lineRule="auto"/>
                    <w:ind w:firstLine="0" w:firstLineChars="0"/>
                    <w:jc w:val="center"/>
                    <w:rPr>
                      <w:color w:val="auto"/>
                      <w:sz w:val="21"/>
                      <w:szCs w:val="21"/>
                    </w:rPr>
                  </w:pPr>
                  <w:r>
                    <w:rPr>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vMerge w:val="continue"/>
                  <w:tcBorders>
                    <w:tl2br w:val="nil"/>
                    <w:tr2bl w:val="nil"/>
                  </w:tcBorders>
                  <w:vAlign w:val="center"/>
                </w:tcPr>
                <w:p>
                  <w:pPr>
                    <w:snapToGrid w:val="0"/>
                    <w:jc w:val="center"/>
                    <w:rPr>
                      <w:color w:val="auto"/>
                      <w:szCs w:val="21"/>
                    </w:rPr>
                  </w:pPr>
                </w:p>
              </w:tc>
              <w:tc>
                <w:tcPr>
                  <w:tcW w:w="800" w:type="dxa"/>
                  <w:tcBorders>
                    <w:tl2br w:val="nil"/>
                    <w:tr2bl w:val="nil"/>
                  </w:tcBorders>
                  <w:vAlign w:val="center"/>
                </w:tcPr>
                <w:p>
                  <w:pPr>
                    <w:snapToGrid w:val="0"/>
                    <w:jc w:val="center"/>
                    <w:rPr>
                      <w:color w:val="auto"/>
                      <w:szCs w:val="21"/>
                    </w:rPr>
                  </w:pPr>
                  <w:r>
                    <w:rPr>
                      <w:color w:val="auto"/>
                      <w:szCs w:val="21"/>
                    </w:rPr>
                    <w:t>环境风险防控</w:t>
                  </w:r>
                </w:p>
              </w:tc>
              <w:tc>
                <w:tcPr>
                  <w:tcW w:w="3330" w:type="dxa"/>
                  <w:gridSpan w:val="2"/>
                  <w:tcBorders>
                    <w:tl2br w:val="nil"/>
                    <w:tr2bl w:val="nil"/>
                  </w:tcBorders>
                  <w:vAlign w:val="center"/>
                </w:tcPr>
                <w:p>
                  <w:pPr>
                    <w:widowControl/>
                    <w:rPr>
                      <w:color w:val="auto"/>
                      <w:szCs w:val="21"/>
                    </w:rPr>
                  </w:pPr>
                  <w:r>
                    <w:rPr>
                      <w:rFonts w:hint="eastAsia" w:ascii="宋体" w:hAnsi="宋体" w:cs="宋体"/>
                      <w:color w:val="auto"/>
                      <w:kern w:val="0"/>
                      <w:szCs w:val="21"/>
                      <w:lang w:bidi="ar"/>
                    </w:rPr>
                    <w:t>严格限制居民区周边布置企业类型，不宜引入存在重大环境风险的工艺企业。小企业基地应开展环境影响评价工作，并建立环境风险防控体系。生产、储存危险化学品及产生大量废水的企业，应配套有效设施，防止因渗漏污染地下水、土壤，以及因事故废水直排污染地表水体。产生、利用或处置固体废物（含危险废物）的企业，在贮存、转移、利用、处置固体废物（含危险废物）过程中，应配套防扬散、防流失、防渗漏及其他防止污染环境的措施</w:t>
                  </w:r>
                </w:p>
              </w:tc>
              <w:tc>
                <w:tcPr>
                  <w:tcW w:w="1686" w:type="dxa"/>
                  <w:tcBorders>
                    <w:tl2br w:val="nil"/>
                    <w:tr2bl w:val="nil"/>
                  </w:tcBorders>
                  <w:vAlign w:val="center"/>
                </w:tcPr>
                <w:p>
                  <w:pPr>
                    <w:adjustRightInd w:val="0"/>
                    <w:snapToGrid w:val="0"/>
                    <w:rPr>
                      <w:color w:val="auto"/>
                      <w:szCs w:val="21"/>
                    </w:rPr>
                  </w:pPr>
                  <w:r>
                    <w:rPr>
                      <w:rFonts w:hint="eastAsia"/>
                      <w:color w:val="auto"/>
                      <w:szCs w:val="21"/>
                    </w:rPr>
                    <w:t>本项目周边500m范围内无环境保护目标；本项目不属于小企业基地项目；本项目不涉及危险化学品，废水产生量少；本项目产生固体废水经暂存后得到有效处置，固体废物的暂存采取了三防措施。</w:t>
                  </w:r>
                </w:p>
              </w:tc>
              <w:tc>
                <w:tcPr>
                  <w:tcW w:w="1156" w:type="dxa"/>
                  <w:tcBorders>
                    <w:tl2br w:val="nil"/>
                    <w:tr2bl w:val="nil"/>
                  </w:tcBorders>
                  <w:vAlign w:val="center"/>
                </w:tcPr>
                <w:p>
                  <w:pPr>
                    <w:pStyle w:val="49"/>
                    <w:kinsoku w:val="0"/>
                    <w:overflowPunct w:val="0"/>
                    <w:snapToGrid w:val="0"/>
                    <w:spacing w:line="240" w:lineRule="auto"/>
                    <w:ind w:firstLine="0" w:firstLineChars="0"/>
                    <w:jc w:val="center"/>
                    <w:rPr>
                      <w:color w:val="auto"/>
                      <w:sz w:val="21"/>
                      <w:szCs w:val="21"/>
                    </w:rPr>
                  </w:pPr>
                  <w:r>
                    <w:rPr>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8" w:type="dxa"/>
                  <w:vMerge w:val="continue"/>
                  <w:tcBorders>
                    <w:tl2br w:val="nil"/>
                    <w:tr2bl w:val="nil"/>
                  </w:tcBorders>
                  <w:vAlign w:val="center"/>
                </w:tcPr>
                <w:p>
                  <w:pPr>
                    <w:snapToGrid w:val="0"/>
                    <w:jc w:val="center"/>
                    <w:rPr>
                      <w:color w:val="auto"/>
                      <w:szCs w:val="21"/>
                    </w:rPr>
                  </w:pPr>
                </w:p>
              </w:tc>
              <w:tc>
                <w:tcPr>
                  <w:tcW w:w="800" w:type="dxa"/>
                  <w:tcBorders>
                    <w:tl2br w:val="nil"/>
                    <w:tr2bl w:val="nil"/>
                  </w:tcBorders>
                  <w:vAlign w:val="center"/>
                </w:tcPr>
                <w:p>
                  <w:pPr>
                    <w:snapToGrid w:val="0"/>
                    <w:jc w:val="center"/>
                    <w:rPr>
                      <w:color w:val="auto"/>
                      <w:szCs w:val="21"/>
                    </w:rPr>
                  </w:pPr>
                  <w:r>
                    <w:rPr>
                      <w:color w:val="auto"/>
                      <w:szCs w:val="21"/>
                    </w:rPr>
                    <w:t>资源开发利用效率</w:t>
                  </w:r>
                </w:p>
              </w:tc>
              <w:tc>
                <w:tcPr>
                  <w:tcW w:w="3330" w:type="dxa"/>
                  <w:gridSpan w:val="2"/>
                  <w:tcBorders>
                    <w:tl2br w:val="nil"/>
                    <w:tr2bl w:val="nil"/>
                  </w:tcBorders>
                  <w:vAlign w:val="center"/>
                </w:tcPr>
                <w:p>
                  <w:pPr>
                    <w:widowControl/>
                    <w:rPr>
                      <w:color w:val="auto"/>
                      <w:szCs w:val="21"/>
                    </w:rPr>
                  </w:pPr>
                  <w:r>
                    <w:rPr>
                      <w:rFonts w:hint="eastAsia"/>
                      <w:color w:val="auto"/>
                      <w:szCs w:val="21"/>
                    </w:rPr>
                    <w:t>在禁燃区，禁止销售、燃用高污染物燃料；禁止新建、扩建燃用高污染物燃料的设施，已建成的，应当在城市人民政府规定的限期内改用天然气、页岩气、液化石油气、电或其它清洁能源。推行节水措施和中水回用提高水资源回用率。鼓励工业企业实施中水回用。</w:t>
                  </w:r>
                </w:p>
              </w:tc>
              <w:tc>
                <w:tcPr>
                  <w:tcW w:w="1686" w:type="dxa"/>
                  <w:tcBorders>
                    <w:tl2br w:val="nil"/>
                    <w:tr2bl w:val="nil"/>
                  </w:tcBorders>
                  <w:vAlign w:val="center"/>
                </w:tcPr>
                <w:p>
                  <w:pPr>
                    <w:adjustRightInd w:val="0"/>
                    <w:snapToGrid w:val="0"/>
                    <w:rPr>
                      <w:color w:val="auto"/>
                      <w:szCs w:val="21"/>
                    </w:rPr>
                  </w:pPr>
                  <w:r>
                    <w:rPr>
                      <w:rFonts w:hint="eastAsia"/>
                      <w:color w:val="auto"/>
                      <w:szCs w:val="21"/>
                    </w:rPr>
                    <w:t>本项目不使用高污染燃料；本项目用水量较少，不涉及中水回用</w:t>
                  </w:r>
                </w:p>
              </w:tc>
              <w:tc>
                <w:tcPr>
                  <w:tcW w:w="1156" w:type="dxa"/>
                  <w:tcBorders>
                    <w:tl2br w:val="nil"/>
                    <w:tr2bl w:val="nil"/>
                  </w:tcBorders>
                  <w:vAlign w:val="center"/>
                </w:tcPr>
                <w:p>
                  <w:pPr>
                    <w:pStyle w:val="49"/>
                    <w:kinsoku w:val="0"/>
                    <w:overflowPunct w:val="0"/>
                    <w:snapToGrid w:val="0"/>
                    <w:spacing w:line="240" w:lineRule="auto"/>
                    <w:ind w:firstLine="0" w:firstLineChars="0"/>
                    <w:jc w:val="center"/>
                    <w:rPr>
                      <w:color w:val="auto"/>
                      <w:sz w:val="21"/>
                      <w:szCs w:val="21"/>
                    </w:rPr>
                  </w:pPr>
                  <w:r>
                    <w:rPr>
                      <w:color w:val="auto"/>
                      <w:sz w:val="21"/>
                      <w:szCs w:val="21"/>
                    </w:rPr>
                    <w:t>符合</w:t>
                  </w:r>
                </w:p>
              </w:tc>
            </w:tr>
          </w:tbl>
          <w:p>
            <w:pPr>
              <w:spacing w:line="360" w:lineRule="auto"/>
              <w:ind w:firstLine="480" w:firstLineChars="200"/>
              <w:rPr>
                <w:rFonts w:eastAsiaTheme="minorEastAsia"/>
                <w:color w:val="auto"/>
                <w:sz w:val="24"/>
              </w:rPr>
            </w:pPr>
            <w:r>
              <w:rPr>
                <w:rFonts w:hint="eastAsia" w:eastAsiaTheme="minorEastAsia"/>
                <w:color w:val="auto"/>
                <w:sz w:val="24"/>
              </w:rPr>
              <w:t>综上所述，本项目符合“三线一单”管控的要求。</w:t>
            </w:r>
          </w:p>
          <w:p>
            <w:pPr>
              <w:adjustRightInd w:val="0"/>
              <w:snapToGrid w:val="0"/>
              <w:spacing w:line="360" w:lineRule="auto"/>
              <w:rPr>
                <w:color w:val="auto"/>
                <w:sz w:val="24"/>
              </w:rPr>
            </w:pPr>
            <w:r>
              <w:rPr>
                <w:rFonts w:hint="eastAsia"/>
                <w:b/>
                <w:color w:val="auto"/>
                <w:kern w:val="0"/>
                <w:sz w:val="24"/>
              </w:rPr>
              <w:t>3.</w:t>
            </w:r>
            <w:r>
              <w:rPr>
                <w:b/>
                <w:color w:val="auto"/>
                <w:kern w:val="0"/>
                <w:sz w:val="24"/>
              </w:rPr>
              <w:t>《</w:t>
            </w:r>
            <w:r>
              <w:rPr>
                <w:b/>
                <w:bCs/>
                <w:color w:val="auto"/>
                <w:w w:val="99"/>
                <w:sz w:val="24"/>
              </w:rPr>
              <w:t>四川省、重庆市长江经济带发展负面清单实施</w:t>
            </w:r>
            <w:r>
              <w:rPr>
                <w:b/>
                <w:bCs/>
                <w:color w:val="auto"/>
                <w:sz w:val="24"/>
              </w:rPr>
              <w:t>细则（试行，2022年版）》（川长江办（2022）17号）</w:t>
            </w:r>
            <w:r>
              <w:rPr>
                <w:b/>
                <w:color w:val="auto"/>
                <w:sz w:val="24"/>
              </w:rPr>
              <w:t>符合性分析</w:t>
            </w:r>
          </w:p>
          <w:p>
            <w:pPr>
              <w:autoSpaceDE w:val="0"/>
              <w:autoSpaceDN w:val="0"/>
              <w:adjustRightInd w:val="0"/>
              <w:snapToGrid w:val="0"/>
              <w:spacing w:line="360" w:lineRule="auto"/>
              <w:jc w:val="center"/>
              <w:rPr>
                <w:color w:val="auto"/>
                <w:kern w:val="0"/>
                <w:sz w:val="21"/>
                <w:szCs w:val="21"/>
              </w:rPr>
            </w:pPr>
            <w:r>
              <w:rPr>
                <w:color w:val="auto"/>
                <w:kern w:val="0"/>
                <w:sz w:val="21"/>
                <w:szCs w:val="21"/>
              </w:rPr>
              <w:t>表1.3 与</w:t>
            </w:r>
            <w:r>
              <w:rPr>
                <w:color w:val="auto"/>
                <w:sz w:val="21"/>
                <w:szCs w:val="21"/>
              </w:rPr>
              <w:t>（川长江办（2022）17号）</w:t>
            </w:r>
            <w:r>
              <w:rPr>
                <w:color w:val="auto"/>
                <w:kern w:val="0"/>
                <w:sz w:val="21"/>
                <w:szCs w:val="21"/>
              </w:rPr>
              <w:t>符合性分析表</w:t>
            </w:r>
          </w:p>
          <w:tbl>
            <w:tblPr>
              <w:tblStyle w:val="22"/>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4565"/>
              <w:gridCol w:w="1862"/>
              <w:gridCol w:w="73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pPr>
                    <w:adjustRightInd w:val="0"/>
                    <w:snapToGrid w:val="0"/>
                    <w:rPr>
                      <w:bCs/>
                      <w:color w:val="auto"/>
                      <w:szCs w:val="21"/>
                    </w:rPr>
                  </w:pPr>
                  <w:r>
                    <w:rPr>
                      <w:bCs/>
                      <w:color w:val="auto"/>
                      <w:szCs w:val="21"/>
                    </w:rPr>
                    <w:t>序号</w:t>
                  </w:r>
                </w:p>
              </w:tc>
              <w:tc>
                <w:tcPr>
                  <w:tcW w:w="2929" w:type="pct"/>
                  <w:tcBorders>
                    <w:tl2br w:val="nil"/>
                    <w:tr2bl w:val="nil"/>
                  </w:tcBorders>
                  <w:vAlign w:val="center"/>
                </w:tcPr>
                <w:p>
                  <w:pPr>
                    <w:adjustRightInd w:val="0"/>
                    <w:snapToGrid w:val="0"/>
                    <w:jc w:val="center"/>
                    <w:rPr>
                      <w:bCs/>
                      <w:color w:val="auto"/>
                      <w:szCs w:val="21"/>
                    </w:rPr>
                  </w:pPr>
                  <w:r>
                    <w:rPr>
                      <w:bCs/>
                      <w:color w:val="auto"/>
                      <w:szCs w:val="21"/>
                    </w:rPr>
                    <w:t>长江经济带发展负面清单</w:t>
                  </w:r>
                </w:p>
              </w:tc>
              <w:tc>
                <w:tcPr>
                  <w:tcW w:w="1195" w:type="pct"/>
                  <w:tcBorders>
                    <w:tl2br w:val="nil"/>
                    <w:tr2bl w:val="nil"/>
                  </w:tcBorders>
                  <w:vAlign w:val="center"/>
                </w:tcPr>
                <w:p>
                  <w:pPr>
                    <w:adjustRightInd w:val="0"/>
                    <w:snapToGrid w:val="0"/>
                    <w:jc w:val="center"/>
                    <w:rPr>
                      <w:bCs/>
                      <w:color w:val="auto"/>
                      <w:szCs w:val="21"/>
                    </w:rPr>
                  </w:pPr>
                  <w:r>
                    <w:rPr>
                      <w:bCs/>
                      <w:color w:val="auto"/>
                      <w:szCs w:val="21"/>
                    </w:rPr>
                    <w:t>项目情况</w:t>
                  </w:r>
                </w:p>
              </w:tc>
              <w:tc>
                <w:tcPr>
                  <w:tcW w:w="474" w:type="pct"/>
                  <w:tcBorders>
                    <w:tl2br w:val="nil"/>
                    <w:tr2bl w:val="nil"/>
                  </w:tcBorders>
                  <w:vAlign w:val="center"/>
                </w:tcPr>
                <w:p>
                  <w:pPr>
                    <w:adjustRightInd w:val="0"/>
                    <w:snapToGrid w:val="0"/>
                    <w:jc w:val="center"/>
                    <w:rPr>
                      <w:bCs/>
                      <w:color w:val="auto"/>
                      <w:szCs w:val="21"/>
                    </w:rPr>
                  </w:pPr>
                  <w:r>
                    <w:rPr>
                      <w:bCs/>
                      <w:color w:val="auto"/>
                      <w:szCs w:val="21"/>
                    </w:rPr>
                    <w:t>符合性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pPr>
                    <w:adjustRightInd w:val="0"/>
                    <w:snapToGrid w:val="0"/>
                    <w:jc w:val="center"/>
                    <w:rPr>
                      <w:color w:val="auto"/>
                      <w:szCs w:val="21"/>
                    </w:rPr>
                  </w:pPr>
                  <w:r>
                    <w:rPr>
                      <w:color w:val="auto"/>
                      <w:szCs w:val="21"/>
                    </w:rPr>
                    <w:t>1</w:t>
                  </w:r>
                </w:p>
              </w:tc>
              <w:tc>
                <w:tcPr>
                  <w:tcW w:w="2929" w:type="pct"/>
                  <w:tcBorders>
                    <w:tl2br w:val="nil"/>
                    <w:tr2bl w:val="nil"/>
                  </w:tcBorders>
                  <w:vAlign w:val="center"/>
                </w:tcPr>
                <w:p>
                  <w:pPr>
                    <w:adjustRightInd w:val="0"/>
                    <w:snapToGrid w:val="0"/>
                    <w:rPr>
                      <w:color w:val="auto"/>
                      <w:szCs w:val="21"/>
                    </w:rPr>
                  </w:pPr>
                  <w:r>
                    <w:rPr>
                      <w:color w:val="auto"/>
                      <w:szCs w:val="21"/>
                    </w:rPr>
                    <w:t>第七条 禁止在自然保护区核心区、缓冲区的岸线和河段范围内投资建设旅游和生产经营项目。自然保护区的内部未分区的，依照本实施细则核心区和缓冲区的规定管控。</w:t>
                  </w:r>
                </w:p>
              </w:tc>
              <w:tc>
                <w:tcPr>
                  <w:tcW w:w="1195" w:type="pct"/>
                  <w:tcBorders>
                    <w:tl2br w:val="nil"/>
                    <w:tr2bl w:val="nil"/>
                  </w:tcBorders>
                  <w:vAlign w:val="center"/>
                </w:tcPr>
                <w:p>
                  <w:pPr>
                    <w:adjustRightInd w:val="0"/>
                    <w:snapToGrid w:val="0"/>
                    <w:rPr>
                      <w:color w:val="auto"/>
                      <w:szCs w:val="21"/>
                    </w:rPr>
                  </w:pPr>
                  <w:r>
                    <w:rPr>
                      <w:rFonts w:hint="eastAsia"/>
                      <w:color w:val="auto"/>
                      <w:szCs w:val="21"/>
                    </w:rPr>
                    <w:t>本</w:t>
                  </w:r>
                  <w:r>
                    <w:rPr>
                      <w:color w:val="auto"/>
                      <w:szCs w:val="21"/>
                    </w:rPr>
                    <w:t>项目不涉及自然保护区核心区、缓冲区的岸线和河段</w:t>
                  </w:r>
                </w:p>
              </w:tc>
              <w:tc>
                <w:tcPr>
                  <w:tcW w:w="474" w:type="pct"/>
                  <w:tcBorders>
                    <w:tl2br w:val="nil"/>
                    <w:tr2bl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pPr>
                    <w:adjustRightInd w:val="0"/>
                    <w:snapToGrid w:val="0"/>
                    <w:jc w:val="center"/>
                    <w:rPr>
                      <w:color w:val="auto"/>
                      <w:szCs w:val="21"/>
                    </w:rPr>
                  </w:pPr>
                  <w:r>
                    <w:rPr>
                      <w:color w:val="auto"/>
                      <w:szCs w:val="21"/>
                    </w:rPr>
                    <w:t>2</w:t>
                  </w:r>
                </w:p>
              </w:tc>
              <w:tc>
                <w:tcPr>
                  <w:tcW w:w="2929" w:type="pct"/>
                  <w:tcBorders>
                    <w:tl2br w:val="nil"/>
                    <w:tr2bl w:val="nil"/>
                  </w:tcBorders>
                  <w:vAlign w:val="center"/>
                </w:tcPr>
                <w:p>
                  <w:pPr>
                    <w:adjustRightInd w:val="0"/>
                    <w:snapToGrid w:val="0"/>
                    <w:rPr>
                      <w:color w:val="auto"/>
                      <w:szCs w:val="21"/>
                    </w:rPr>
                  </w:pPr>
                  <w:r>
                    <w:rPr>
                      <w:color w:val="auto"/>
                      <w:szCs w:val="21"/>
                    </w:rPr>
                    <w:t>第八条 禁止违反风景名胜区规划，在风景名胜区内设立各类开发区。禁止在风景名胜区核心景区的岸线和河段范围内建设宾馆、招待所、培训中心、疗养院以及与风景名胜资源保护无关的项目。</w:t>
                  </w:r>
                </w:p>
              </w:tc>
              <w:tc>
                <w:tcPr>
                  <w:tcW w:w="1195" w:type="pct"/>
                  <w:tcBorders>
                    <w:tl2br w:val="nil"/>
                    <w:tr2bl w:val="nil"/>
                  </w:tcBorders>
                  <w:vAlign w:val="center"/>
                </w:tcPr>
                <w:p>
                  <w:pPr>
                    <w:adjustRightInd w:val="0"/>
                    <w:snapToGrid w:val="0"/>
                    <w:rPr>
                      <w:color w:val="auto"/>
                      <w:szCs w:val="21"/>
                    </w:rPr>
                  </w:pPr>
                  <w:r>
                    <w:rPr>
                      <w:rFonts w:hint="eastAsia"/>
                      <w:color w:val="auto"/>
                      <w:szCs w:val="21"/>
                    </w:rPr>
                    <w:t>本</w:t>
                  </w:r>
                  <w:r>
                    <w:rPr>
                      <w:color w:val="auto"/>
                      <w:szCs w:val="21"/>
                    </w:rPr>
                    <w:t>项目不涉及风景名胜区</w:t>
                  </w:r>
                  <w:r>
                    <w:rPr>
                      <w:rFonts w:hint="eastAsia"/>
                      <w:color w:val="auto"/>
                      <w:szCs w:val="21"/>
                    </w:rPr>
                    <w:t>。</w:t>
                  </w:r>
                </w:p>
              </w:tc>
              <w:tc>
                <w:tcPr>
                  <w:tcW w:w="474" w:type="pct"/>
                  <w:tcBorders>
                    <w:tl2br w:val="nil"/>
                    <w:tr2bl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pPr>
                    <w:adjustRightInd w:val="0"/>
                    <w:snapToGrid w:val="0"/>
                    <w:jc w:val="center"/>
                    <w:rPr>
                      <w:color w:val="auto"/>
                      <w:szCs w:val="21"/>
                    </w:rPr>
                  </w:pPr>
                  <w:r>
                    <w:rPr>
                      <w:color w:val="auto"/>
                      <w:szCs w:val="21"/>
                    </w:rPr>
                    <w:t>3</w:t>
                  </w:r>
                </w:p>
              </w:tc>
              <w:tc>
                <w:tcPr>
                  <w:tcW w:w="2929" w:type="pct"/>
                  <w:tcBorders>
                    <w:tl2br w:val="nil"/>
                    <w:tr2bl w:val="nil"/>
                  </w:tcBorders>
                  <w:vAlign w:val="center"/>
                </w:tcPr>
                <w:p>
                  <w:pPr>
                    <w:adjustRightInd w:val="0"/>
                    <w:snapToGrid w:val="0"/>
                    <w:rPr>
                      <w:color w:val="auto"/>
                      <w:szCs w:val="21"/>
                    </w:rPr>
                  </w:pPr>
                  <w:r>
                    <w:rPr>
                      <w:color w:val="auto"/>
                      <w:szCs w:val="21"/>
                    </w:rPr>
                    <w:t>第九条 禁止在饮用水水源准保护区的岸线和河段范围内新建、扩建对水体污染严重的建设项目，禁止改建增加排污量的建设项目。</w:t>
                  </w:r>
                </w:p>
              </w:tc>
              <w:tc>
                <w:tcPr>
                  <w:tcW w:w="1195" w:type="pct"/>
                  <w:tcBorders>
                    <w:tl2br w:val="nil"/>
                    <w:tr2bl w:val="nil"/>
                  </w:tcBorders>
                  <w:vAlign w:val="center"/>
                </w:tcPr>
                <w:p>
                  <w:pPr>
                    <w:adjustRightInd w:val="0"/>
                    <w:snapToGrid w:val="0"/>
                    <w:rPr>
                      <w:color w:val="auto"/>
                      <w:szCs w:val="21"/>
                    </w:rPr>
                  </w:pPr>
                  <w:r>
                    <w:rPr>
                      <w:rFonts w:hint="eastAsia"/>
                      <w:color w:val="auto"/>
                      <w:szCs w:val="21"/>
                    </w:rPr>
                    <w:t>本项目不涉及</w:t>
                  </w:r>
                  <w:r>
                    <w:rPr>
                      <w:color w:val="auto"/>
                      <w:szCs w:val="21"/>
                    </w:rPr>
                    <w:t>饮用水水源准保护区的岸线和河段</w:t>
                  </w:r>
                </w:p>
              </w:tc>
              <w:tc>
                <w:tcPr>
                  <w:tcW w:w="474" w:type="pct"/>
                  <w:tcBorders>
                    <w:tl2br w:val="nil"/>
                    <w:tr2bl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pPr>
                    <w:adjustRightInd w:val="0"/>
                    <w:snapToGrid w:val="0"/>
                    <w:jc w:val="center"/>
                    <w:rPr>
                      <w:color w:val="auto"/>
                      <w:szCs w:val="21"/>
                    </w:rPr>
                  </w:pPr>
                  <w:r>
                    <w:rPr>
                      <w:color w:val="auto"/>
                      <w:szCs w:val="21"/>
                    </w:rPr>
                    <w:t>4</w:t>
                  </w:r>
                </w:p>
              </w:tc>
              <w:tc>
                <w:tcPr>
                  <w:tcW w:w="2929" w:type="pct"/>
                  <w:tcBorders>
                    <w:tl2br w:val="nil"/>
                    <w:tr2bl w:val="nil"/>
                  </w:tcBorders>
                  <w:vAlign w:val="center"/>
                </w:tcPr>
                <w:p>
                  <w:pPr>
                    <w:adjustRightInd w:val="0"/>
                    <w:snapToGrid w:val="0"/>
                    <w:rPr>
                      <w:color w:val="auto"/>
                      <w:szCs w:val="21"/>
                    </w:rPr>
                  </w:pPr>
                  <w:r>
                    <w:rPr>
                      <w:color w:val="auto"/>
                      <w:szCs w:val="21"/>
                    </w:rPr>
                    <w:t>第十条 饮用水水源二级保护区的岸线和河段范围内，除应遵守准保护区规定外，禁止新建、改建、扩建排放污染物的投资建设项目；禁止从事采石（砂）、对水体有污染的水产养殖等活动。</w:t>
                  </w:r>
                </w:p>
              </w:tc>
              <w:tc>
                <w:tcPr>
                  <w:tcW w:w="1195" w:type="pct"/>
                  <w:tcBorders>
                    <w:tl2br w:val="nil"/>
                    <w:tr2bl w:val="nil"/>
                  </w:tcBorders>
                  <w:vAlign w:val="center"/>
                </w:tcPr>
                <w:p>
                  <w:pPr>
                    <w:adjustRightInd w:val="0"/>
                    <w:snapToGrid w:val="0"/>
                    <w:rPr>
                      <w:color w:val="auto"/>
                      <w:szCs w:val="21"/>
                    </w:rPr>
                  </w:pPr>
                  <w:r>
                    <w:rPr>
                      <w:rFonts w:hint="eastAsia"/>
                      <w:color w:val="auto"/>
                      <w:szCs w:val="21"/>
                    </w:rPr>
                    <w:t>本项目不涉及</w:t>
                  </w:r>
                  <w:r>
                    <w:rPr>
                      <w:color w:val="auto"/>
                      <w:szCs w:val="21"/>
                    </w:rPr>
                    <w:t>饮用水水源二级保护区的岸线和河段</w:t>
                  </w:r>
                  <w:r>
                    <w:rPr>
                      <w:rFonts w:hint="eastAsia"/>
                      <w:color w:val="auto"/>
                      <w:szCs w:val="21"/>
                    </w:rPr>
                    <w:t>；不属于</w:t>
                  </w:r>
                  <w:r>
                    <w:rPr>
                      <w:color w:val="auto"/>
                      <w:szCs w:val="21"/>
                    </w:rPr>
                    <w:t>采石（砂）</w:t>
                  </w:r>
                  <w:r>
                    <w:rPr>
                      <w:rFonts w:hint="eastAsia"/>
                      <w:color w:val="auto"/>
                      <w:szCs w:val="21"/>
                    </w:rPr>
                    <w:t>、</w:t>
                  </w:r>
                  <w:r>
                    <w:rPr>
                      <w:color w:val="auto"/>
                      <w:szCs w:val="21"/>
                    </w:rPr>
                    <w:t>对水体有污染的水产养殖等活动</w:t>
                  </w:r>
                </w:p>
              </w:tc>
              <w:tc>
                <w:tcPr>
                  <w:tcW w:w="474" w:type="pct"/>
                  <w:tcBorders>
                    <w:tl2br w:val="nil"/>
                    <w:tr2bl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pPr>
                    <w:adjustRightInd w:val="0"/>
                    <w:snapToGrid w:val="0"/>
                    <w:jc w:val="center"/>
                    <w:rPr>
                      <w:color w:val="auto"/>
                      <w:szCs w:val="21"/>
                    </w:rPr>
                  </w:pPr>
                  <w:r>
                    <w:rPr>
                      <w:color w:val="auto"/>
                      <w:szCs w:val="21"/>
                    </w:rPr>
                    <w:t>5</w:t>
                  </w:r>
                </w:p>
              </w:tc>
              <w:tc>
                <w:tcPr>
                  <w:tcW w:w="2929" w:type="pct"/>
                  <w:tcBorders>
                    <w:tl2br w:val="nil"/>
                    <w:tr2bl w:val="nil"/>
                  </w:tcBorders>
                  <w:vAlign w:val="center"/>
                </w:tcPr>
                <w:p>
                  <w:pPr>
                    <w:adjustRightInd w:val="0"/>
                    <w:snapToGrid w:val="0"/>
                    <w:rPr>
                      <w:color w:val="auto"/>
                      <w:szCs w:val="21"/>
                    </w:rPr>
                  </w:pPr>
                  <w:r>
                    <w:rPr>
                      <w:color w:val="auto"/>
                      <w:szCs w:val="21"/>
                    </w:rPr>
                    <w:t>第十一条 饮用水水源一级保护区的岸线和河段范围内，除应遵守二级保护区规定外，禁止新建、改建、扩建与供（取）水设施和保护水源无关的项目，以及网箱养殖、畜禽养殖、旅游等</w:t>
                  </w:r>
                </w:p>
              </w:tc>
              <w:tc>
                <w:tcPr>
                  <w:tcW w:w="1195" w:type="pct"/>
                  <w:tcBorders>
                    <w:tl2br w:val="nil"/>
                    <w:tr2bl w:val="nil"/>
                  </w:tcBorders>
                  <w:vAlign w:val="center"/>
                </w:tcPr>
                <w:p>
                  <w:pPr>
                    <w:adjustRightInd w:val="0"/>
                    <w:snapToGrid w:val="0"/>
                    <w:rPr>
                      <w:color w:val="auto"/>
                      <w:szCs w:val="21"/>
                    </w:rPr>
                  </w:pPr>
                  <w:r>
                    <w:rPr>
                      <w:rFonts w:hint="eastAsia"/>
                      <w:color w:val="auto"/>
                      <w:szCs w:val="21"/>
                    </w:rPr>
                    <w:t>本项目不涉及</w:t>
                  </w:r>
                  <w:r>
                    <w:rPr>
                      <w:color w:val="auto"/>
                      <w:szCs w:val="21"/>
                    </w:rPr>
                    <w:t>饮用水水源一级保护区的岸线和河段</w:t>
                  </w:r>
                  <w:r>
                    <w:rPr>
                      <w:rFonts w:hint="eastAsia"/>
                      <w:color w:val="auto"/>
                      <w:szCs w:val="21"/>
                    </w:rPr>
                    <w:t>；不涉及饮用水</w:t>
                  </w:r>
                  <w:r>
                    <w:rPr>
                      <w:color w:val="auto"/>
                      <w:szCs w:val="21"/>
                    </w:rPr>
                    <w:t>二级保护区</w:t>
                  </w:r>
                </w:p>
              </w:tc>
              <w:tc>
                <w:tcPr>
                  <w:tcW w:w="474" w:type="pct"/>
                  <w:tcBorders>
                    <w:tl2br w:val="nil"/>
                    <w:tr2bl w:val="nil"/>
                  </w:tcBorders>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pPr>
                    <w:adjustRightInd w:val="0"/>
                    <w:snapToGrid w:val="0"/>
                    <w:jc w:val="center"/>
                    <w:rPr>
                      <w:color w:val="auto"/>
                      <w:szCs w:val="21"/>
                    </w:rPr>
                  </w:pPr>
                  <w:r>
                    <w:rPr>
                      <w:color w:val="auto"/>
                      <w:szCs w:val="21"/>
                    </w:rPr>
                    <w:t>6</w:t>
                  </w:r>
                </w:p>
              </w:tc>
              <w:tc>
                <w:tcPr>
                  <w:tcW w:w="2929" w:type="pct"/>
                  <w:tcBorders>
                    <w:tl2br w:val="nil"/>
                    <w:tr2bl w:val="nil"/>
                  </w:tcBorders>
                  <w:vAlign w:val="center"/>
                </w:tcPr>
                <w:p>
                  <w:pPr>
                    <w:adjustRightInd w:val="0"/>
                    <w:snapToGrid w:val="0"/>
                    <w:rPr>
                      <w:color w:val="auto"/>
                      <w:szCs w:val="21"/>
                    </w:rPr>
                  </w:pPr>
                  <w:r>
                    <w:rPr>
                      <w:color w:val="auto"/>
                      <w:szCs w:val="21"/>
                    </w:rPr>
                    <w:t>第十二条 禁止在水产种质资源保护区岸线和河段范围内新建围湖造田、围湖造地或挖沙采石等投资建设项目。</w:t>
                  </w:r>
                </w:p>
              </w:tc>
              <w:tc>
                <w:tcPr>
                  <w:tcW w:w="1195" w:type="pct"/>
                  <w:tcBorders>
                    <w:tl2br w:val="nil"/>
                    <w:tr2bl w:val="nil"/>
                  </w:tcBorders>
                  <w:vAlign w:val="center"/>
                </w:tcPr>
                <w:p>
                  <w:pPr>
                    <w:adjustRightInd w:val="0"/>
                    <w:snapToGrid w:val="0"/>
                    <w:rPr>
                      <w:color w:val="auto"/>
                      <w:szCs w:val="21"/>
                    </w:rPr>
                  </w:pPr>
                  <w:r>
                    <w:rPr>
                      <w:rFonts w:hint="eastAsia"/>
                      <w:color w:val="auto"/>
                      <w:szCs w:val="21"/>
                    </w:rPr>
                    <w:t>本</w:t>
                  </w:r>
                  <w:r>
                    <w:rPr>
                      <w:color w:val="auto"/>
                      <w:szCs w:val="21"/>
                    </w:rPr>
                    <w:t>项目不涉及水产种质资源保护区岸线和河段</w:t>
                  </w:r>
                </w:p>
              </w:tc>
              <w:tc>
                <w:tcPr>
                  <w:tcW w:w="474" w:type="pct"/>
                  <w:tcBorders>
                    <w:tl2br w:val="nil"/>
                    <w:tr2bl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pPr>
                    <w:adjustRightInd w:val="0"/>
                    <w:snapToGrid w:val="0"/>
                    <w:jc w:val="center"/>
                    <w:rPr>
                      <w:color w:val="auto"/>
                      <w:szCs w:val="21"/>
                    </w:rPr>
                  </w:pPr>
                  <w:r>
                    <w:rPr>
                      <w:color w:val="auto"/>
                      <w:szCs w:val="21"/>
                    </w:rPr>
                    <w:t>7</w:t>
                  </w:r>
                </w:p>
              </w:tc>
              <w:tc>
                <w:tcPr>
                  <w:tcW w:w="2929" w:type="pct"/>
                  <w:tcBorders>
                    <w:tl2br w:val="nil"/>
                    <w:tr2bl w:val="nil"/>
                  </w:tcBorders>
                  <w:vAlign w:val="center"/>
                </w:tcPr>
                <w:p>
                  <w:pPr>
                    <w:adjustRightInd w:val="0"/>
                    <w:snapToGrid w:val="0"/>
                    <w:rPr>
                      <w:color w:val="auto"/>
                      <w:szCs w:val="21"/>
                    </w:rPr>
                  </w:pPr>
                  <w:r>
                    <w:rPr>
                      <w:color w:val="auto"/>
                      <w:szCs w:val="21"/>
                    </w:rPr>
                    <w:t>第十三条 禁止在国家湿地公园的岸线和河段范围内开（围）垦、填埋或者排干湿地，截断湿地水源，挖沙、采矿，倾倒有毒有害物质、废弃物、垃圾，从事房地产、度假村、高尔夫球场、风力发电、光伏发电等任何不符合主体功能定位的建设项目和开发活动，破坏野生动物栖息地和迁徙通道、鱼类洄游通道。</w:t>
                  </w:r>
                </w:p>
              </w:tc>
              <w:tc>
                <w:tcPr>
                  <w:tcW w:w="1195" w:type="pct"/>
                  <w:tcBorders>
                    <w:tl2br w:val="nil"/>
                    <w:tr2bl w:val="nil"/>
                  </w:tcBorders>
                  <w:vAlign w:val="center"/>
                </w:tcPr>
                <w:p>
                  <w:pPr>
                    <w:adjustRightInd w:val="0"/>
                    <w:snapToGrid w:val="0"/>
                    <w:rPr>
                      <w:color w:val="auto"/>
                      <w:szCs w:val="21"/>
                    </w:rPr>
                  </w:pPr>
                  <w:r>
                    <w:rPr>
                      <w:rFonts w:hint="eastAsia"/>
                      <w:color w:val="auto"/>
                      <w:szCs w:val="21"/>
                    </w:rPr>
                    <w:t>本</w:t>
                  </w:r>
                  <w:r>
                    <w:rPr>
                      <w:color w:val="auto"/>
                      <w:szCs w:val="21"/>
                    </w:rPr>
                    <w:t>项目不涉及国家湿地公园的岸线和河段</w:t>
                  </w:r>
                </w:p>
              </w:tc>
              <w:tc>
                <w:tcPr>
                  <w:tcW w:w="474" w:type="pct"/>
                  <w:tcBorders>
                    <w:tl2br w:val="nil"/>
                    <w:tr2bl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pPr>
                    <w:adjustRightInd w:val="0"/>
                    <w:snapToGrid w:val="0"/>
                    <w:jc w:val="center"/>
                    <w:rPr>
                      <w:color w:val="auto"/>
                      <w:szCs w:val="21"/>
                    </w:rPr>
                  </w:pPr>
                  <w:r>
                    <w:rPr>
                      <w:color w:val="auto"/>
                      <w:szCs w:val="21"/>
                    </w:rPr>
                    <w:t>8</w:t>
                  </w:r>
                </w:p>
              </w:tc>
              <w:tc>
                <w:tcPr>
                  <w:tcW w:w="2929" w:type="pct"/>
                  <w:tcBorders>
                    <w:tl2br w:val="nil"/>
                    <w:tr2bl w:val="nil"/>
                  </w:tcBorders>
                  <w:vAlign w:val="center"/>
                </w:tcPr>
                <w:p>
                  <w:pPr>
                    <w:adjustRightInd w:val="0"/>
                    <w:snapToGrid w:val="0"/>
                    <w:rPr>
                      <w:color w:val="auto"/>
                      <w:szCs w:val="21"/>
                    </w:rPr>
                  </w:pPr>
                  <w:r>
                    <w:rPr>
                      <w:color w:val="auto"/>
                      <w:szCs w:val="21"/>
                    </w:rPr>
                    <w:t>第十四条 禁止违法利用、占用长江流域河湖岸线。禁止在《长江岸线保护和开发利用总体规划》划定的岸线保护区和岸线保留区内投资建设除事关公共安全及公众利益的防洪护岸、河道治理、供水、生态环境保护、航道整治、国家重要基础设施以外的项目。</w:t>
                  </w:r>
                </w:p>
              </w:tc>
              <w:tc>
                <w:tcPr>
                  <w:tcW w:w="1195" w:type="pct"/>
                  <w:tcBorders>
                    <w:tl2br w:val="nil"/>
                    <w:tr2bl w:val="nil"/>
                  </w:tcBorders>
                  <w:vAlign w:val="center"/>
                </w:tcPr>
                <w:p>
                  <w:pPr>
                    <w:adjustRightInd w:val="0"/>
                    <w:snapToGrid w:val="0"/>
                    <w:rPr>
                      <w:color w:val="auto"/>
                      <w:szCs w:val="21"/>
                    </w:rPr>
                  </w:pPr>
                  <w:r>
                    <w:rPr>
                      <w:rFonts w:hint="eastAsia"/>
                      <w:color w:val="auto"/>
                      <w:szCs w:val="21"/>
                    </w:rPr>
                    <w:t>本</w:t>
                  </w:r>
                  <w:r>
                    <w:rPr>
                      <w:color w:val="auto"/>
                      <w:szCs w:val="21"/>
                    </w:rPr>
                    <w:t>项目不利用、占用</w:t>
                  </w:r>
                  <w:r>
                    <w:rPr>
                      <w:rFonts w:hint="eastAsia"/>
                      <w:color w:val="auto"/>
                      <w:szCs w:val="21"/>
                    </w:rPr>
                    <w:t>《</w:t>
                  </w:r>
                  <w:r>
                    <w:rPr>
                      <w:color w:val="auto"/>
                      <w:szCs w:val="21"/>
                    </w:rPr>
                    <w:t>长江流域河湖岸线</w:t>
                  </w:r>
                  <w:r>
                    <w:rPr>
                      <w:rFonts w:hint="eastAsia"/>
                      <w:color w:val="auto"/>
                      <w:szCs w:val="21"/>
                    </w:rPr>
                    <w:t>，不涉及</w:t>
                  </w:r>
                  <w:r>
                    <w:rPr>
                      <w:color w:val="auto"/>
                      <w:szCs w:val="21"/>
                    </w:rPr>
                    <w:t>长江岸线保护和开发利用总体规划》划定的岸线保护区和岸线保留区</w:t>
                  </w:r>
                </w:p>
              </w:tc>
              <w:tc>
                <w:tcPr>
                  <w:tcW w:w="474" w:type="pct"/>
                  <w:tcBorders>
                    <w:tl2br w:val="nil"/>
                    <w:tr2bl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pPr>
                    <w:adjustRightInd w:val="0"/>
                    <w:snapToGrid w:val="0"/>
                    <w:jc w:val="center"/>
                    <w:rPr>
                      <w:color w:val="auto"/>
                      <w:szCs w:val="21"/>
                    </w:rPr>
                  </w:pPr>
                  <w:r>
                    <w:rPr>
                      <w:color w:val="auto"/>
                      <w:szCs w:val="21"/>
                    </w:rPr>
                    <w:t>9</w:t>
                  </w:r>
                </w:p>
              </w:tc>
              <w:tc>
                <w:tcPr>
                  <w:tcW w:w="2929" w:type="pct"/>
                  <w:tcBorders>
                    <w:tl2br w:val="nil"/>
                    <w:tr2bl w:val="nil"/>
                  </w:tcBorders>
                  <w:vAlign w:val="center"/>
                </w:tcPr>
                <w:p>
                  <w:pPr>
                    <w:adjustRightInd w:val="0"/>
                    <w:snapToGrid w:val="0"/>
                    <w:rPr>
                      <w:color w:val="auto"/>
                      <w:szCs w:val="21"/>
                    </w:rPr>
                  </w:pPr>
                  <w:r>
                    <w:rPr>
                      <w:color w:val="auto"/>
                      <w:szCs w:val="21"/>
                    </w:rPr>
                    <w:t>第十五条 禁止在《全国重要江河湖泊水功能区划》划定的河段及湖泊保护区、保留区内投资建设不利于水资源及自然生态 保护的项目。</w:t>
                  </w:r>
                </w:p>
              </w:tc>
              <w:tc>
                <w:tcPr>
                  <w:tcW w:w="1195" w:type="pct"/>
                  <w:tcBorders>
                    <w:tl2br w:val="nil"/>
                    <w:tr2bl w:val="nil"/>
                  </w:tcBorders>
                  <w:vAlign w:val="center"/>
                </w:tcPr>
                <w:p>
                  <w:pPr>
                    <w:adjustRightInd w:val="0"/>
                    <w:snapToGrid w:val="0"/>
                    <w:rPr>
                      <w:color w:val="auto"/>
                      <w:szCs w:val="21"/>
                    </w:rPr>
                  </w:pPr>
                  <w:r>
                    <w:rPr>
                      <w:rFonts w:hint="eastAsia"/>
                      <w:color w:val="auto"/>
                      <w:szCs w:val="21"/>
                    </w:rPr>
                    <w:t>本</w:t>
                  </w:r>
                  <w:r>
                    <w:rPr>
                      <w:color w:val="auto"/>
                      <w:szCs w:val="21"/>
                    </w:rPr>
                    <w:t>项目不涉及《全国重要江河湖泊水功能区划》划定的河段及湖泊保护区、保留区</w:t>
                  </w:r>
                </w:p>
              </w:tc>
              <w:tc>
                <w:tcPr>
                  <w:tcW w:w="474" w:type="pct"/>
                  <w:tcBorders>
                    <w:tl2br w:val="nil"/>
                    <w:tr2bl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pPr>
                    <w:adjustRightInd w:val="0"/>
                    <w:snapToGrid w:val="0"/>
                    <w:jc w:val="center"/>
                    <w:rPr>
                      <w:color w:val="auto"/>
                      <w:szCs w:val="21"/>
                    </w:rPr>
                  </w:pPr>
                  <w:r>
                    <w:rPr>
                      <w:color w:val="auto"/>
                      <w:szCs w:val="21"/>
                    </w:rPr>
                    <w:t>10</w:t>
                  </w:r>
                </w:p>
              </w:tc>
              <w:tc>
                <w:tcPr>
                  <w:tcW w:w="2929" w:type="pct"/>
                  <w:tcBorders>
                    <w:tl2br w:val="nil"/>
                    <w:tr2bl w:val="nil"/>
                  </w:tcBorders>
                  <w:vAlign w:val="center"/>
                </w:tcPr>
                <w:p>
                  <w:pPr>
                    <w:adjustRightInd w:val="0"/>
                    <w:snapToGrid w:val="0"/>
                    <w:rPr>
                      <w:color w:val="auto"/>
                      <w:szCs w:val="21"/>
                    </w:rPr>
                  </w:pPr>
                  <w:r>
                    <w:rPr>
                      <w:color w:val="auto"/>
                      <w:szCs w:val="21"/>
                    </w:rPr>
                    <w:t>第十六条 禁止在长江流域江河、湖泊新设、改设或者扩大排污口，经有管辖权的生态环境主管部门或者长江流域生态环境监督管理机构同意的除外。</w:t>
                  </w:r>
                </w:p>
              </w:tc>
              <w:tc>
                <w:tcPr>
                  <w:tcW w:w="1195" w:type="pct"/>
                  <w:tcBorders>
                    <w:tl2br w:val="nil"/>
                    <w:tr2bl w:val="nil"/>
                  </w:tcBorders>
                  <w:vAlign w:val="center"/>
                </w:tcPr>
                <w:p>
                  <w:pPr>
                    <w:adjustRightInd w:val="0"/>
                    <w:snapToGrid w:val="0"/>
                    <w:rPr>
                      <w:color w:val="auto"/>
                      <w:szCs w:val="21"/>
                    </w:rPr>
                  </w:pPr>
                  <w:r>
                    <w:rPr>
                      <w:rFonts w:hint="eastAsia"/>
                      <w:color w:val="auto"/>
                      <w:szCs w:val="21"/>
                    </w:rPr>
                    <w:t>本</w:t>
                  </w:r>
                  <w:r>
                    <w:rPr>
                      <w:color w:val="auto"/>
                      <w:szCs w:val="21"/>
                    </w:rPr>
                    <w:t>项目</w:t>
                  </w:r>
                  <w:r>
                    <w:rPr>
                      <w:rFonts w:hint="eastAsia"/>
                      <w:color w:val="auto"/>
                      <w:szCs w:val="21"/>
                    </w:rPr>
                    <w:t>不</w:t>
                  </w:r>
                  <w:r>
                    <w:rPr>
                      <w:color w:val="auto"/>
                      <w:szCs w:val="21"/>
                    </w:rPr>
                    <w:t>新设、改设或者扩大排污口</w:t>
                  </w:r>
                </w:p>
              </w:tc>
              <w:tc>
                <w:tcPr>
                  <w:tcW w:w="474" w:type="pct"/>
                  <w:tcBorders>
                    <w:tl2br w:val="nil"/>
                    <w:tr2bl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pPr>
                    <w:adjustRightInd w:val="0"/>
                    <w:snapToGrid w:val="0"/>
                    <w:jc w:val="center"/>
                    <w:rPr>
                      <w:color w:val="auto"/>
                      <w:szCs w:val="21"/>
                    </w:rPr>
                  </w:pPr>
                  <w:r>
                    <w:rPr>
                      <w:color w:val="auto"/>
                      <w:szCs w:val="21"/>
                    </w:rPr>
                    <w:t>11</w:t>
                  </w:r>
                </w:p>
              </w:tc>
              <w:tc>
                <w:tcPr>
                  <w:tcW w:w="2929" w:type="pct"/>
                  <w:tcBorders>
                    <w:tl2br w:val="nil"/>
                    <w:tr2bl w:val="nil"/>
                  </w:tcBorders>
                  <w:vAlign w:val="center"/>
                </w:tcPr>
                <w:p>
                  <w:pPr>
                    <w:adjustRightInd w:val="0"/>
                    <w:snapToGrid w:val="0"/>
                    <w:rPr>
                      <w:color w:val="auto"/>
                      <w:szCs w:val="21"/>
                    </w:rPr>
                  </w:pPr>
                  <w:r>
                    <w:rPr>
                      <w:color w:val="auto"/>
                      <w:szCs w:val="21"/>
                    </w:rPr>
                    <w:t>第十七条 禁止在长江、大渡河、岷江、赤水河、沱江、嘉陵江、乌江、汉江和51个（四川省45个、重庆市6个）水生生物保护区开展生产性捕捞。</w:t>
                  </w:r>
                </w:p>
              </w:tc>
              <w:tc>
                <w:tcPr>
                  <w:tcW w:w="1195" w:type="pct"/>
                  <w:tcBorders>
                    <w:tl2br w:val="nil"/>
                    <w:tr2bl w:val="nil"/>
                  </w:tcBorders>
                  <w:vAlign w:val="center"/>
                </w:tcPr>
                <w:p>
                  <w:pPr>
                    <w:adjustRightInd w:val="0"/>
                    <w:snapToGrid w:val="0"/>
                    <w:rPr>
                      <w:color w:val="auto"/>
                      <w:szCs w:val="21"/>
                    </w:rPr>
                  </w:pPr>
                  <w:r>
                    <w:rPr>
                      <w:rFonts w:hint="eastAsia"/>
                      <w:color w:val="auto"/>
                      <w:szCs w:val="21"/>
                    </w:rPr>
                    <w:t>本</w:t>
                  </w:r>
                  <w:r>
                    <w:rPr>
                      <w:color w:val="auto"/>
                      <w:szCs w:val="21"/>
                    </w:rPr>
                    <w:t>项目不涉及生产性捕捞</w:t>
                  </w:r>
                </w:p>
              </w:tc>
              <w:tc>
                <w:tcPr>
                  <w:tcW w:w="474" w:type="pct"/>
                  <w:tcBorders>
                    <w:tl2br w:val="nil"/>
                    <w:tr2bl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pPr>
                    <w:adjustRightInd w:val="0"/>
                    <w:snapToGrid w:val="0"/>
                    <w:jc w:val="center"/>
                    <w:rPr>
                      <w:color w:val="auto"/>
                      <w:szCs w:val="21"/>
                    </w:rPr>
                  </w:pPr>
                  <w:r>
                    <w:rPr>
                      <w:color w:val="auto"/>
                      <w:szCs w:val="21"/>
                    </w:rPr>
                    <w:t>12</w:t>
                  </w:r>
                </w:p>
              </w:tc>
              <w:tc>
                <w:tcPr>
                  <w:tcW w:w="2929" w:type="pct"/>
                  <w:tcBorders>
                    <w:tl2br w:val="nil"/>
                    <w:tr2bl w:val="nil"/>
                  </w:tcBorders>
                  <w:vAlign w:val="center"/>
                </w:tcPr>
                <w:p>
                  <w:pPr>
                    <w:adjustRightInd w:val="0"/>
                    <w:snapToGrid w:val="0"/>
                    <w:rPr>
                      <w:color w:val="auto"/>
                      <w:szCs w:val="21"/>
                    </w:rPr>
                  </w:pPr>
                  <w:r>
                    <w:rPr>
                      <w:color w:val="auto"/>
                      <w:szCs w:val="21"/>
                    </w:rPr>
                    <w:t>第十八条 禁止在长江干支流、重要湖泊岸线一公里范围内新建、扩建化工园区和化工项目。</w:t>
                  </w:r>
                </w:p>
              </w:tc>
              <w:tc>
                <w:tcPr>
                  <w:tcW w:w="1195" w:type="pct"/>
                  <w:tcBorders>
                    <w:tl2br w:val="nil"/>
                    <w:tr2bl w:val="nil"/>
                  </w:tcBorders>
                  <w:vAlign w:val="center"/>
                </w:tcPr>
                <w:p>
                  <w:pPr>
                    <w:adjustRightInd w:val="0"/>
                    <w:snapToGrid w:val="0"/>
                    <w:rPr>
                      <w:color w:val="auto"/>
                      <w:szCs w:val="21"/>
                    </w:rPr>
                  </w:pPr>
                  <w:r>
                    <w:rPr>
                      <w:rFonts w:hint="eastAsia"/>
                      <w:color w:val="auto"/>
                      <w:szCs w:val="21"/>
                    </w:rPr>
                    <w:t>本</w:t>
                  </w:r>
                  <w:r>
                    <w:rPr>
                      <w:color w:val="auto"/>
                      <w:szCs w:val="21"/>
                    </w:rPr>
                    <w:t>项目不</w:t>
                  </w:r>
                  <w:r>
                    <w:rPr>
                      <w:rFonts w:hint="eastAsia"/>
                      <w:color w:val="auto"/>
                      <w:szCs w:val="21"/>
                    </w:rPr>
                    <w:t>属于</w:t>
                  </w:r>
                  <w:r>
                    <w:rPr>
                      <w:color w:val="auto"/>
                      <w:szCs w:val="21"/>
                    </w:rPr>
                    <w:t>化工园区和化工项目</w:t>
                  </w:r>
                </w:p>
              </w:tc>
              <w:tc>
                <w:tcPr>
                  <w:tcW w:w="474" w:type="pct"/>
                  <w:tcBorders>
                    <w:tl2br w:val="nil"/>
                    <w:tr2bl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pPr>
                    <w:adjustRightInd w:val="0"/>
                    <w:snapToGrid w:val="0"/>
                    <w:jc w:val="center"/>
                    <w:rPr>
                      <w:color w:val="auto"/>
                      <w:szCs w:val="21"/>
                    </w:rPr>
                  </w:pPr>
                  <w:r>
                    <w:rPr>
                      <w:color w:val="auto"/>
                      <w:szCs w:val="21"/>
                    </w:rPr>
                    <w:t>13</w:t>
                  </w:r>
                </w:p>
              </w:tc>
              <w:tc>
                <w:tcPr>
                  <w:tcW w:w="2929" w:type="pct"/>
                  <w:tcBorders>
                    <w:tl2br w:val="nil"/>
                    <w:tr2bl w:val="nil"/>
                  </w:tcBorders>
                  <w:vAlign w:val="center"/>
                </w:tcPr>
                <w:p>
                  <w:pPr>
                    <w:adjustRightInd w:val="0"/>
                    <w:snapToGrid w:val="0"/>
                    <w:rPr>
                      <w:color w:val="auto"/>
                      <w:szCs w:val="21"/>
                    </w:rPr>
                  </w:pPr>
                  <w:r>
                    <w:rPr>
                      <w:color w:val="auto"/>
                      <w:szCs w:val="21"/>
                    </w:rPr>
                    <w:t>第十九条 禁止在长江干流岸线三公里范围内和重要支流岸线一公里范围内新建、改建、扩建尾矿库、冶炼渣库、磷石膏库，以提升安全、生态环境保护水平为目的的改建除外。</w:t>
                  </w:r>
                </w:p>
              </w:tc>
              <w:tc>
                <w:tcPr>
                  <w:tcW w:w="1195" w:type="pct"/>
                  <w:tcBorders>
                    <w:tl2br w:val="nil"/>
                    <w:tr2bl w:val="nil"/>
                  </w:tcBorders>
                  <w:vAlign w:val="center"/>
                </w:tcPr>
                <w:p>
                  <w:pPr>
                    <w:adjustRightInd w:val="0"/>
                    <w:snapToGrid w:val="0"/>
                    <w:rPr>
                      <w:color w:val="auto"/>
                      <w:szCs w:val="21"/>
                    </w:rPr>
                  </w:pPr>
                  <w:r>
                    <w:rPr>
                      <w:rFonts w:hint="eastAsia"/>
                      <w:color w:val="auto"/>
                      <w:szCs w:val="21"/>
                    </w:rPr>
                    <w:t>本</w:t>
                  </w:r>
                  <w:r>
                    <w:rPr>
                      <w:color w:val="auto"/>
                      <w:szCs w:val="21"/>
                    </w:rPr>
                    <w:t>项目不</w:t>
                  </w:r>
                  <w:r>
                    <w:rPr>
                      <w:rFonts w:hint="eastAsia"/>
                      <w:color w:val="auto"/>
                      <w:szCs w:val="21"/>
                    </w:rPr>
                    <w:t>属于</w:t>
                  </w:r>
                  <w:r>
                    <w:rPr>
                      <w:color w:val="auto"/>
                      <w:szCs w:val="21"/>
                    </w:rPr>
                    <w:t>尾矿库、冶炼渣库、磷石膏库</w:t>
                  </w:r>
                  <w:r>
                    <w:rPr>
                      <w:rFonts w:hint="eastAsia"/>
                      <w:color w:val="auto"/>
                      <w:szCs w:val="21"/>
                    </w:rPr>
                    <w:t>项目</w:t>
                  </w:r>
                </w:p>
              </w:tc>
              <w:tc>
                <w:tcPr>
                  <w:tcW w:w="474" w:type="pct"/>
                  <w:tcBorders>
                    <w:tl2br w:val="nil"/>
                    <w:tr2bl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pPr>
                    <w:adjustRightInd w:val="0"/>
                    <w:snapToGrid w:val="0"/>
                    <w:jc w:val="center"/>
                    <w:rPr>
                      <w:color w:val="auto"/>
                      <w:szCs w:val="21"/>
                    </w:rPr>
                  </w:pPr>
                  <w:r>
                    <w:rPr>
                      <w:color w:val="auto"/>
                      <w:szCs w:val="21"/>
                    </w:rPr>
                    <w:t>14</w:t>
                  </w:r>
                </w:p>
              </w:tc>
              <w:tc>
                <w:tcPr>
                  <w:tcW w:w="2929" w:type="pct"/>
                  <w:tcBorders>
                    <w:tl2br w:val="nil"/>
                    <w:tr2bl w:val="nil"/>
                  </w:tcBorders>
                  <w:vAlign w:val="center"/>
                </w:tcPr>
                <w:p>
                  <w:pPr>
                    <w:adjustRightInd w:val="0"/>
                    <w:snapToGrid w:val="0"/>
                    <w:rPr>
                      <w:color w:val="auto"/>
                      <w:szCs w:val="21"/>
                    </w:rPr>
                  </w:pPr>
                  <w:r>
                    <w:rPr>
                      <w:color w:val="auto"/>
                      <w:szCs w:val="21"/>
                    </w:rPr>
                    <w:t>第二十条 禁止在生态保护红线区域、永久基本农田集中区域和其他需要特别保护的区域内选址建设尾矿库、冶炼渣库、磷石膏库。</w:t>
                  </w:r>
                </w:p>
              </w:tc>
              <w:tc>
                <w:tcPr>
                  <w:tcW w:w="1195" w:type="pct"/>
                  <w:tcBorders>
                    <w:tl2br w:val="nil"/>
                    <w:tr2bl w:val="nil"/>
                  </w:tcBorders>
                  <w:vAlign w:val="center"/>
                </w:tcPr>
                <w:p>
                  <w:pPr>
                    <w:adjustRightInd w:val="0"/>
                    <w:snapToGrid w:val="0"/>
                    <w:rPr>
                      <w:color w:val="auto"/>
                      <w:szCs w:val="21"/>
                    </w:rPr>
                  </w:pPr>
                  <w:r>
                    <w:rPr>
                      <w:rFonts w:hint="eastAsia"/>
                      <w:color w:val="auto"/>
                      <w:szCs w:val="21"/>
                    </w:rPr>
                    <w:t>本</w:t>
                  </w:r>
                  <w:r>
                    <w:rPr>
                      <w:color w:val="auto"/>
                      <w:szCs w:val="21"/>
                    </w:rPr>
                    <w:t>项目</w:t>
                  </w:r>
                  <w:r>
                    <w:rPr>
                      <w:rFonts w:hint="eastAsia"/>
                      <w:color w:val="auto"/>
                      <w:szCs w:val="21"/>
                    </w:rPr>
                    <w:t>不涉及</w:t>
                  </w:r>
                  <w:r>
                    <w:rPr>
                      <w:color w:val="auto"/>
                      <w:szCs w:val="21"/>
                    </w:rPr>
                    <w:t>生态保护红线区域、永久基本农田集中区域和其他需要特别保护的区域</w:t>
                  </w:r>
                </w:p>
              </w:tc>
              <w:tc>
                <w:tcPr>
                  <w:tcW w:w="474" w:type="pct"/>
                  <w:tcBorders>
                    <w:tl2br w:val="nil"/>
                    <w:tr2bl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pPr>
                    <w:adjustRightInd w:val="0"/>
                    <w:snapToGrid w:val="0"/>
                    <w:jc w:val="center"/>
                    <w:rPr>
                      <w:color w:val="auto"/>
                      <w:szCs w:val="21"/>
                    </w:rPr>
                  </w:pPr>
                  <w:r>
                    <w:rPr>
                      <w:color w:val="auto"/>
                      <w:szCs w:val="21"/>
                    </w:rPr>
                    <w:t>15</w:t>
                  </w:r>
                </w:p>
              </w:tc>
              <w:tc>
                <w:tcPr>
                  <w:tcW w:w="2929" w:type="pct"/>
                  <w:tcBorders>
                    <w:tl2br w:val="nil"/>
                    <w:tr2bl w:val="nil"/>
                  </w:tcBorders>
                  <w:vAlign w:val="center"/>
                </w:tcPr>
                <w:p>
                  <w:pPr>
                    <w:adjustRightInd w:val="0"/>
                    <w:snapToGrid w:val="0"/>
                    <w:rPr>
                      <w:color w:val="auto"/>
                      <w:szCs w:val="21"/>
                    </w:rPr>
                  </w:pPr>
                  <w:r>
                    <w:rPr>
                      <w:color w:val="auto"/>
                      <w:szCs w:val="21"/>
                    </w:rPr>
                    <w:t>第二十一条 禁止在合规园区外新建、扩建钢铁、石化、化工、焦化、建材、有色、制浆造纸等高污染项目。</w:t>
                  </w:r>
                </w:p>
              </w:tc>
              <w:tc>
                <w:tcPr>
                  <w:tcW w:w="1195" w:type="pct"/>
                  <w:tcBorders>
                    <w:tl2br w:val="nil"/>
                    <w:tr2bl w:val="nil"/>
                  </w:tcBorders>
                  <w:vAlign w:val="center"/>
                </w:tcPr>
                <w:p>
                  <w:pPr>
                    <w:adjustRightInd w:val="0"/>
                    <w:snapToGrid w:val="0"/>
                    <w:rPr>
                      <w:color w:val="auto"/>
                      <w:szCs w:val="21"/>
                    </w:rPr>
                  </w:pPr>
                  <w:r>
                    <w:rPr>
                      <w:rFonts w:hint="eastAsia"/>
                      <w:color w:val="auto"/>
                      <w:szCs w:val="21"/>
                    </w:rPr>
                    <w:t>本</w:t>
                  </w:r>
                  <w:r>
                    <w:rPr>
                      <w:color w:val="auto"/>
                      <w:szCs w:val="21"/>
                    </w:rPr>
                    <w:t>项目不</w:t>
                  </w:r>
                  <w:r>
                    <w:rPr>
                      <w:rFonts w:hint="eastAsia"/>
                      <w:color w:val="auto"/>
                      <w:szCs w:val="21"/>
                    </w:rPr>
                    <w:t>属于</w:t>
                  </w:r>
                  <w:r>
                    <w:rPr>
                      <w:color w:val="auto"/>
                      <w:szCs w:val="21"/>
                    </w:rPr>
                    <w:t>钢铁、石化、化工、焦化、建材、有色、制浆造纸等高污染项目。</w:t>
                  </w:r>
                </w:p>
              </w:tc>
              <w:tc>
                <w:tcPr>
                  <w:tcW w:w="474" w:type="pct"/>
                  <w:tcBorders>
                    <w:tl2br w:val="nil"/>
                    <w:tr2bl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pPr>
                    <w:adjustRightInd w:val="0"/>
                    <w:snapToGrid w:val="0"/>
                    <w:jc w:val="center"/>
                    <w:rPr>
                      <w:color w:val="auto"/>
                      <w:szCs w:val="21"/>
                    </w:rPr>
                  </w:pPr>
                  <w:r>
                    <w:rPr>
                      <w:color w:val="auto"/>
                      <w:szCs w:val="21"/>
                    </w:rPr>
                    <w:t>16</w:t>
                  </w:r>
                </w:p>
              </w:tc>
              <w:tc>
                <w:tcPr>
                  <w:tcW w:w="2929" w:type="pct"/>
                  <w:tcBorders>
                    <w:tl2br w:val="nil"/>
                    <w:tr2bl w:val="nil"/>
                  </w:tcBorders>
                  <w:vAlign w:val="center"/>
                </w:tcPr>
                <w:p>
                  <w:pPr>
                    <w:adjustRightInd w:val="0"/>
                    <w:snapToGrid w:val="0"/>
                    <w:rPr>
                      <w:color w:val="auto"/>
                      <w:szCs w:val="21"/>
                    </w:rPr>
                  </w:pPr>
                  <w:r>
                    <w:rPr>
                      <w:color w:val="auto"/>
                      <w:szCs w:val="21"/>
                    </w:rPr>
                    <w:t>第二十二条 禁止新建、扩建不符合国家石化、现代煤化工等产业布局规划的项目。（一）严格控制新增炼油项目，未列入《石化产业规划布局方案（修订版）》的新增炼油产能一律不得建设。（二）新建煤制烯烃、煤制芳烃项目必须列入《现代煤化工产业创新发展布局方案》，必须符合《现代煤化工建设项目环境准入条件（试行）》要求。</w:t>
                  </w:r>
                </w:p>
              </w:tc>
              <w:tc>
                <w:tcPr>
                  <w:tcW w:w="1195" w:type="pct"/>
                  <w:tcBorders>
                    <w:tl2br w:val="nil"/>
                    <w:tr2bl w:val="nil"/>
                  </w:tcBorders>
                  <w:vAlign w:val="center"/>
                </w:tcPr>
                <w:p>
                  <w:pPr>
                    <w:adjustRightInd w:val="0"/>
                    <w:snapToGrid w:val="0"/>
                    <w:rPr>
                      <w:color w:val="auto"/>
                      <w:szCs w:val="21"/>
                    </w:rPr>
                  </w:pPr>
                  <w:r>
                    <w:rPr>
                      <w:rFonts w:hint="eastAsia"/>
                      <w:color w:val="auto"/>
                      <w:szCs w:val="21"/>
                    </w:rPr>
                    <w:t>本项目不属于</w:t>
                  </w:r>
                  <w:r>
                    <w:rPr>
                      <w:color w:val="auto"/>
                      <w:szCs w:val="21"/>
                    </w:rPr>
                    <w:t>石化、现代煤化工</w:t>
                  </w:r>
                  <w:r>
                    <w:rPr>
                      <w:rFonts w:hint="eastAsia"/>
                      <w:color w:val="auto"/>
                      <w:szCs w:val="21"/>
                    </w:rPr>
                    <w:t>项目；</w:t>
                  </w:r>
                </w:p>
              </w:tc>
              <w:tc>
                <w:tcPr>
                  <w:tcW w:w="474" w:type="pct"/>
                  <w:tcBorders>
                    <w:tl2br w:val="nil"/>
                    <w:tr2bl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pPr>
                    <w:adjustRightInd w:val="0"/>
                    <w:snapToGrid w:val="0"/>
                    <w:jc w:val="center"/>
                    <w:rPr>
                      <w:color w:val="auto"/>
                      <w:szCs w:val="21"/>
                    </w:rPr>
                  </w:pPr>
                  <w:r>
                    <w:rPr>
                      <w:color w:val="auto"/>
                      <w:szCs w:val="21"/>
                    </w:rPr>
                    <w:t>17</w:t>
                  </w:r>
                </w:p>
              </w:tc>
              <w:tc>
                <w:tcPr>
                  <w:tcW w:w="2929" w:type="pct"/>
                  <w:tcBorders>
                    <w:tl2br w:val="nil"/>
                    <w:tr2bl w:val="nil"/>
                  </w:tcBorders>
                  <w:vAlign w:val="center"/>
                </w:tcPr>
                <w:p>
                  <w:pPr>
                    <w:adjustRightInd w:val="0"/>
                    <w:snapToGrid w:val="0"/>
                    <w:rPr>
                      <w:color w:val="auto"/>
                      <w:szCs w:val="21"/>
                    </w:rPr>
                  </w:pPr>
                  <w:r>
                    <w:rPr>
                      <w:color w:val="auto"/>
                      <w:szCs w:val="21"/>
                    </w:rPr>
                    <w:t>第二十三条 禁止新建、扩建法律法规和相关政策明令禁止的落后产能项目。对《产业结构调整指导目录》中淘汰类项目，禁止投资；限制类的新建项目，禁止投资，对属于限制类的现有生产能力，允许企业在一定期限内采取措施改造升级。</w:t>
                  </w:r>
                </w:p>
              </w:tc>
              <w:tc>
                <w:tcPr>
                  <w:tcW w:w="1195" w:type="pct"/>
                  <w:tcBorders>
                    <w:tl2br w:val="nil"/>
                    <w:tr2bl w:val="nil"/>
                  </w:tcBorders>
                  <w:vAlign w:val="center"/>
                </w:tcPr>
                <w:p>
                  <w:pPr>
                    <w:adjustRightInd w:val="0"/>
                    <w:snapToGrid w:val="0"/>
                    <w:rPr>
                      <w:color w:val="auto"/>
                      <w:szCs w:val="21"/>
                    </w:rPr>
                  </w:pPr>
                  <w:r>
                    <w:rPr>
                      <w:rFonts w:hint="eastAsia"/>
                      <w:color w:val="auto"/>
                      <w:szCs w:val="21"/>
                    </w:rPr>
                    <w:t>本项目不属于淘汰类、限制类项目</w:t>
                  </w:r>
                </w:p>
              </w:tc>
              <w:tc>
                <w:tcPr>
                  <w:tcW w:w="474" w:type="pct"/>
                  <w:tcBorders>
                    <w:tl2br w:val="nil"/>
                    <w:tr2bl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pPr>
                    <w:adjustRightInd w:val="0"/>
                    <w:snapToGrid w:val="0"/>
                    <w:jc w:val="center"/>
                    <w:rPr>
                      <w:color w:val="auto"/>
                      <w:szCs w:val="21"/>
                    </w:rPr>
                  </w:pPr>
                  <w:r>
                    <w:rPr>
                      <w:color w:val="auto"/>
                      <w:szCs w:val="21"/>
                    </w:rPr>
                    <w:t>18</w:t>
                  </w:r>
                </w:p>
              </w:tc>
              <w:tc>
                <w:tcPr>
                  <w:tcW w:w="2929" w:type="pct"/>
                  <w:tcBorders>
                    <w:tl2br w:val="nil"/>
                    <w:tr2bl w:val="nil"/>
                  </w:tcBorders>
                  <w:vAlign w:val="center"/>
                </w:tcPr>
                <w:p>
                  <w:pPr>
                    <w:adjustRightInd w:val="0"/>
                    <w:snapToGrid w:val="0"/>
                    <w:rPr>
                      <w:color w:val="auto"/>
                      <w:szCs w:val="21"/>
                    </w:rPr>
                  </w:pPr>
                  <w:r>
                    <w:rPr>
                      <w:color w:val="auto"/>
                      <w:szCs w:val="21"/>
                    </w:rPr>
                    <w:t>第二十四条 禁止新建、扩建不符合国家产能置换要求的严重过剩产能行业的项目。对于不符合国家产能置换要求的严重过剩产能行业，不得以其他任何名义、任何方式备案新增产能项目。</w:t>
                  </w:r>
                </w:p>
              </w:tc>
              <w:tc>
                <w:tcPr>
                  <w:tcW w:w="1195" w:type="pct"/>
                  <w:tcBorders>
                    <w:tl2br w:val="nil"/>
                    <w:tr2bl w:val="nil"/>
                  </w:tcBorders>
                  <w:vAlign w:val="center"/>
                </w:tcPr>
                <w:p>
                  <w:pPr>
                    <w:adjustRightInd w:val="0"/>
                    <w:snapToGrid w:val="0"/>
                    <w:rPr>
                      <w:color w:val="auto"/>
                      <w:szCs w:val="21"/>
                    </w:rPr>
                  </w:pPr>
                  <w:r>
                    <w:rPr>
                      <w:rFonts w:hint="eastAsia"/>
                      <w:color w:val="auto"/>
                      <w:szCs w:val="21"/>
                    </w:rPr>
                    <w:t>本</w:t>
                  </w:r>
                  <w:r>
                    <w:rPr>
                      <w:color w:val="auto"/>
                      <w:szCs w:val="21"/>
                    </w:rPr>
                    <w:t>项目不</w:t>
                  </w:r>
                  <w:r>
                    <w:rPr>
                      <w:rFonts w:hint="eastAsia"/>
                      <w:color w:val="auto"/>
                      <w:szCs w:val="21"/>
                    </w:rPr>
                    <w:t>属于产能过剩项目</w:t>
                  </w:r>
                </w:p>
              </w:tc>
              <w:tc>
                <w:tcPr>
                  <w:tcW w:w="474" w:type="pct"/>
                  <w:tcBorders>
                    <w:tl2br w:val="nil"/>
                    <w:tr2bl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pPr>
                    <w:adjustRightInd w:val="0"/>
                    <w:snapToGrid w:val="0"/>
                    <w:jc w:val="center"/>
                    <w:rPr>
                      <w:color w:val="auto"/>
                      <w:szCs w:val="21"/>
                    </w:rPr>
                  </w:pPr>
                  <w:r>
                    <w:rPr>
                      <w:color w:val="auto"/>
                      <w:szCs w:val="21"/>
                    </w:rPr>
                    <w:t>19</w:t>
                  </w:r>
                </w:p>
              </w:tc>
              <w:tc>
                <w:tcPr>
                  <w:tcW w:w="2929" w:type="pct"/>
                  <w:tcBorders>
                    <w:tl2br w:val="nil"/>
                    <w:tr2bl w:val="nil"/>
                  </w:tcBorders>
                  <w:vAlign w:val="center"/>
                </w:tcPr>
                <w:p>
                  <w:pPr>
                    <w:adjustRightInd w:val="0"/>
                    <w:snapToGrid w:val="0"/>
                    <w:rPr>
                      <w:color w:val="auto"/>
                      <w:szCs w:val="21"/>
                    </w:rPr>
                  </w:pPr>
                  <w:r>
                    <w:rPr>
                      <w:color w:val="auto"/>
                      <w:szCs w:val="21"/>
                    </w:rPr>
                    <w:t>第二十五条 禁止建设以下燃油汽车投资项目（不在中国境内销售产品的投资项目除外）：（一）新建独立燃油汽车企业；（二）现有汽车企业跨乘用车、商用车类别建设燃油汽车生 产能力；（三）外省现有燃油汽车企业整体搬迁至本省（列入国家级区域发展规划或不改变企业股权结构的项目除外）；（四）对行业管理部门特别公示的燃油汽车企业进行投资（企业原有股东投资或将该企业转为非独立法人的投资项目除外）。</w:t>
                  </w:r>
                </w:p>
              </w:tc>
              <w:tc>
                <w:tcPr>
                  <w:tcW w:w="1195" w:type="pct"/>
                  <w:tcBorders>
                    <w:tl2br w:val="nil"/>
                    <w:tr2bl w:val="nil"/>
                  </w:tcBorders>
                  <w:vAlign w:val="center"/>
                </w:tcPr>
                <w:p>
                  <w:pPr>
                    <w:adjustRightInd w:val="0"/>
                    <w:snapToGrid w:val="0"/>
                    <w:rPr>
                      <w:color w:val="auto"/>
                      <w:szCs w:val="21"/>
                    </w:rPr>
                  </w:pPr>
                  <w:r>
                    <w:rPr>
                      <w:rFonts w:hint="eastAsia"/>
                      <w:color w:val="auto"/>
                      <w:szCs w:val="21"/>
                    </w:rPr>
                    <w:t>本项目不属于</w:t>
                  </w:r>
                  <w:r>
                    <w:rPr>
                      <w:color w:val="auto"/>
                      <w:szCs w:val="21"/>
                    </w:rPr>
                    <w:t>燃油汽车投资项目</w:t>
                  </w:r>
                </w:p>
              </w:tc>
              <w:tc>
                <w:tcPr>
                  <w:tcW w:w="474" w:type="pct"/>
                  <w:tcBorders>
                    <w:tl2br w:val="nil"/>
                    <w:tr2bl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pPr>
                    <w:adjustRightInd w:val="0"/>
                    <w:snapToGrid w:val="0"/>
                    <w:jc w:val="center"/>
                    <w:rPr>
                      <w:color w:val="auto"/>
                      <w:szCs w:val="21"/>
                    </w:rPr>
                  </w:pPr>
                  <w:r>
                    <w:rPr>
                      <w:color w:val="auto"/>
                      <w:szCs w:val="21"/>
                    </w:rPr>
                    <w:t>20</w:t>
                  </w:r>
                </w:p>
              </w:tc>
              <w:tc>
                <w:tcPr>
                  <w:tcW w:w="2929" w:type="pct"/>
                  <w:tcBorders>
                    <w:tl2br w:val="nil"/>
                    <w:tr2bl w:val="nil"/>
                  </w:tcBorders>
                  <w:vAlign w:val="center"/>
                </w:tcPr>
                <w:p>
                  <w:pPr>
                    <w:adjustRightInd w:val="0"/>
                    <w:snapToGrid w:val="0"/>
                    <w:rPr>
                      <w:color w:val="auto"/>
                      <w:szCs w:val="21"/>
                    </w:rPr>
                  </w:pPr>
                  <w:r>
                    <w:rPr>
                      <w:color w:val="auto"/>
                      <w:szCs w:val="21"/>
                    </w:rPr>
                    <w:t>第二十六条 禁止新建、扩建不符合要求的高耗能、高排放、低水平项目。</w:t>
                  </w:r>
                </w:p>
              </w:tc>
              <w:tc>
                <w:tcPr>
                  <w:tcW w:w="1195" w:type="pct"/>
                  <w:tcBorders>
                    <w:tl2br w:val="nil"/>
                    <w:tr2bl w:val="nil"/>
                  </w:tcBorders>
                  <w:vAlign w:val="center"/>
                </w:tcPr>
                <w:p>
                  <w:pPr>
                    <w:adjustRightInd w:val="0"/>
                    <w:snapToGrid w:val="0"/>
                    <w:rPr>
                      <w:color w:val="auto"/>
                      <w:szCs w:val="21"/>
                    </w:rPr>
                  </w:pPr>
                  <w:r>
                    <w:rPr>
                      <w:rFonts w:hint="eastAsia"/>
                      <w:color w:val="auto"/>
                      <w:szCs w:val="21"/>
                    </w:rPr>
                    <w:t>本</w:t>
                  </w:r>
                  <w:r>
                    <w:rPr>
                      <w:color w:val="auto"/>
                      <w:szCs w:val="21"/>
                    </w:rPr>
                    <w:t>项目不</w:t>
                  </w:r>
                  <w:r>
                    <w:rPr>
                      <w:rFonts w:hint="eastAsia"/>
                      <w:color w:val="auto"/>
                      <w:szCs w:val="21"/>
                    </w:rPr>
                    <w:t>属于</w:t>
                  </w:r>
                  <w:r>
                    <w:rPr>
                      <w:color w:val="auto"/>
                      <w:szCs w:val="21"/>
                    </w:rPr>
                    <w:t>高耗能、高排放、低水平项目</w:t>
                  </w:r>
                </w:p>
              </w:tc>
              <w:tc>
                <w:tcPr>
                  <w:tcW w:w="474" w:type="pct"/>
                  <w:tcBorders>
                    <w:tl2br w:val="nil"/>
                    <w:tr2bl w:val="nil"/>
                  </w:tcBorders>
                  <w:vAlign w:val="center"/>
                </w:tcPr>
                <w:p>
                  <w:pPr>
                    <w:adjustRightInd w:val="0"/>
                    <w:snapToGrid w:val="0"/>
                    <w:jc w:val="center"/>
                    <w:rPr>
                      <w:color w:val="auto"/>
                      <w:szCs w:val="21"/>
                    </w:rPr>
                  </w:pPr>
                  <w:r>
                    <w:rPr>
                      <w:color w:val="auto"/>
                      <w:szCs w:val="21"/>
                    </w:rPr>
                    <w:t>符合</w:t>
                  </w:r>
                </w:p>
              </w:tc>
            </w:tr>
          </w:tbl>
          <w:p>
            <w:pPr>
              <w:autoSpaceDE w:val="0"/>
              <w:autoSpaceDN w:val="0"/>
              <w:adjustRightInd w:val="0"/>
              <w:snapToGrid w:val="0"/>
              <w:spacing w:line="360" w:lineRule="auto"/>
              <w:ind w:firstLine="482"/>
              <w:rPr>
                <w:b/>
                <w:bCs/>
                <w:color w:val="auto"/>
                <w:sz w:val="24"/>
              </w:rPr>
            </w:pPr>
            <w:r>
              <w:rPr>
                <w:bCs/>
                <w:color w:val="auto"/>
                <w:kern w:val="0"/>
                <w:sz w:val="24"/>
              </w:rPr>
              <w:t>综上所述，本项目符合</w:t>
            </w:r>
            <w:r>
              <w:rPr>
                <w:bCs/>
                <w:color w:val="auto"/>
                <w:sz w:val="24"/>
              </w:rPr>
              <w:t>《四川省、重庆市长江经济带发展负面清单实施细则（试行，2022年版）》（川长江办（2022）17号）</w:t>
            </w:r>
            <w:r>
              <w:rPr>
                <w:bCs/>
                <w:color w:val="auto"/>
                <w:kern w:val="0"/>
                <w:sz w:val="24"/>
              </w:rPr>
              <w:t>的相关要求。</w:t>
            </w:r>
          </w:p>
          <w:p>
            <w:pPr>
              <w:spacing w:line="360" w:lineRule="auto"/>
              <w:rPr>
                <w:rFonts w:eastAsiaTheme="minorEastAsia"/>
                <w:b/>
                <w:bCs/>
                <w:color w:val="auto"/>
                <w:kern w:val="0"/>
                <w:sz w:val="24"/>
              </w:rPr>
            </w:pPr>
            <w:r>
              <w:rPr>
                <w:rFonts w:hint="eastAsia" w:eastAsiaTheme="minorEastAsia"/>
                <w:b/>
                <w:bCs/>
                <w:color w:val="auto"/>
                <w:kern w:val="0"/>
                <w:sz w:val="24"/>
                <w:lang w:bidi="zh-TW"/>
              </w:rPr>
              <w:t>4.</w:t>
            </w:r>
            <w:r>
              <w:rPr>
                <w:rFonts w:eastAsiaTheme="minorEastAsia"/>
                <w:b/>
                <w:bCs/>
                <w:color w:val="auto"/>
                <w:kern w:val="0"/>
                <w:sz w:val="24"/>
                <w:lang w:bidi="zh-TW"/>
              </w:rPr>
              <w:t>与《重庆市大气环境保护“十四五”规划（</w:t>
            </w:r>
            <w:r>
              <w:rPr>
                <w:rFonts w:eastAsiaTheme="minorEastAsia"/>
                <w:b/>
                <w:bCs/>
                <w:color w:val="auto"/>
                <w:kern w:val="0"/>
                <w:sz w:val="24"/>
                <w:lang w:bidi="en-US"/>
              </w:rPr>
              <w:t>2021-2025</w:t>
            </w:r>
            <w:r>
              <w:rPr>
                <w:rFonts w:eastAsiaTheme="minorEastAsia"/>
                <w:b/>
                <w:bCs/>
                <w:color w:val="auto"/>
                <w:kern w:val="0"/>
                <w:sz w:val="24"/>
                <w:lang w:bidi="zh-TW"/>
              </w:rPr>
              <w:t>年）》符合性</w:t>
            </w:r>
          </w:p>
          <w:p>
            <w:pPr>
              <w:jc w:val="center"/>
              <w:rPr>
                <w:rFonts w:eastAsiaTheme="minorEastAsia"/>
                <w:color w:val="auto"/>
                <w:kern w:val="0"/>
                <w:sz w:val="21"/>
                <w:szCs w:val="21"/>
                <w:lang w:bidi="en-US"/>
              </w:rPr>
            </w:pPr>
            <w:r>
              <w:rPr>
                <w:rFonts w:eastAsiaTheme="minorEastAsia"/>
                <w:color w:val="auto"/>
                <w:kern w:val="0"/>
                <w:sz w:val="21"/>
                <w:szCs w:val="21"/>
                <w:lang w:bidi="en-US"/>
              </w:rPr>
              <w:t>表1</w:t>
            </w:r>
            <w:r>
              <w:rPr>
                <w:rFonts w:hint="eastAsia" w:eastAsiaTheme="minorEastAsia"/>
                <w:color w:val="auto"/>
                <w:kern w:val="0"/>
                <w:sz w:val="21"/>
                <w:szCs w:val="21"/>
                <w:lang w:bidi="en-US"/>
              </w:rPr>
              <w:t xml:space="preserve">.4 </w:t>
            </w:r>
            <w:r>
              <w:rPr>
                <w:rFonts w:eastAsiaTheme="minorEastAsia"/>
                <w:color w:val="auto"/>
                <w:kern w:val="0"/>
                <w:sz w:val="21"/>
                <w:szCs w:val="21"/>
                <w:lang w:bidi="en-US"/>
              </w:rPr>
              <w:t>与重庆市大气环境保护</w:t>
            </w:r>
            <w:r>
              <w:rPr>
                <w:rFonts w:eastAsiaTheme="minorEastAsia"/>
                <w:color w:val="auto"/>
                <w:kern w:val="0"/>
                <w:sz w:val="21"/>
                <w:szCs w:val="21"/>
                <w:lang w:bidi="zh-CN"/>
              </w:rPr>
              <w:t>“十</w:t>
            </w:r>
            <w:r>
              <w:rPr>
                <w:rFonts w:eastAsiaTheme="minorEastAsia"/>
                <w:color w:val="auto"/>
                <w:kern w:val="0"/>
                <w:sz w:val="21"/>
                <w:szCs w:val="21"/>
                <w:lang w:bidi="en-US"/>
              </w:rPr>
              <w:t>四五”规划符合性</w:t>
            </w:r>
          </w:p>
          <w:tbl>
            <w:tblPr>
              <w:tblStyle w:val="22"/>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 w:type="dxa"/>
                <w:bottom w:w="0" w:type="dxa"/>
                <w:right w:w="10" w:type="dxa"/>
              </w:tblCellMar>
            </w:tblPr>
            <w:tblGrid>
              <w:gridCol w:w="756"/>
              <w:gridCol w:w="4388"/>
              <w:gridCol w:w="2007"/>
              <w:gridCol w:w="63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3301" w:type="pct"/>
                  <w:gridSpan w:val="2"/>
                  <w:tcBorders>
                    <w:tl2br w:val="nil"/>
                    <w:tr2bl w:val="nil"/>
                  </w:tcBorders>
                  <w:shd w:val="clear" w:color="auto" w:fill="auto"/>
                  <w:vAlign w:val="center"/>
                </w:tcPr>
                <w:p>
                  <w:pPr>
                    <w:pStyle w:val="51"/>
                    <w:adjustRightInd w:val="0"/>
                    <w:snapToGrid w:val="0"/>
                    <w:spacing w:after="0" w:line="240" w:lineRule="auto"/>
                    <w:ind w:firstLine="0"/>
                    <w:jc w:val="center"/>
                    <w:rPr>
                      <w:color w:val="auto"/>
                      <w:sz w:val="21"/>
                      <w:szCs w:val="21"/>
                    </w:rPr>
                  </w:pPr>
                  <w:r>
                    <w:rPr>
                      <w:color w:val="auto"/>
                      <w:sz w:val="21"/>
                      <w:szCs w:val="21"/>
                    </w:rPr>
                    <w:t>相关要求</w:t>
                  </w:r>
                </w:p>
              </w:tc>
              <w:tc>
                <w:tcPr>
                  <w:tcW w:w="1288" w:type="pct"/>
                  <w:tcBorders>
                    <w:tl2br w:val="nil"/>
                    <w:tr2bl w:val="nil"/>
                  </w:tcBorders>
                  <w:shd w:val="clear" w:color="auto" w:fill="auto"/>
                  <w:vAlign w:val="center"/>
                </w:tcPr>
                <w:p>
                  <w:pPr>
                    <w:pStyle w:val="51"/>
                    <w:adjustRightInd w:val="0"/>
                    <w:snapToGrid w:val="0"/>
                    <w:spacing w:after="0" w:line="240" w:lineRule="auto"/>
                    <w:ind w:firstLine="0"/>
                    <w:jc w:val="center"/>
                    <w:rPr>
                      <w:color w:val="auto"/>
                      <w:sz w:val="21"/>
                      <w:szCs w:val="21"/>
                    </w:rPr>
                  </w:pPr>
                  <w:r>
                    <w:rPr>
                      <w:color w:val="auto"/>
                      <w:sz w:val="21"/>
                      <w:szCs w:val="21"/>
                    </w:rPr>
                    <w:t>本项目情况</w:t>
                  </w:r>
                </w:p>
              </w:tc>
              <w:tc>
                <w:tcPr>
                  <w:tcW w:w="410" w:type="pct"/>
                  <w:tcBorders>
                    <w:tl2br w:val="nil"/>
                    <w:tr2bl w:val="nil"/>
                  </w:tcBorders>
                  <w:shd w:val="clear" w:color="auto" w:fill="auto"/>
                  <w:vAlign w:val="center"/>
                </w:tcPr>
                <w:p>
                  <w:pPr>
                    <w:pStyle w:val="51"/>
                    <w:adjustRightInd w:val="0"/>
                    <w:snapToGrid w:val="0"/>
                    <w:spacing w:after="0" w:line="240" w:lineRule="auto"/>
                    <w:ind w:firstLine="0"/>
                    <w:jc w:val="center"/>
                    <w:rPr>
                      <w:color w:val="auto"/>
                      <w:sz w:val="21"/>
                      <w:szCs w:val="21"/>
                    </w:rPr>
                  </w:pPr>
                  <w:r>
                    <w:rPr>
                      <w:color w:val="auto"/>
                      <w:sz w:val="21"/>
                      <w:szCs w:val="21"/>
                    </w:rPr>
                    <w:t>符</w:t>
                  </w:r>
                  <w:r>
                    <w:rPr>
                      <w:rFonts w:hint="eastAsia"/>
                      <w:color w:val="auto"/>
                      <w:sz w:val="21"/>
                      <w:szCs w:val="21"/>
                      <w:lang w:eastAsia="zh-CN"/>
                    </w:rPr>
                    <w:t>合</w:t>
                  </w:r>
                  <w:r>
                    <w:rPr>
                      <w:color w:val="auto"/>
                      <w:sz w:val="21"/>
                      <w:szCs w:val="21"/>
                    </w:rPr>
                    <w:t>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85" w:type="pct"/>
                  <w:tcBorders>
                    <w:tl2br w:val="nil"/>
                    <w:tr2bl w:val="nil"/>
                  </w:tcBorders>
                  <w:shd w:val="clear" w:color="auto" w:fill="auto"/>
                  <w:vAlign w:val="center"/>
                </w:tcPr>
                <w:p>
                  <w:pPr>
                    <w:pStyle w:val="51"/>
                    <w:adjustRightInd w:val="0"/>
                    <w:snapToGrid w:val="0"/>
                    <w:spacing w:after="0" w:line="240" w:lineRule="auto"/>
                    <w:ind w:firstLine="0"/>
                    <w:jc w:val="center"/>
                    <w:rPr>
                      <w:color w:val="auto"/>
                      <w:sz w:val="21"/>
                      <w:szCs w:val="21"/>
                    </w:rPr>
                  </w:pPr>
                  <w:r>
                    <w:rPr>
                      <w:color w:val="auto"/>
                      <w:sz w:val="21"/>
                      <w:szCs w:val="21"/>
                    </w:rPr>
                    <w:t>加强源头控制</w:t>
                  </w:r>
                </w:p>
              </w:tc>
              <w:tc>
                <w:tcPr>
                  <w:tcW w:w="2815" w:type="pct"/>
                  <w:tcBorders>
                    <w:tl2br w:val="nil"/>
                    <w:tr2bl w:val="nil"/>
                  </w:tcBorders>
                  <w:shd w:val="clear" w:color="auto" w:fill="auto"/>
                  <w:vAlign w:val="center"/>
                </w:tcPr>
                <w:p>
                  <w:pPr>
                    <w:pStyle w:val="51"/>
                    <w:adjustRightInd w:val="0"/>
                    <w:snapToGrid w:val="0"/>
                    <w:spacing w:after="0" w:line="240" w:lineRule="auto"/>
                    <w:ind w:firstLine="0"/>
                    <w:jc w:val="both"/>
                    <w:rPr>
                      <w:color w:val="auto"/>
                      <w:sz w:val="21"/>
                      <w:szCs w:val="21"/>
                    </w:rPr>
                  </w:pPr>
                  <w:r>
                    <w:rPr>
                      <w:rFonts w:ascii="Times New Roman" w:hAnsi="Times New Roman" w:cs="Times New Roman"/>
                      <w:color w:val="auto"/>
                      <w:sz w:val="21"/>
                      <w:szCs w:val="21"/>
                    </w:rPr>
                    <w:t>实施</w:t>
                  </w:r>
                  <w:r>
                    <w:rPr>
                      <w:rFonts w:ascii="Times New Roman" w:hAnsi="Times New Roman" w:cs="Times New Roman"/>
                      <w:color w:val="auto"/>
                      <w:sz w:val="21"/>
                      <w:szCs w:val="21"/>
                      <w:lang w:val="en-US" w:eastAsia="zh-CN" w:bidi="en-US"/>
                    </w:rPr>
                    <w:t>VOCs</w:t>
                  </w:r>
                  <w:r>
                    <w:rPr>
                      <w:rFonts w:ascii="Times New Roman" w:hAnsi="Times New Roman" w:cs="Times New Roman"/>
                      <w:color w:val="auto"/>
                      <w:sz w:val="21"/>
                      <w:szCs w:val="21"/>
                    </w:rPr>
                    <w:t>排放总量控制，涉</w:t>
                  </w:r>
                  <w:r>
                    <w:rPr>
                      <w:rFonts w:ascii="Times New Roman" w:hAnsi="Times New Roman" w:cs="Times New Roman"/>
                      <w:color w:val="auto"/>
                      <w:sz w:val="21"/>
                      <w:szCs w:val="21"/>
                      <w:lang w:val="en-US" w:eastAsia="zh-CN" w:bidi="en-US"/>
                    </w:rPr>
                    <w:t>VOCs</w:t>
                  </w:r>
                  <w:r>
                    <w:rPr>
                      <w:rFonts w:ascii="Times New Roman" w:hAnsi="Times New Roman" w:cs="Times New Roman"/>
                      <w:color w:val="auto"/>
                      <w:sz w:val="21"/>
                      <w:szCs w:val="21"/>
                    </w:rPr>
                    <w:t>建设项目按照新增排放量进行减量替代。以工业涂装、包装印刷等行业为重点，实施原辅材料和产品源头替代。加快对溶剂型涂料、油墨、胶粘剂、清洗剂使用企业制定低</w:t>
                  </w:r>
                  <w:r>
                    <w:rPr>
                      <w:rFonts w:ascii="Times New Roman" w:hAnsi="Times New Roman" w:cs="Times New Roman"/>
                      <w:color w:val="auto"/>
                      <w:sz w:val="21"/>
                      <w:szCs w:val="21"/>
                      <w:lang w:val="en-US" w:eastAsia="zh-CN" w:bidi="en-US"/>
                    </w:rPr>
                    <w:t>VOCs</w:t>
                  </w:r>
                  <w:r>
                    <w:rPr>
                      <w:rFonts w:ascii="Times New Roman" w:hAnsi="Times New Roman" w:cs="Times New Roman"/>
                      <w:color w:val="auto"/>
                      <w:sz w:val="21"/>
                      <w:szCs w:val="21"/>
                    </w:rPr>
                    <w:t>含量原辅材料替代计划。将生产和使用高</w:t>
                  </w:r>
                  <w:r>
                    <w:rPr>
                      <w:rFonts w:ascii="Times New Roman" w:hAnsi="Times New Roman" w:cs="Times New Roman"/>
                      <w:color w:val="auto"/>
                      <w:sz w:val="21"/>
                      <w:szCs w:val="21"/>
                      <w:lang w:val="en-US" w:eastAsia="zh-CN" w:bidi="en-US"/>
                    </w:rPr>
                    <w:t>VOCs</w:t>
                  </w:r>
                  <w:r>
                    <w:rPr>
                      <w:rFonts w:ascii="Times New Roman" w:hAnsi="Times New Roman" w:cs="Times New Roman"/>
                      <w:color w:val="auto"/>
                      <w:sz w:val="21"/>
                      <w:szCs w:val="21"/>
                    </w:rPr>
                    <w:t>含量产品的企业列入强制性清洁生产审核名单。到2025年，基本完成汽车、摩托车整车制造底漆、中涂、色漆低</w:t>
                  </w:r>
                  <w:r>
                    <w:rPr>
                      <w:rFonts w:ascii="Times New Roman" w:hAnsi="Times New Roman" w:cs="Times New Roman"/>
                      <w:color w:val="auto"/>
                      <w:sz w:val="21"/>
                      <w:szCs w:val="21"/>
                      <w:lang w:val="en-US" w:eastAsia="zh-CN" w:bidi="en-US"/>
                    </w:rPr>
                    <w:t>VOCs</w:t>
                  </w:r>
                  <w:r>
                    <w:rPr>
                      <w:rFonts w:ascii="Times New Roman" w:hAnsi="Times New Roman" w:cs="Times New Roman"/>
                      <w:color w:val="auto"/>
                      <w:sz w:val="21"/>
                      <w:szCs w:val="21"/>
                    </w:rPr>
                    <w:t>含量涂料替代；在木质家具、汽车零部件、工程机械、钢结构、船舶制造等行业技术成熟环节，大力推广低</w:t>
                  </w:r>
                  <w:r>
                    <w:rPr>
                      <w:rFonts w:ascii="Times New Roman" w:hAnsi="Times New Roman" w:cs="Times New Roman"/>
                      <w:color w:val="auto"/>
                      <w:sz w:val="21"/>
                      <w:szCs w:val="21"/>
                      <w:lang w:val="en-US" w:eastAsia="zh-CN" w:bidi="en-US"/>
                    </w:rPr>
                    <w:t>VOCs</w:t>
                  </w:r>
                  <w:r>
                    <w:rPr>
                      <w:rFonts w:ascii="Times New Roman" w:hAnsi="Times New Roman" w:cs="Times New Roman"/>
                      <w:color w:val="auto"/>
                      <w:sz w:val="21"/>
                      <w:szCs w:val="21"/>
                    </w:rPr>
                    <w:t>含量涂料。在房屋建筑、市政工程和城市道路交通标志中，除特殊功能要求外，全面推广使用低</w:t>
                  </w:r>
                  <w:r>
                    <w:rPr>
                      <w:rFonts w:ascii="Times New Roman" w:hAnsi="Times New Roman" w:cs="Times New Roman"/>
                      <w:color w:val="auto"/>
                      <w:sz w:val="21"/>
                      <w:szCs w:val="21"/>
                      <w:lang w:val="en-US" w:eastAsia="zh-CN" w:bidi="en-US"/>
                    </w:rPr>
                    <w:t>VOCs</w:t>
                  </w:r>
                  <w:r>
                    <w:rPr>
                      <w:rFonts w:ascii="Times New Roman" w:hAnsi="Times New Roman" w:cs="Times New Roman"/>
                      <w:color w:val="auto"/>
                      <w:sz w:val="21"/>
                      <w:szCs w:val="21"/>
                    </w:rPr>
                    <w:t>含量的涂料、胶粘剂。到2025年，全市溶剂型工业涂料、溶剂型油墨使用比例分别降低20%、15%，溶剂型胶粘剂使用量下降20%。</w:t>
                  </w:r>
                </w:p>
              </w:tc>
              <w:tc>
                <w:tcPr>
                  <w:tcW w:w="1288" w:type="pct"/>
                  <w:tcBorders>
                    <w:tl2br w:val="nil"/>
                    <w:tr2bl w:val="nil"/>
                  </w:tcBorders>
                  <w:shd w:val="clear" w:color="auto" w:fill="auto"/>
                  <w:vAlign w:val="center"/>
                </w:tcPr>
                <w:p>
                  <w:pPr>
                    <w:pStyle w:val="51"/>
                    <w:adjustRightInd w:val="0"/>
                    <w:snapToGrid w:val="0"/>
                    <w:spacing w:after="0" w:line="240" w:lineRule="auto"/>
                    <w:ind w:firstLine="0"/>
                    <w:jc w:val="both"/>
                    <w:rPr>
                      <w:color w:val="auto"/>
                      <w:sz w:val="21"/>
                      <w:szCs w:val="21"/>
                      <w:lang w:eastAsia="zh-CN"/>
                    </w:rPr>
                  </w:pPr>
                  <w:r>
                    <w:rPr>
                      <w:rFonts w:ascii="Times New Roman" w:hAnsi="Times New Roman" w:cs="Times New Roman"/>
                      <w:color w:val="auto"/>
                      <w:sz w:val="21"/>
                      <w:szCs w:val="21"/>
                    </w:rPr>
                    <w:t>本项目</w:t>
                  </w:r>
                  <w:r>
                    <w:rPr>
                      <w:rFonts w:hint="eastAsia" w:ascii="Times New Roman" w:hAnsi="Times New Roman" w:cs="Times New Roman"/>
                      <w:color w:val="auto"/>
                      <w:sz w:val="21"/>
                      <w:szCs w:val="21"/>
                      <w:lang w:eastAsia="zh-CN"/>
                    </w:rPr>
                    <w:t>不属于工业涂装、包装印刷等行业</w:t>
                  </w:r>
                  <w:r>
                    <w:rPr>
                      <w:rFonts w:ascii="Times New Roman" w:hAnsi="Times New Roman" w:cs="Times New Roman"/>
                      <w:color w:val="auto"/>
                      <w:sz w:val="21"/>
                      <w:szCs w:val="21"/>
                      <w:lang w:eastAsia="zh-CN"/>
                    </w:rPr>
                    <w:t>，使用的</w:t>
                  </w:r>
                  <w:r>
                    <w:rPr>
                      <w:rFonts w:hint="eastAsia" w:ascii="Times New Roman" w:hAnsi="Times New Roman" w:cs="Times New Roman"/>
                      <w:color w:val="auto"/>
                      <w:sz w:val="21"/>
                      <w:szCs w:val="21"/>
                      <w:lang w:eastAsia="zh-CN"/>
                    </w:rPr>
                    <w:t>胶粘剂为水性胶粘剂</w:t>
                  </w:r>
                  <w:r>
                    <w:rPr>
                      <w:rFonts w:ascii="Times New Roman" w:hAnsi="Times New Roman" w:cs="Times New Roman"/>
                      <w:color w:val="auto"/>
                      <w:sz w:val="21"/>
                      <w:szCs w:val="21"/>
                      <w:lang w:eastAsia="zh-CN"/>
                    </w:rPr>
                    <w:t>，属于</w:t>
                  </w:r>
                  <w:r>
                    <w:rPr>
                      <w:rFonts w:ascii="Times New Roman" w:hAnsi="Times New Roman" w:cs="Times New Roman"/>
                      <w:color w:val="auto"/>
                      <w:sz w:val="21"/>
                      <w:szCs w:val="21"/>
                    </w:rPr>
                    <w:t>低</w:t>
                  </w:r>
                  <w:r>
                    <w:rPr>
                      <w:rFonts w:ascii="Times New Roman" w:hAnsi="Times New Roman" w:cs="Times New Roman"/>
                      <w:color w:val="auto"/>
                      <w:sz w:val="21"/>
                      <w:szCs w:val="21"/>
                      <w:lang w:val="en-US" w:eastAsia="zh-CN" w:bidi="en-US"/>
                    </w:rPr>
                    <w:t>VOCs</w:t>
                  </w:r>
                  <w:r>
                    <w:rPr>
                      <w:rFonts w:ascii="Times New Roman" w:hAnsi="Times New Roman" w:cs="Times New Roman"/>
                      <w:color w:val="auto"/>
                      <w:sz w:val="21"/>
                      <w:szCs w:val="21"/>
                    </w:rPr>
                    <w:t>含量</w:t>
                  </w:r>
                  <w:r>
                    <w:rPr>
                      <w:rFonts w:hint="eastAsia" w:ascii="Times New Roman" w:hAnsi="Times New Roman" w:cs="Times New Roman"/>
                      <w:color w:val="auto"/>
                      <w:sz w:val="21"/>
                      <w:szCs w:val="21"/>
                      <w:lang w:eastAsia="zh-CN"/>
                    </w:rPr>
                    <w:t>原料</w:t>
                  </w:r>
                  <w:r>
                    <w:rPr>
                      <w:rFonts w:ascii="Times New Roman" w:hAnsi="Times New Roman" w:cs="Times New Roman"/>
                      <w:color w:val="auto"/>
                      <w:sz w:val="21"/>
                      <w:szCs w:val="21"/>
                    </w:rPr>
                    <w:t>，采取集中收集处理后达标排放</w:t>
                  </w:r>
                  <w:r>
                    <w:rPr>
                      <w:rFonts w:ascii="Times New Roman" w:hAnsi="Times New Roman" w:cs="Times New Roman"/>
                      <w:color w:val="auto"/>
                      <w:sz w:val="21"/>
                      <w:szCs w:val="21"/>
                      <w:lang w:eastAsia="zh-CN"/>
                    </w:rPr>
                    <w:t>；</w:t>
                  </w:r>
                </w:p>
              </w:tc>
              <w:tc>
                <w:tcPr>
                  <w:tcW w:w="410" w:type="pct"/>
                  <w:tcBorders>
                    <w:tl2br w:val="nil"/>
                    <w:tr2bl w:val="nil"/>
                  </w:tcBorders>
                  <w:shd w:val="clear" w:color="auto" w:fill="auto"/>
                  <w:vAlign w:val="center"/>
                </w:tcPr>
                <w:p>
                  <w:pPr>
                    <w:pStyle w:val="51"/>
                    <w:adjustRightInd w:val="0"/>
                    <w:snapToGrid w:val="0"/>
                    <w:spacing w:after="0" w:line="240" w:lineRule="auto"/>
                    <w:ind w:firstLine="0"/>
                    <w:jc w:val="center"/>
                    <w:rPr>
                      <w:color w:val="auto"/>
                      <w:sz w:val="21"/>
                      <w:szCs w:val="21"/>
                    </w:rPr>
                  </w:pPr>
                  <w:r>
                    <w:rPr>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85" w:type="pct"/>
                  <w:tcBorders>
                    <w:tl2br w:val="nil"/>
                    <w:tr2bl w:val="nil"/>
                  </w:tcBorders>
                  <w:shd w:val="clear" w:color="auto" w:fill="auto"/>
                  <w:vAlign w:val="center"/>
                </w:tcPr>
                <w:p>
                  <w:pPr>
                    <w:pStyle w:val="51"/>
                    <w:adjustRightInd w:val="0"/>
                    <w:snapToGrid w:val="0"/>
                    <w:spacing w:after="0" w:line="240" w:lineRule="auto"/>
                    <w:ind w:firstLine="0"/>
                    <w:jc w:val="center"/>
                    <w:rPr>
                      <w:color w:val="auto"/>
                      <w:sz w:val="21"/>
                      <w:szCs w:val="21"/>
                    </w:rPr>
                  </w:pPr>
                  <w:r>
                    <w:rPr>
                      <w:rFonts w:ascii="Times New Roman" w:hAnsi="Times New Roman" w:cs="Times New Roman"/>
                      <w:color w:val="auto"/>
                      <w:sz w:val="21"/>
                      <w:szCs w:val="21"/>
                    </w:rPr>
                    <w:t>强化VOCs无组织排放管控</w:t>
                  </w:r>
                </w:p>
              </w:tc>
              <w:tc>
                <w:tcPr>
                  <w:tcW w:w="2815" w:type="pct"/>
                  <w:tcBorders>
                    <w:tl2br w:val="nil"/>
                    <w:tr2bl w:val="nil"/>
                  </w:tcBorders>
                  <w:shd w:val="clear" w:color="auto" w:fill="auto"/>
                  <w:vAlign w:val="center"/>
                </w:tcPr>
                <w:p>
                  <w:pPr>
                    <w:pStyle w:val="51"/>
                    <w:adjustRightInd w:val="0"/>
                    <w:snapToGrid w:val="0"/>
                    <w:spacing w:after="0" w:line="240" w:lineRule="auto"/>
                    <w:ind w:firstLine="0"/>
                    <w:jc w:val="both"/>
                    <w:rPr>
                      <w:color w:val="auto"/>
                      <w:sz w:val="21"/>
                      <w:szCs w:val="21"/>
                    </w:rPr>
                  </w:pPr>
                  <w:r>
                    <w:rPr>
                      <w:color w:val="auto"/>
                      <w:sz w:val="21"/>
                      <w:szCs w:val="21"/>
                    </w:rPr>
                    <w:t>实</w:t>
                  </w:r>
                  <w:r>
                    <w:rPr>
                      <w:rFonts w:ascii="Times New Roman" w:hAnsi="Times New Roman" w:cs="Times New Roman"/>
                      <w:color w:val="auto"/>
                      <w:sz w:val="21"/>
                      <w:szCs w:val="21"/>
                    </w:rPr>
                    <w:t>施储罐综合治理，浮顶与罐壁之间应采用高效密封方式，重点区域存储汽油、航空煤油、石脑油以及苯、甲苯、二甲苯的浮顶罐应使用全液面接触式浮顶。强化装卸废气收集治理，限期推动装载汽油、航空煤油、石脑油和苯、甲苯、二甲苯等的汽车罐车全部采用底部装载方式，换用自封式快速接头。指导企业规范开展泄漏检测与修复（LDAR）工作，优先在密封点超过2000个的企业推行LDAR技术改造，并加强监督检查。长寿、万州、涪陵及其他重点工业园区，逐步建立统一的LDAR信息管理平台试点。2023年年底前完成万吨级及以上原油、成品油码头油气回收治理。鼓励重点区域年销售汽油5000吨以上加油站完成油气三级回收处理。</w:t>
                  </w:r>
                </w:p>
              </w:tc>
              <w:tc>
                <w:tcPr>
                  <w:tcW w:w="1288" w:type="pct"/>
                  <w:tcBorders>
                    <w:tl2br w:val="nil"/>
                    <w:tr2bl w:val="nil"/>
                  </w:tcBorders>
                  <w:shd w:val="clear" w:color="auto" w:fill="auto"/>
                  <w:vAlign w:val="center"/>
                </w:tcPr>
                <w:p>
                  <w:pPr>
                    <w:pStyle w:val="51"/>
                    <w:adjustRightInd w:val="0"/>
                    <w:snapToGrid w:val="0"/>
                    <w:spacing w:after="0" w:line="240" w:lineRule="auto"/>
                    <w:ind w:firstLine="0"/>
                    <w:jc w:val="both"/>
                    <w:rPr>
                      <w:color w:val="auto"/>
                      <w:sz w:val="21"/>
                      <w:szCs w:val="21"/>
                    </w:rPr>
                  </w:pPr>
                  <w:r>
                    <w:rPr>
                      <w:color w:val="auto"/>
                      <w:sz w:val="21"/>
                      <w:szCs w:val="21"/>
                    </w:rPr>
                    <w:t>本项目不使用储罐，原辅料均不涉及汽油、航空煤油、石脑油以及苯、甲苯、二甲苯</w:t>
                  </w:r>
                  <w:r>
                    <w:rPr>
                      <w:rFonts w:hint="eastAsia"/>
                      <w:color w:val="auto"/>
                      <w:sz w:val="21"/>
                      <w:szCs w:val="21"/>
                      <w:lang w:eastAsia="zh-CN"/>
                    </w:rPr>
                    <w:t>储存</w:t>
                  </w:r>
                  <w:r>
                    <w:rPr>
                      <w:color w:val="auto"/>
                      <w:sz w:val="21"/>
                      <w:szCs w:val="21"/>
                    </w:rPr>
                    <w:t>。</w:t>
                  </w:r>
                </w:p>
              </w:tc>
              <w:tc>
                <w:tcPr>
                  <w:tcW w:w="410" w:type="pct"/>
                  <w:tcBorders>
                    <w:tl2br w:val="nil"/>
                    <w:tr2bl w:val="nil"/>
                  </w:tcBorders>
                  <w:shd w:val="clear" w:color="auto" w:fill="auto"/>
                  <w:vAlign w:val="center"/>
                </w:tcPr>
                <w:p>
                  <w:pPr>
                    <w:pStyle w:val="51"/>
                    <w:adjustRightInd w:val="0"/>
                    <w:snapToGrid w:val="0"/>
                    <w:spacing w:after="0" w:line="240" w:lineRule="auto"/>
                    <w:ind w:firstLine="0"/>
                    <w:jc w:val="center"/>
                    <w:rPr>
                      <w:color w:val="auto"/>
                      <w:sz w:val="21"/>
                      <w:szCs w:val="21"/>
                    </w:rPr>
                  </w:pPr>
                  <w:r>
                    <w:rPr>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85" w:type="pct"/>
                  <w:tcBorders>
                    <w:tl2br w:val="nil"/>
                    <w:tr2bl w:val="nil"/>
                  </w:tcBorders>
                  <w:shd w:val="clear" w:color="auto" w:fill="auto"/>
                  <w:vAlign w:val="center"/>
                </w:tcPr>
                <w:p>
                  <w:pPr>
                    <w:pStyle w:val="51"/>
                    <w:adjustRightInd w:val="0"/>
                    <w:snapToGrid w:val="0"/>
                    <w:spacing w:after="0" w:line="240" w:lineRule="auto"/>
                    <w:ind w:firstLine="0"/>
                    <w:jc w:val="center"/>
                    <w:rPr>
                      <w:color w:val="auto"/>
                      <w:sz w:val="21"/>
                      <w:szCs w:val="21"/>
                    </w:rPr>
                  </w:pPr>
                  <w:r>
                    <w:rPr>
                      <w:color w:val="auto"/>
                      <w:sz w:val="21"/>
                      <w:szCs w:val="21"/>
                    </w:rPr>
                    <w:t>持续推进VOCs全过程综合治理</w:t>
                  </w:r>
                </w:p>
              </w:tc>
              <w:tc>
                <w:tcPr>
                  <w:tcW w:w="2815" w:type="pct"/>
                  <w:tcBorders>
                    <w:tl2br w:val="nil"/>
                    <w:tr2bl w:val="nil"/>
                  </w:tcBorders>
                  <w:shd w:val="clear" w:color="auto" w:fill="auto"/>
                  <w:vAlign w:val="center"/>
                </w:tcPr>
                <w:p>
                  <w:pPr>
                    <w:pStyle w:val="51"/>
                    <w:adjustRightInd w:val="0"/>
                    <w:snapToGrid w:val="0"/>
                    <w:spacing w:after="0" w:line="240" w:lineRule="auto"/>
                    <w:ind w:firstLine="0"/>
                    <w:jc w:val="both"/>
                    <w:rPr>
                      <w:color w:val="auto"/>
                      <w:sz w:val="21"/>
                      <w:szCs w:val="21"/>
                    </w:rPr>
                  </w:pPr>
                  <w:r>
                    <w:rPr>
                      <w:rFonts w:ascii="Times New Roman" w:hAnsi="Times New Roman" w:cs="Times New Roman"/>
                      <w:color w:val="auto"/>
                      <w:sz w:val="21"/>
                      <w:szCs w:val="21"/>
                    </w:rPr>
                    <w:t>推动VOCs末端治理升级。推行“一企一策”，引导企业选择多种技术的组合工艺提高VOCs治理效率。石化、化工企业加强火炬系统排放监管，保证燃烧温度和污染物停留时间能有效去除污染物。加强非正常工况废气排放管控，制定非正常工况VOCs管控规程，严格按规程操作。有条件的工业集聚区建设集中喷涂工程中心，配备高效治污设施，替代企业独立喷涂工序，对涉及喷漆、喷粉、印刷等废气进行集中处理。鼓励对中小型企业集群开展企业分散收集一活性炭移动集中再生治理模式的示范推广。</w:t>
                  </w:r>
                </w:p>
              </w:tc>
              <w:tc>
                <w:tcPr>
                  <w:tcW w:w="1288" w:type="pct"/>
                  <w:tcBorders>
                    <w:tl2br w:val="nil"/>
                    <w:tr2bl w:val="nil"/>
                  </w:tcBorders>
                  <w:shd w:val="clear" w:color="auto" w:fill="auto"/>
                  <w:vAlign w:val="center"/>
                </w:tcPr>
                <w:p>
                  <w:pPr>
                    <w:pStyle w:val="51"/>
                    <w:adjustRightInd w:val="0"/>
                    <w:snapToGrid w:val="0"/>
                    <w:spacing w:after="0" w:line="240" w:lineRule="auto"/>
                    <w:ind w:firstLine="0"/>
                    <w:jc w:val="both"/>
                    <w:rPr>
                      <w:color w:val="auto"/>
                      <w:sz w:val="21"/>
                      <w:szCs w:val="21"/>
                      <w:lang w:eastAsia="zh-CN"/>
                    </w:rPr>
                  </w:pPr>
                  <w:r>
                    <w:rPr>
                      <w:color w:val="auto"/>
                      <w:sz w:val="21"/>
                      <w:szCs w:val="21"/>
                    </w:rPr>
                    <w:t>本项目</w:t>
                  </w:r>
                  <w:r>
                    <w:rPr>
                      <w:rFonts w:hint="eastAsia"/>
                      <w:color w:val="auto"/>
                      <w:sz w:val="21"/>
                      <w:szCs w:val="21"/>
                      <w:lang w:eastAsia="zh-CN"/>
                    </w:rPr>
                    <w:t>产生的挥发性有机物采取集中收集、</w:t>
                  </w:r>
                  <w:r>
                    <w:rPr>
                      <w:rFonts w:hint="eastAsia"/>
                      <w:color w:val="auto"/>
                      <w:sz w:val="21"/>
                      <w:szCs w:val="21"/>
                      <w:highlight w:val="none"/>
                      <w:lang w:eastAsia="zh-CN"/>
                    </w:rPr>
                    <w:t>处理措施，挥发性有机物经收集后采用</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UV光解+二级</w:t>
                  </w:r>
                  <w:r>
                    <w:rPr>
                      <w:rFonts w:hint="default" w:ascii="Times New Roman" w:hAnsi="Times New Roman" w:cs="Times New Roman"/>
                      <w:color w:val="auto"/>
                      <w:sz w:val="21"/>
                      <w:szCs w:val="21"/>
                      <w:highlight w:val="none"/>
                      <w:lang w:val="en-US"/>
                    </w:rPr>
                    <w:t>活性炭</w:t>
                  </w:r>
                  <w:r>
                    <w:rPr>
                      <w:rFonts w:hint="default" w:ascii="Times New Roman" w:hAnsi="Times New Roman" w:cs="Times New Roman"/>
                      <w:color w:val="auto"/>
                      <w:sz w:val="21"/>
                      <w:szCs w:val="21"/>
                      <w:highlight w:val="none"/>
                      <w:lang w:val="en-US" w:eastAsia="zh-CN"/>
                    </w:rPr>
                    <w:t>”</w:t>
                  </w:r>
                  <w:r>
                    <w:rPr>
                      <w:color w:val="auto"/>
                      <w:sz w:val="21"/>
                      <w:szCs w:val="21"/>
                      <w:highlight w:val="none"/>
                      <w:lang w:val="en-US"/>
                    </w:rPr>
                    <w:t>吸附</w:t>
                  </w:r>
                  <w:r>
                    <w:rPr>
                      <w:color w:val="auto"/>
                      <w:sz w:val="21"/>
                      <w:szCs w:val="21"/>
                      <w:highlight w:val="none"/>
                    </w:rPr>
                    <w:t>处理达标后排放</w:t>
                  </w:r>
                  <w:r>
                    <w:rPr>
                      <w:rFonts w:hint="eastAsia"/>
                      <w:color w:val="auto"/>
                      <w:sz w:val="21"/>
                      <w:szCs w:val="21"/>
                      <w:highlight w:val="none"/>
                      <w:lang w:eastAsia="zh-CN"/>
                    </w:rPr>
                    <w:t>；本项目不属于石化、化工企业</w:t>
                  </w:r>
                  <w:r>
                    <w:rPr>
                      <w:rFonts w:hint="eastAsia"/>
                      <w:color w:val="auto"/>
                      <w:sz w:val="21"/>
                      <w:szCs w:val="21"/>
                      <w:lang w:eastAsia="zh-CN"/>
                    </w:rPr>
                    <w:t>。</w:t>
                  </w:r>
                </w:p>
              </w:tc>
              <w:tc>
                <w:tcPr>
                  <w:tcW w:w="410" w:type="pct"/>
                  <w:tcBorders>
                    <w:tl2br w:val="nil"/>
                    <w:tr2bl w:val="nil"/>
                  </w:tcBorders>
                  <w:shd w:val="clear" w:color="auto" w:fill="auto"/>
                  <w:vAlign w:val="center"/>
                </w:tcPr>
                <w:p>
                  <w:pPr>
                    <w:pStyle w:val="51"/>
                    <w:adjustRightInd w:val="0"/>
                    <w:snapToGrid w:val="0"/>
                    <w:spacing w:after="0" w:line="240" w:lineRule="auto"/>
                    <w:ind w:firstLine="0"/>
                    <w:jc w:val="center"/>
                    <w:rPr>
                      <w:color w:val="auto"/>
                      <w:sz w:val="21"/>
                      <w:szCs w:val="21"/>
                    </w:rPr>
                  </w:pPr>
                  <w:r>
                    <w:rPr>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85" w:type="pct"/>
                  <w:tcBorders>
                    <w:tl2br w:val="nil"/>
                    <w:tr2bl w:val="nil"/>
                  </w:tcBorders>
                  <w:shd w:val="clear" w:color="auto" w:fill="auto"/>
                  <w:vAlign w:val="center"/>
                </w:tcPr>
                <w:p>
                  <w:pPr>
                    <w:pStyle w:val="51"/>
                    <w:adjustRightInd w:val="0"/>
                    <w:snapToGrid w:val="0"/>
                    <w:spacing w:after="0" w:line="240" w:lineRule="auto"/>
                    <w:ind w:firstLine="0"/>
                    <w:jc w:val="center"/>
                    <w:rPr>
                      <w:color w:val="auto"/>
                      <w:sz w:val="21"/>
                      <w:szCs w:val="21"/>
                    </w:rPr>
                  </w:pPr>
                  <w:r>
                    <w:rPr>
                      <w:color w:val="auto"/>
                      <w:sz w:val="21"/>
                      <w:szCs w:val="21"/>
                    </w:rPr>
                    <w:t>持续优化产业结构和布局</w:t>
                  </w:r>
                </w:p>
              </w:tc>
              <w:tc>
                <w:tcPr>
                  <w:tcW w:w="2815" w:type="pct"/>
                  <w:tcBorders>
                    <w:tl2br w:val="nil"/>
                    <w:tr2bl w:val="nil"/>
                  </w:tcBorders>
                  <w:shd w:val="clear" w:color="auto" w:fill="auto"/>
                  <w:vAlign w:val="center"/>
                </w:tcPr>
                <w:p>
                  <w:pPr>
                    <w:pStyle w:val="51"/>
                    <w:adjustRightInd w:val="0"/>
                    <w:snapToGrid w:val="0"/>
                    <w:spacing w:after="0" w:line="240" w:lineRule="auto"/>
                    <w:ind w:firstLine="0"/>
                    <w:jc w:val="both"/>
                    <w:rPr>
                      <w:color w:val="auto"/>
                      <w:sz w:val="21"/>
                      <w:szCs w:val="21"/>
                    </w:rPr>
                  </w:pPr>
                  <w:r>
                    <w:rPr>
                      <w:color w:val="auto"/>
                      <w:sz w:val="21"/>
                      <w:szCs w:val="21"/>
                    </w:rPr>
                    <w:t>坚决遏制高耗能、高排放、低水平项目盲目发展。严格落实国家和本市产业规划、产业政策、“三线一单”、规划环评以及产能置换、煤炭消费减量替代、区域污染物削减等相关要求，严控高耗能、高排放、低水平项目，因地制宜制定“两高”和资源型行业准入标准。适时修订并严格执行产业禁投清单等准入政策，合理控制煤制油气产能规模，未纳入国家有关领域产业规划的新、改、扩建炼油和新建乙烯、对二甲苯、煤制烯烃项目，一律不得建设。新、改、扩建项目所需二氧化硫、氮氧化物、VOCs排放量指标要进行减量替代，PM</w:t>
                  </w:r>
                  <w:r>
                    <w:rPr>
                      <w:color w:val="auto"/>
                      <w:sz w:val="21"/>
                      <w:szCs w:val="21"/>
                      <w:vertAlign w:val="subscript"/>
                    </w:rPr>
                    <w:t>2.5</w:t>
                  </w:r>
                  <w:r>
                    <w:rPr>
                      <w:color w:val="auto"/>
                      <w:sz w:val="21"/>
                      <w:szCs w:val="21"/>
                    </w:rPr>
                    <w:t>或者臭氧未达标区县要加大替代比例。加快推进“两高”和资源型行业依法开展清洁生产审核，推动一批重点企业达到国际清洁生产领先水平，确保新上的“两高”项目达到标杆值水平和污染物排放标准先进值。</w:t>
                  </w:r>
                </w:p>
              </w:tc>
              <w:tc>
                <w:tcPr>
                  <w:tcW w:w="1288" w:type="pct"/>
                  <w:tcBorders>
                    <w:tl2br w:val="nil"/>
                    <w:tr2bl w:val="nil"/>
                  </w:tcBorders>
                  <w:shd w:val="clear" w:color="auto" w:fill="auto"/>
                  <w:vAlign w:val="center"/>
                </w:tcPr>
                <w:p>
                  <w:pPr>
                    <w:pStyle w:val="51"/>
                    <w:adjustRightInd w:val="0"/>
                    <w:snapToGrid w:val="0"/>
                    <w:spacing w:after="0" w:line="240" w:lineRule="auto"/>
                    <w:ind w:firstLine="0"/>
                    <w:jc w:val="both"/>
                    <w:rPr>
                      <w:rFonts w:eastAsia="PMingLiU"/>
                      <w:color w:val="auto"/>
                      <w:sz w:val="21"/>
                      <w:szCs w:val="21"/>
                    </w:rPr>
                  </w:pPr>
                  <w:r>
                    <w:rPr>
                      <w:rFonts w:hint="eastAsia"/>
                      <w:color w:val="auto"/>
                      <w:sz w:val="21"/>
                      <w:szCs w:val="21"/>
                      <w:lang w:eastAsia="zh-CN"/>
                    </w:rPr>
                    <w:t>本项目</w:t>
                  </w:r>
                  <w:r>
                    <w:rPr>
                      <w:color w:val="auto"/>
                      <w:sz w:val="21"/>
                      <w:szCs w:val="21"/>
                    </w:rPr>
                    <w:t>符合</w:t>
                  </w:r>
                  <w:r>
                    <w:rPr>
                      <w:rFonts w:hint="eastAsia"/>
                      <w:color w:val="auto"/>
                      <w:sz w:val="21"/>
                      <w:szCs w:val="21"/>
                      <w:highlight w:val="none"/>
                      <w:lang w:eastAsia="zh-CN"/>
                    </w:rPr>
                    <w:t>铜梁工业</w:t>
                  </w:r>
                  <w:r>
                    <w:rPr>
                      <w:color w:val="auto"/>
                      <w:sz w:val="21"/>
                      <w:szCs w:val="21"/>
                    </w:rPr>
                    <w:t>园区产业定位、园区规划环评及其审查意见；本项目不属于高能耗、高排放、低水平项目，不属于产业禁投清单项目，不属于炼油和乙烯、对二甲苯、煤制烯烃项目。</w:t>
                  </w:r>
                </w:p>
              </w:tc>
              <w:tc>
                <w:tcPr>
                  <w:tcW w:w="410" w:type="pct"/>
                  <w:tcBorders>
                    <w:tl2br w:val="nil"/>
                    <w:tr2bl w:val="nil"/>
                  </w:tcBorders>
                  <w:shd w:val="clear" w:color="auto" w:fill="auto"/>
                  <w:vAlign w:val="center"/>
                </w:tcPr>
                <w:p>
                  <w:pPr>
                    <w:pStyle w:val="51"/>
                    <w:adjustRightInd w:val="0"/>
                    <w:snapToGrid w:val="0"/>
                    <w:spacing w:after="0" w:line="240" w:lineRule="auto"/>
                    <w:ind w:firstLine="0"/>
                    <w:jc w:val="center"/>
                    <w:rPr>
                      <w:color w:val="auto"/>
                      <w:sz w:val="21"/>
                      <w:szCs w:val="21"/>
                    </w:rPr>
                  </w:pPr>
                  <w:r>
                    <w:rPr>
                      <w:color w:val="auto"/>
                      <w:sz w:val="21"/>
                      <w:szCs w:val="21"/>
                    </w:rPr>
                    <w:t>符合</w:t>
                  </w:r>
                </w:p>
              </w:tc>
            </w:tr>
          </w:tbl>
          <w:p>
            <w:pPr>
              <w:spacing w:line="360" w:lineRule="auto"/>
              <w:ind w:firstLine="480" w:firstLineChars="200"/>
              <w:rPr>
                <w:rFonts w:eastAsiaTheme="minorEastAsia"/>
                <w:bCs/>
                <w:color w:val="auto"/>
                <w:kern w:val="0"/>
                <w:sz w:val="24"/>
              </w:rPr>
            </w:pPr>
            <w:r>
              <w:rPr>
                <w:rFonts w:hint="eastAsia" w:eastAsiaTheme="minorEastAsia"/>
                <w:bCs/>
                <w:color w:val="auto"/>
                <w:kern w:val="0"/>
                <w:sz w:val="24"/>
              </w:rPr>
              <w:t>综上分析，项目符合《重庆市大气环境保护“十四五”规划(2021-2025年)》相关要求。</w:t>
            </w:r>
          </w:p>
          <w:p>
            <w:pPr>
              <w:spacing w:line="360" w:lineRule="auto"/>
              <w:rPr>
                <w:rFonts w:eastAsiaTheme="minorEastAsia"/>
                <w:b/>
                <w:color w:val="auto"/>
                <w:spacing w:val="-3"/>
                <w:sz w:val="24"/>
              </w:rPr>
            </w:pPr>
            <w:r>
              <w:rPr>
                <w:rFonts w:hint="eastAsia" w:eastAsiaTheme="minorEastAsia"/>
                <w:b/>
                <w:color w:val="auto"/>
                <w:spacing w:val="-3"/>
                <w:sz w:val="24"/>
              </w:rPr>
              <w:t>5.</w:t>
            </w:r>
            <w:r>
              <w:rPr>
                <w:rFonts w:eastAsiaTheme="minorEastAsia"/>
                <w:b/>
                <w:color w:val="auto"/>
                <w:spacing w:val="-3"/>
                <w:sz w:val="24"/>
              </w:rPr>
              <w:t>与《重庆市生态环境保护“十四五”规划（2021—2025年）》（渝府发〔2022〕11号）符合性分析</w:t>
            </w:r>
          </w:p>
          <w:p>
            <w:pPr>
              <w:ind w:firstLine="482"/>
              <w:jc w:val="center"/>
              <w:rPr>
                <w:rFonts w:eastAsiaTheme="minorEastAsia"/>
                <w:bCs/>
                <w:color w:val="auto"/>
                <w:sz w:val="21"/>
                <w:szCs w:val="21"/>
              </w:rPr>
            </w:pPr>
            <w:r>
              <w:rPr>
                <w:rFonts w:eastAsiaTheme="minorEastAsia"/>
                <w:bCs/>
                <w:color w:val="auto"/>
                <w:sz w:val="21"/>
                <w:szCs w:val="21"/>
              </w:rPr>
              <w:t>表</w:t>
            </w:r>
            <w:r>
              <w:rPr>
                <w:rFonts w:hint="eastAsia" w:eastAsiaTheme="minorEastAsia"/>
                <w:bCs/>
                <w:color w:val="auto"/>
                <w:sz w:val="21"/>
                <w:szCs w:val="21"/>
                <w:lang w:bidi="en-US"/>
              </w:rPr>
              <w:t>1.5</w:t>
            </w:r>
            <w:r>
              <w:rPr>
                <w:rFonts w:eastAsiaTheme="minorEastAsia"/>
                <w:bCs/>
                <w:color w:val="auto"/>
                <w:sz w:val="21"/>
                <w:szCs w:val="21"/>
              </w:rPr>
              <w:t>与重庆市生态环境保护</w:t>
            </w:r>
            <w:r>
              <w:rPr>
                <w:rFonts w:eastAsiaTheme="minorEastAsia"/>
                <w:bCs/>
                <w:color w:val="auto"/>
                <w:sz w:val="21"/>
                <w:szCs w:val="21"/>
                <w:lang w:val="zh-CN" w:bidi="zh-CN"/>
              </w:rPr>
              <w:t>“十</w:t>
            </w:r>
            <w:r>
              <w:rPr>
                <w:rFonts w:eastAsiaTheme="minorEastAsia"/>
                <w:bCs/>
                <w:color w:val="auto"/>
                <w:sz w:val="21"/>
                <w:szCs w:val="21"/>
              </w:rPr>
              <w:t>四五</w:t>
            </w:r>
            <w:r>
              <w:rPr>
                <w:rFonts w:eastAsiaTheme="minorEastAsia"/>
                <w:bCs/>
                <w:color w:val="auto"/>
                <w:sz w:val="21"/>
                <w:szCs w:val="21"/>
                <w:lang w:val="zh-CN" w:bidi="zh-CN"/>
              </w:rPr>
              <w:t>”规划</w:t>
            </w:r>
            <w:r>
              <w:rPr>
                <w:rFonts w:eastAsiaTheme="minorEastAsia"/>
                <w:bCs/>
                <w:color w:val="auto"/>
                <w:sz w:val="21"/>
                <w:szCs w:val="21"/>
              </w:rPr>
              <w:t>符合性</w:t>
            </w:r>
          </w:p>
          <w:tbl>
            <w:tblPr>
              <w:tblStyle w:val="22"/>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 w:type="dxa"/>
                <w:bottom w:w="0" w:type="dxa"/>
                <w:right w:w="10" w:type="dxa"/>
              </w:tblCellMar>
            </w:tblPr>
            <w:tblGrid>
              <w:gridCol w:w="630"/>
              <w:gridCol w:w="4199"/>
              <w:gridCol w:w="2350"/>
              <w:gridCol w:w="61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3098" w:type="pct"/>
                  <w:gridSpan w:val="2"/>
                  <w:tcBorders>
                    <w:tl2br w:val="nil"/>
                    <w:tr2bl w:val="nil"/>
                  </w:tcBorders>
                  <w:shd w:val="clear" w:color="auto" w:fill="auto"/>
                  <w:vAlign w:val="center"/>
                </w:tcPr>
                <w:p>
                  <w:pPr>
                    <w:pStyle w:val="51"/>
                    <w:adjustRightInd w:val="0"/>
                    <w:snapToGrid w:val="0"/>
                    <w:spacing w:after="0" w:line="240" w:lineRule="auto"/>
                    <w:ind w:firstLine="0"/>
                    <w:jc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相关要求</w:t>
                  </w:r>
                </w:p>
              </w:tc>
              <w:tc>
                <w:tcPr>
                  <w:tcW w:w="1508" w:type="pct"/>
                  <w:tcBorders>
                    <w:tl2br w:val="nil"/>
                    <w:tr2bl w:val="nil"/>
                  </w:tcBorders>
                  <w:shd w:val="clear" w:color="auto" w:fill="auto"/>
                  <w:vAlign w:val="center"/>
                </w:tcPr>
                <w:p>
                  <w:pPr>
                    <w:pStyle w:val="51"/>
                    <w:adjustRightInd w:val="0"/>
                    <w:snapToGrid w:val="0"/>
                    <w:spacing w:after="0" w:line="240" w:lineRule="auto"/>
                    <w:ind w:firstLine="0"/>
                    <w:jc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本项目情况</w:t>
                  </w:r>
                </w:p>
              </w:tc>
              <w:tc>
                <w:tcPr>
                  <w:tcW w:w="392" w:type="pct"/>
                  <w:tcBorders>
                    <w:tl2br w:val="nil"/>
                    <w:tr2bl w:val="nil"/>
                  </w:tcBorders>
                  <w:shd w:val="clear" w:color="auto" w:fill="auto"/>
                  <w:vAlign w:val="center"/>
                </w:tcPr>
                <w:p>
                  <w:pPr>
                    <w:pStyle w:val="51"/>
                    <w:adjustRightInd w:val="0"/>
                    <w:snapToGrid w:val="0"/>
                    <w:spacing w:after="0" w:line="240" w:lineRule="auto"/>
                    <w:ind w:firstLine="0"/>
                    <w:jc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符合性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04" w:type="pct"/>
                  <w:vMerge w:val="restart"/>
                  <w:tcBorders>
                    <w:tl2br w:val="nil"/>
                    <w:tr2bl w:val="nil"/>
                  </w:tcBorders>
                  <w:shd w:val="clear" w:color="auto" w:fill="auto"/>
                  <w:vAlign w:val="center"/>
                </w:tcPr>
                <w:p>
                  <w:pPr>
                    <w:pStyle w:val="51"/>
                    <w:adjustRightInd w:val="0"/>
                    <w:snapToGrid w:val="0"/>
                    <w:spacing w:after="0" w:line="240" w:lineRule="auto"/>
                    <w:ind w:firstLine="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改善水环境质量</w:t>
                  </w:r>
                </w:p>
              </w:tc>
              <w:tc>
                <w:tcPr>
                  <w:tcW w:w="2694" w:type="pct"/>
                  <w:tcBorders>
                    <w:tl2br w:val="nil"/>
                    <w:tr2bl w:val="nil"/>
                  </w:tcBorders>
                  <w:shd w:val="clear" w:color="auto" w:fill="auto"/>
                  <w:vAlign w:val="center"/>
                </w:tcPr>
                <w:p>
                  <w:pPr>
                    <w:pStyle w:val="51"/>
                    <w:adjustRightInd w:val="0"/>
                    <w:snapToGrid w:val="0"/>
                    <w:spacing w:after="0" w:line="240" w:lineRule="auto"/>
                    <w:ind w:firstLine="420" w:firstLineChars="20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加强河流水质目标管理。将我市河湖划分为</w:t>
                  </w:r>
                  <w:r>
                    <w:rPr>
                      <w:rFonts w:ascii="Times New Roman" w:hAnsi="Times New Roman" w:cs="Times New Roman" w:eastAsiaTheme="minorEastAsia"/>
                      <w:b/>
                      <w:bCs/>
                      <w:color w:val="auto"/>
                      <w:sz w:val="21"/>
                      <w:szCs w:val="21"/>
                    </w:rPr>
                    <w:t>22</w:t>
                  </w:r>
                  <w:r>
                    <w:rPr>
                      <w:rFonts w:ascii="Times New Roman" w:hAnsi="Times New Roman" w:cs="Times New Roman" w:eastAsiaTheme="minorEastAsia"/>
                      <w:color w:val="auto"/>
                      <w:sz w:val="21"/>
                      <w:szCs w:val="21"/>
                    </w:rPr>
                    <w:t>个管控单元，将流域生态环境保护责任分解落实到各个断面、水体和行政区域，做深做实</w:t>
                  </w:r>
                  <w:r>
                    <w:rPr>
                      <w:rFonts w:ascii="Times New Roman" w:hAnsi="Times New Roman" w:cs="Times New Roman" w:eastAsiaTheme="minorEastAsia"/>
                      <w:color w:val="auto"/>
                      <w:sz w:val="21"/>
                      <w:szCs w:val="21"/>
                      <w:lang w:val="zh-CN" w:eastAsia="zh-CN" w:bidi="zh-CN"/>
                    </w:rPr>
                    <w:t>“一河</w:t>
                  </w:r>
                  <w:r>
                    <w:rPr>
                      <w:rFonts w:ascii="Times New Roman" w:hAnsi="Times New Roman" w:cs="Times New Roman" w:eastAsiaTheme="minorEastAsia"/>
                      <w:color w:val="auto"/>
                      <w:sz w:val="21"/>
                      <w:szCs w:val="21"/>
                    </w:rPr>
                    <w:t>一长</w:t>
                  </w:r>
                  <w:r>
                    <w:rPr>
                      <w:rFonts w:ascii="Times New Roman" w:hAnsi="Times New Roman" w:cs="Times New Roman" w:eastAsiaTheme="minorEastAsia"/>
                      <w:color w:val="auto"/>
                      <w:sz w:val="21"/>
                      <w:szCs w:val="21"/>
                      <w:lang w:val="zh-CN" w:eastAsia="zh-CN" w:bidi="zh-CN"/>
                    </w:rPr>
                    <w:t>”“一</w:t>
                  </w:r>
                  <w:r>
                    <w:rPr>
                      <w:rFonts w:ascii="Times New Roman" w:hAnsi="Times New Roman" w:cs="Times New Roman" w:eastAsiaTheme="minorEastAsia"/>
                      <w:color w:val="auto"/>
                      <w:sz w:val="21"/>
                      <w:szCs w:val="21"/>
                    </w:rPr>
                    <w:t>河一策”</w:t>
                  </w:r>
                  <w:r>
                    <w:rPr>
                      <w:rFonts w:ascii="Times New Roman" w:hAnsi="Times New Roman" w:cs="Times New Roman" w:eastAsiaTheme="minorEastAsia"/>
                      <w:color w:val="auto"/>
                      <w:sz w:val="21"/>
                      <w:szCs w:val="21"/>
                      <w:lang w:val="zh-CN" w:eastAsia="zh-CN" w:bidi="zh-CN"/>
                    </w:rPr>
                    <w:t>“一</w:t>
                  </w:r>
                  <w:r>
                    <w:rPr>
                      <w:rFonts w:ascii="Times New Roman" w:hAnsi="Times New Roman" w:cs="Times New Roman" w:eastAsiaTheme="minorEastAsia"/>
                      <w:color w:val="auto"/>
                      <w:sz w:val="21"/>
                      <w:szCs w:val="21"/>
                    </w:rPr>
                    <w:t>河一档”。将包含重要饮用水水源、具有重要生态功能以及水质达标压力较大的断面、水体列为优先控制对象，综合运用水资源调度、水生态保护、水环境治理等措施提高水环境质量。现状水质良好的断面、水体要防止发生退化，现状水质不达标的断面、水体要逐一制定达标方案，实施精准治理。开展流域水环境治理试点示范。保持长江干流重庆段水质总体优良。</w:t>
                  </w:r>
                </w:p>
              </w:tc>
              <w:tc>
                <w:tcPr>
                  <w:tcW w:w="1508" w:type="pct"/>
                  <w:tcBorders>
                    <w:tl2br w:val="nil"/>
                    <w:tr2bl w:val="nil"/>
                  </w:tcBorders>
                  <w:shd w:val="clear" w:color="auto" w:fill="auto"/>
                  <w:vAlign w:val="center"/>
                </w:tcPr>
                <w:p>
                  <w:pPr>
                    <w:pStyle w:val="51"/>
                    <w:adjustRightInd w:val="0"/>
                    <w:snapToGrid w:val="0"/>
                    <w:spacing w:after="0" w:line="240" w:lineRule="auto"/>
                    <w:ind w:firstLine="420" w:firstLineChars="20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本项目</w:t>
                  </w:r>
                  <w:r>
                    <w:rPr>
                      <w:rFonts w:ascii="Times New Roman" w:hAnsi="Times New Roman" w:cs="Times New Roman" w:eastAsiaTheme="minorEastAsia"/>
                      <w:color w:val="auto"/>
                      <w:sz w:val="21"/>
                      <w:szCs w:val="21"/>
                      <w:lang w:eastAsia="zh-CN"/>
                    </w:rPr>
                    <w:t>位于</w:t>
                  </w:r>
                  <w:r>
                    <w:rPr>
                      <w:rFonts w:hint="eastAsia" w:ascii="Times New Roman" w:hAnsi="Times New Roman" w:cs="Times New Roman" w:eastAsiaTheme="minorEastAsia"/>
                      <w:color w:val="auto"/>
                      <w:sz w:val="21"/>
                      <w:szCs w:val="21"/>
                      <w:lang w:eastAsia="zh-CN"/>
                    </w:rPr>
                    <w:t>铜梁工业园区</w:t>
                  </w:r>
                  <w:r>
                    <w:rPr>
                      <w:rFonts w:ascii="Times New Roman" w:hAnsi="Times New Roman" w:cs="Times New Roman"/>
                      <w:color w:val="auto"/>
                      <w:sz w:val="21"/>
                      <w:szCs w:val="21"/>
                      <w:lang w:eastAsia="zh-CN"/>
                    </w:rPr>
                    <w:t>，</w:t>
                  </w:r>
                  <w:r>
                    <w:rPr>
                      <w:rFonts w:ascii="Times New Roman" w:hAnsi="Times New Roman" w:cs="Times New Roman" w:eastAsiaTheme="minorEastAsia"/>
                      <w:color w:val="auto"/>
                      <w:sz w:val="21"/>
                      <w:szCs w:val="21"/>
                    </w:rPr>
                    <w:t>市政管网和污水处理设施已完善；本项</w:t>
                  </w:r>
                  <w:r>
                    <w:rPr>
                      <w:rFonts w:hint="eastAsia" w:ascii="Times New Roman" w:hAnsi="Times New Roman" w:cs="Times New Roman" w:eastAsiaTheme="minorEastAsia"/>
                      <w:color w:val="auto"/>
                      <w:sz w:val="21"/>
                      <w:szCs w:val="21"/>
                      <w:lang w:eastAsia="zh-CN"/>
                    </w:rPr>
                    <w:t>废水排放量少</w:t>
                  </w:r>
                  <w:r>
                    <w:rPr>
                      <w:rFonts w:ascii="Times New Roman" w:hAnsi="Times New Roman" w:cs="Times New Roman" w:eastAsiaTheme="minorEastAsia"/>
                      <w:color w:val="auto"/>
                      <w:sz w:val="21"/>
                      <w:szCs w:val="21"/>
                      <w:lang w:val="en-US" w:eastAsia="zh-CN" w:bidi="en-US"/>
                    </w:rPr>
                    <w:t>，</w:t>
                  </w:r>
                  <w:r>
                    <w:rPr>
                      <w:rFonts w:hint="eastAsia" w:ascii="Times New Roman" w:hAnsi="Times New Roman" w:cs="Times New Roman" w:eastAsiaTheme="minorEastAsia"/>
                      <w:color w:val="auto"/>
                      <w:sz w:val="21"/>
                      <w:szCs w:val="21"/>
                      <w:lang w:eastAsia="zh-CN"/>
                    </w:rPr>
                    <w:t>废水经处理后</w:t>
                  </w:r>
                  <w:r>
                    <w:rPr>
                      <w:rFonts w:ascii="Times New Roman" w:hAnsi="Times New Roman" w:cs="Times New Roman" w:eastAsiaTheme="minorEastAsia"/>
                      <w:color w:val="auto"/>
                      <w:sz w:val="21"/>
                      <w:szCs w:val="21"/>
                    </w:rPr>
                    <w:t>进入</w:t>
                  </w:r>
                  <w:r>
                    <w:rPr>
                      <w:rFonts w:hint="eastAsia" w:ascii="Times New Roman" w:hAnsi="Times New Roman" w:cs="Times New Roman" w:eastAsiaTheme="minorEastAsia"/>
                      <w:color w:val="auto"/>
                      <w:sz w:val="21"/>
                      <w:szCs w:val="21"/>
                      <w:lang w:eastAsia="zh-CN"/>
                    </w:rPr>
                    <w:t>东城</w:t>
                  </w:r>
                  <w:r>
                    <w:rPr>
                      <w:rFonts w:ascii="Times New Roman" w:hAnsi="Times New Roman" w:cs="Times New Roman" w:eastAsiaTheme="minorEastAsia"/>
                      <w:color w:val="auto"/>
                      <w:sz w:val="21"/>
                      <w:szCs w:val="21"/>
                    </w:rPr>
                    <w:t>污水处理厂处理达标后排入</w:t>
                  </w:r>
                  <w:r>
                    <w:rPr>
                      <w:rFonts w:hint="eastAsia" w:ascii="Times New Roman" w:hAnsi="Times New Roman" w:cs="Times New Roman" w:eastAsiaTheme="minorEastAsia"/>
                      <w:color w:val="auto"/>
                      <w:sz w:val="21"/>
                      <w:szCs w:val="21"/>
                      <w:lang w:eastAsia="zh-CN"/>
                    </w:rPr>
                    <w:t>淮远河，</w:t>
                  </w:r>
                  <w:r>
                    <w:rPr>
                      <w:rFonts w:ascii="Times New Roman" w:hAnsi="Times New Roman" w:cs="Times New Roman" w:eastAsiaTheme="minorEastAsia"/>
                      <w:color w:val="auto"/>
                      <w:sz w:val="21"/>
                      <w:szCs w:val="21"/>
                    </w:rPr>
                    <w:t>对</w:t>
                  </w:r>
                  <w:r>
                    <w:rPr>
                      <w:rFonts w:hint="eastAsia" w:ascii="Times New Roman" w:hAnsi="Times New Roman" w:cs="Times New Roman" w:eastAsiaTheme="minorEastAsia"/>
                      <w:color w:val="auto"/>
                      <w:sz w:val="21"/>
                      <w:szCs w:val="21"/>
                      <w:lang w:eastAsia="zh-CN"/>
                    </w:rPr>
                    <w:t>淮远河</w:t>
                  </w:r>
                  <w:r>
                    <w:rPr>
                      <w:rFonts w:ascii="Times New Roman" w:hAnsi="Times New Roman" w:cs="Times New Roman" w:eastAsiaTheme="minorEastAsia"/>
                      <w:color w:val="auto"/>
                      <w:sz w:val="21"/>
                      <w:szCs w:val="21"/>
                    </w:rPr>
                    <w:t>水质影响小。</w:t>
                  </w:r>
                </w:p>
              </w:tc>
              <w:tc>
                <w:tcPr>
                  <w:tcW w:w="392" w:type="pct"/>
                  <w:tcBorders>
                    <w:tl2br w:val="nil"/>
                    <w:tr2bl w:val="nil"/>
                  </w:tcBorders>
                  <w:shd w:val="clear" w:color="auto" w:fill="auto"/>
                  <w:vAlign w:val="center"/>
                </w:tcPr>
                <w:p>
                  <w:pPr>
                    <w:pStyle w:val="51"/>
                    <w:adjustRightInd w:val="0"/>
                    <w:snapToGrid w:val="0"/>
                    <w:spacing w:after="0" w:line="240" w:lineRule="auto"/>
                    <w:ind w:firstLine="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04" w:type="pct"/>
                  <w:vMerge w:val="continue"/>
                  <w:tcBorders>
                    <w:tl2br w:val="nil"/>
                    <w:tr2bl w:val="nil"/>
                  </w:tcBorders>
                  <w:shd w:val="clear" w:color="auto" w:fill="auto"/>
                  <w:vAlign w:val="center"/>
                </w:tcPr>
                <w:p>
                  <w:pPr>
                    <w:pStyle w:val="51"/>
                    <w:adjustRightInd w:val="0"/>
                    <w:snapToGrid w:val="0"/>
                    <w:spacing w:after="0" w:line="240" w:lineRule="auto"/>
                    <w:jc w:val="center"/>
                    <w:rPr>
                      <w:rFonts w:ascii="Times New Roman" w:hAnsi="Times New Roman" w:cs="Times New Roman" w:eastAsiaTheme="minorEastAsia"/>
                      <w:color w:val="auto"/>
                      <w:sz w:val="21"/>
                      <w:szCs w:val="21"/>
                    </w:rPr>
                  </w:pPr>
                </w:p>
              </w:tc>
              <w:tc>
                <w:tcPr>
                  <w:tcW w:w="2694" w:type="pct"/>
                  <w:tcBorders>
                    <w:tl2br w:val="nil"/>
                    <w:tr2bl w:val="nil"/>
                  </w:tcBorders>
                  <w:shd w:val="clear" w:color="auto" w:fill="auto"/>
                  <w:vAlign w:val="center"/>
                </w:tcPr>
                <w:p>
                  <w:pPr>
                    <w:pStyle w:val="51"/>
                    <w:adjustRightInd w:val="0"/>
                    <w:snapToGrid w:val="0"/>
                    <w:spacing w:after="0" w:line="240" w:lineRule="auto"/>
                    <w:ind w:firstLine="420" w:firstLineChars="20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加强重点水环境综合治理。推进生活污水集中处理设施新、改、扩建，补齐城镇污水收集管网短板，实施错接、漏接、老旧破损管网的更新修复，对进水生化需氧量浓度低于100mg/L的污水厂实施“一厂一策”改造。</w:t>
                  </w:r>
                </w:p>
              </w:tc>
              <w:tc>
                <w:tcPr>
                  <w:tcW w:w="1508" w:type="pct"/>
                  <w:tcBorders>
                    <w:tl2br w:val="nil"/>
                    <w:tr2bl w:val="nil"/>
                  </w:tcBorders>
                  <w:shd w:val="clear" w:color="auto" w:fill="auto"/>
                  <w:vAlign w:val="center"/>
                </w:tcPr>
                <w:p>
                  <w:pPr>
                    <w:pStyle w:val="51"/>
                    <w:adjustRightInd w:val="0"/>
                    <w:snapToGrid w:val="0"/>
                    <w:spacing w:after="0" w:line="240" w:lineRule="auto"/>
                    <w:ind w:firstLine="420" w:firstLineChars="200"/>
                    <w:jc w:val="both"/>
                    <w:rPr>
                      <w:rFonts w:ascii="Times New Roman" w:hAnsi="Times New Roman" w:cs="Times New Roman" w:eastAsiaTheme="minorEastAsia"/>
                      <w:color w:val="auto"/>
                      <w:sz w:val="21"/>
                      <w:szCs w:val="21"/>
                      <w:lang w:eastAsia="zh-CN"/>
                    </w:rPr>
                  </w:pPr>
                  <w:r>
                    <w:rPr>
                      <w:rFonts w:ascii="Times New Roman" w:hAnsi="Times New Roman" w:cs="Times New Roman" w:eastAsiaTheme="minorEastAsia"/>
                      <w:color w:val="auto"/>
                      <w:sz w:val="21"/>
                      <w:szCs w:val="21"/>
                    </w:rPr>
                    <w:t>本项目所在园区市政管网和污水处理设施已完善</w:t>
                  </w:r>
                  <w:r>
                    <w:rPr>
                      <w:rFonts w:hint="eastAsia" w:ascii="Times New Roman" w:hAnsi="Times New Roman" w:cs="Times New Roman" w:eastAsiaTheme="minorEastAsia"/>
                      <w:color w:val="auto"/>
                      <w:sz w:val="21"/>
                      <w:szCs w:val="21"/>
                      <w:lang w:eastAsia="zh-CN"/>
                    </w:rPr>
                    <w:t>，废水可进入东城污水处理厂</w:t>
                  </w:r>
                  <w:r>
                    <w:rPr>
                      <w:rFonts w:ascii="Times New Roman" w:hAnsi="Times New Roman" w:cs="Times New Roman" w:eastAsiaTheme="minorEastAsia"/>
                      <w:color w:val="auto"/>
                      <w:sz w:val="21"/>
                      <w:szCs w:val="21"/>
                    </w:rPr>
                    <w:t>；本项目</w:t>
                  </w:r>
                  <w:r>
                    <w:rPr>
                      <w:rFonts w:hint="eastAsia" w:ascii="Times New Roman" w:hAnsi="Times New Roman" w:cs="Times New Roman" w:eastAsiaTheme="minorEastAsia"/>
                      <w:color w:val="auto"/>
                      <w:sz w:val="21"/>
                      <w:szCs w:val="21"/>
                      <w:lang w:eastAsia="zh-CN"/>
                    </w:rPr>
                    <w:t>不涉及污水处理厂的改造</w:t>
                  </w:r>
                </w:p>
              </w:tc>
              <w:tc>
                <w:tcPr>
                  <w:tcW w:w="392" w:type="pct"/>
                  <w:tcBorders>
                    <w:tl2br w:val="nil"/>
                    <w:tr2bl w:val="nil"/>
                  </w:tcBorders>
                  <w:shd w:val="clear" w:color="auto" w:fill="auto"/>
                  <w:vAlign w:val="center"/>
                </w:tcPr>
                <w:p>
                  <w:pPr>
                    <w:pStyle w:val="51"/>
                    <w:adjustRightInd w:val="0"/>
                    <w:snapToGrid w:val="0"/>
                    <w:spacing w:after="0" w:line="240" w:lineRule="auto"/>
                    <w:ind w:firstLine="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04" w:type="pct"/>
                  <w:vMerge w:val="continue"/>
                  <w:tcBorders>
                    <w:tl2br w:val="nil"/>
                    <w:tr2bl w:val="nil"/>
                  </w:tcBorders>
                  <w:shd w:val="clear" w:color="auto" w:fill="auto"/>
                  <w:vAlign w:val="center"/>
                </w:tcPr>
                <w:p>
                  <w:pPr>
                    <w:pStyle w:val="51"/>
                    <w:adjustRightInd w:val="0"/>
                    <w:snapToGrid w:val="0"/>
                    <w:spacing w:after="0" w:line="240" w:lineRule="auto"/>
                    <w:jc w:val="center"/>
                    <w:rPr>
                      <w:rFonts w:ascii="Times New Roman" w:hAnsi="Times New Roman" w:cs="Times New Roman" w:eastAsiaTheme="minorEastAsia"/>
                      <w:color w:val="auto"/>
                      <w:sz w:val="21"/>
                      <w:szCs w:val="21"/>
                    </w:rPr>
                  </w:pPr>
                </w:p>
              </w:tc>
              <w:tc>
                <w:tcPr>
                  <w:tcW w:w="2694" w:type="pct"/>
                  <w:tcBorders>
                    <w:tl2br w:val="nil"/>
                    <w:tr2bl w:val="nil"/>
                  </w:tcBorders>
                  <w:shd w:val="clear" w:color="auto" w:fill="auto"/>
                  <w:vAlign w:val="center"/>
                </w:tcPr>
                <w:p>
                  <w:pPr>
                    <w:pStyle w:val="51"/>
                    <w:adjustRightInd w:val="0"/>
                    <w:snapToGrid w:val="0"/>
                    <w:spacing w:after="0" w:line="240" w:lineRule="auto"/>
                    <w:ind w:firstLine="420" w:firstLineChars="20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修复水生态扩大水环境容量。强化水资源开发利用控制、用水效率控制、水功能区限制纳污“三条红线”，实施最严格的水资源管理制度，节约利用水资源。</w:t>
                  </w:r>
                </w:p>
              </w:tc>
              <w:tc>
                <w:tcPr>
                  <w:tcW w:w="1508" w:type="pct"/>
                  <w:tcBorders>
                    <w:tl2br w:val="nil"/>
                    <w:tr2bl w:val="nil"/>
                  </w:tcBorders>
                  <w:shd w:val="clear" w:color="auto" w:fill="auto"/>
                  <w:vAlign w:val="center"/>
                </w:tcPr>
                <w:p>
                  <w:pPr>
                    <w:pStyle w:val="51"/>
                    <w:adjustRightInd w:val="0"/>
                    <w:snapToGrid w:val="0"/>
                    <w:spacing w:after="0" w:line="240" w:lineRule="auto"/>
                    <w:ind w:firstLine="420" w:firstLineChars="20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本项目用水量少，做到节约用水。</w:t>
                  </w:r>
                </w:p>
              </w:tc>
              <w:tc>
                <w:tcPr>
                  <w:tcW w:w="392" w:type="pct"/>
                  <w:tcBorders>
                    <w:tl2br w:val="nil"/>
                    <w:tr2bl w:val="nil"/>
                  </w:tcBorders>
                  <w:shd w:val="clear" w:color="auto" w:fill="auto"/>
                  <w:vAlign w:val="center"/>
                </w:tcPr>
                <w:p>
                  <w:pPr>
                    <w:pStyle w:val="51"/>
                    <w:adjustRightInd w:val="0"/>
                    <w:snapToGrid w:val="0"/>
                    <w:spacing w:after="0" w:line="240" w:lineRule="auto"/>
                    <w:ind w:firstLine="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04" w:type="pct"/>
                  <w:vMerge w:val="continue"/>
                  <w:tcBorders>
                    <w:tl2br w:val="nil"/>
                    <w:tr2bl w:val="nil"/>
                  </w:tcBorders>
                  <w:shd w:val="clear" w:color="auto" w:fill="auto"/>
                  <w:vAlign w:val="center"/>
                </w:tcPr>
                <w:p>
                  <w:pPr>
                    <w:pStyle w:val="51"/>
                    <w:adjustRightInd w:val="0"/>
                    <w:snapToGrid w:val="0"/>
                    <w:spacing w:after="0" w:line="240" w:lineRule="auto"/>
                    <w:jc w:val="center"/>
                    <w:rPr>
                      <w:rFonts w:ascii="Times New Roman" w:hAnsi="Times New Roman" w:cs="Times New Roman" w:eastAsiaTheme="minorEastAsia"/>
                      <w:color w:val="auto"/>
                      <w:sz w:val="21"/>
                      <w:szCs w:val="21"/>
                    </w:rPr>
                  </w:pPr>
                </w:p>
              </w:tc>
              <w:tc>
                <w:tcPr>
                  <w:tcW w:w="2694" w:type="pct"/>
                  <w:tcBorders>
                    <w:tl2br w:val="nil"/>
                    <w:tr2bl w:val="nil"/>
                  </w:tcBorders>
                  <w:shd w:val="clear" w:color="auto" w:fill="auto"/>
                  <w:vAlign w:val="center"/>
                </w:tcPr>
                <w:p>
                  <w:pPr>
                    <w:pStyle w:val="51"/>
                    <w:adjustRightInd w:val="0"/>
                    <w:snapToGrid w:val="0"/>
                    <w:spacing w:after="0" w:line="240" w:lineRule="auto"/>
                    <w:ind w:firstLine="420" w:firstLineChars="20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严格保护饮用水水源地水质安全。加强城市集中式饮用水水源地信息化建设，进一步加大水源地保护区环境管理，保持水质100%达标。</w:t>
                  </w:r>
                </w:p>
              </w:tc>
              <w:tc>
                <w:tcPr>
                  <w:tcW w:w="1508" w:type="pct"/>
                  <w:tcBorders>
                    <w:tl2br w:val="nil"/>
                    <w:tr2bl w:val="nil"/>
                  </w:tcBorders>
                  <w:shd w:val="clear" w:color="auto" w:fill="auto"/>
                  <w:vAlign w:val="center"/>
                </w:tcPr>
                <w:p>
                  <w:pPr>
                    <w:pStyle w:val="51"/>
                    <w:adjustRightInd w:val="0"/>
                    <w:snapToGrid w:val="0"/>
                    <w:spacing w:after="0" w:line="240" w:lineRule="auto"/>
                    <w:ind w:firstLine="420" w:firstLineChars="20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本项目位于</w:t>
                  </w:r>
                  <w:r>
                    <w:rPr>
                      <w:rFonts w:hint="eastAsia" w:ascii="Times New Roman" w:hAnsi="Times New Roman" w:cs="Times New Roman" w:eastAsiaTheme="minorEastAsia"/>
                      <w:color w:val="auto"/>
                      <w:sz w:val="21"/>
                      <w:szCs w:val="21"/>
                      <w:lang w:eastAsia="zh-CN"/>
                    </w:rPr>
                    <w:t>铜梁区东城街道</w:t>
                  </w:r>
                  <w:r>
                    <w:rPr>
                      <w:rFonts w:ascii="Times New Roman" w:hAnsi="Times New Roman" w:cs="Times New Roman" w:eastAsiaTheme="minorEastAsia"/>
                      <w:color w:val="auto"/>
                      <w:sz w:val="21"/>
                      <w:szCs w:val="21"/>
                    </w:rPr>
                    <w:t>，不涉及饮用水源地。</w:t>
                  </w:r>
                </w:p>
              </w:tc>
              <w:tc>
                <w:tcPr>
                  <w:tcW w:w="392" w:type="pct"/>
                  <w:tcBorders>
                    <w:tl2br w:val="nil"/>
                    <w:tr2bl w:val="nil"/>
                  </w:tcBorders>
                  <w:shd w:val="clear" w:color="auto" w:fill="auto"/>
                  <w:vAlign w:val="center"/>
                </w:tcPr>
                <w:p>
                  <w:pPr>
                    <w:pStyle w:val="51"/>
                    <w:adjustRightInd w:val="0"/>
                    <w:snapToGrid w:val="0"/>
                    <w:spacing w:after="0" w:line="240" w:lineRule="auto"/>
                    <w:ind w:firstLine="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04" w:type="pct"/>
                  <w:vMerge w:val="restart"/>
                  <w:tcBorders>
                    <w:tl2br w:val="nil"/>
                    <w:tr2bl w:val="nil"/>
                  </w:tcBorders>
                  <w:shd w:val="clear" w:color="auto" w:fill="auto"/>
                  <w:vAlign w:val="center"/>
                </w:tcPr>
                <w:p>
                  <w:pPr>
                    <w:pStyle w:val="51"/>
                    <w:adjustRightInd w:val="0"/>
                    <w:snapToGrid w:val="0"/>
                    <w:spacing w:after="0" w:line="240" w:lineRule="auto"/>
                    <w:ind w:firstLine="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提升大气环境质量</w:t>
                  </w:r>
                </w:p>
              </w:tc>
              <w:tc>
                <w:tcPr>
                  <w:tcW w:w="2694" w:type="pct"/>
                  <w:tcBorders>
                    <w:tl2br w:val="nil"/>
                    <w:tr2bl w:val="nil"/>
                  </w:tcBorders>
                  <w:shd w:val="clear" w:color="auto" w:fill="auto"/>
                  <w:vAlign w:val="center"/>
                </w:tcPr>
                <w:p>
                  <w:pPr>
                    <w:pStyle w:val="51"/>
                    <w:adjustRightInd w:val="0"/>
                    <w:snapToGrid w:val="0"/>
                    <w:spacing w:after="0" w:line="240" w:lineRule="auto"/>
                    <w:ind w:firstLine="420" w:firstLineChars="20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以挥发性有机物治理和工业炉窑整治为重点深化工业废气污染控制。完成钢铁行业大气污染物超低排放改造。推进实施水泥行业产能等量或减量替代，推动工业炉窑深度治理和升级改造、垃圾焚烧发电厂氮氧化物深度治理。加大化工园区及制药、造纸、化工、燃煤锅炉等集中整治力度。加强火电、水泥、砖瓦、陶瓷、建材加工等行业废气无组织排放监管。严格落实VOCs（挥发性有机物）含量限值标准，大力推进低（无）VOCs原辅材料替代，将生产和使用高VOCs含量产品的企业列入强制性清洁生产审核名单。以工业涂装、包装印刷、家具制造、电子、石化、化工、油品储运销等行业为重点，强化VOCs无组织排放管控。推动适时把挥发性有机物纳入环境保护税征收范围。</w:t>
                  </w:r>
                </w:p>
              </w:tc>
              <w:tc>
                <w:tcPr>
                  <w:tcW w:w="1508" w:type="pct"/>
                  <w:tcBorders>
                    <w:tl2br w:val="nil"/>
                    <w:tr2bl w:val="nil"/>
                  </w:tcBorders>
                  <w:shd w:val="clear" w:color="auto" w:fill="auto"/>
                  <w:vAlign w:val="center"/>
                </w:tcPr>
                <w:p>
                  <w:pPr>
                    <w:pStyle w:val="51"/>
                    <w:adjustRightInd w:val="0"/>
                    <w:snapToGrid w:val="0"/>
                    <w:spacing w:after="0" w:line="240" w:lineRule="auto"/>
                    <w:ind w:firstLine="420" w:firstLineChars="200"/>
                    <w:jc w:val="both"/>
                    <w:rPr>
                      <w:rFonts w:ascii="Times New Roman" w:hAnsi="Times New Roman" w:cs="Times New Roman" w:eastAsiaTheme="minorEastAsia"/>
                      <w:color w:val="auto"/>
                      <w:sz w:val="21"/>
                      <w:szCs w:val="21"/>
                      <w:lang w:eastAsia="zh-CN"/>
                    </w:rPr>
                  </w:pPr>
                  <w:r>
                    <w:rPr>
                      <w:rFonts w:ascii="Times New Roman" w:hAnsi="Times New Roman" w:cs="Times New Roman" w:eastAsiaTheme="minorEastAsia"/>
                      <w:color w:val="auto"/>
                      <w:sz w:val="21"/>
                      <w:szCs w:val="21"/>
                    </w:rPr>
                    <w:t>本项目不涉及制药、造纸、化工、燃煤锅炉，不属于钢铁、火电、水泥、砖瓦、陶瓷、建材加工等行业。项目产生的</w:t>
                  </w:r>
                  <w:r>
                    <w:rPr>
                      <w:rFonts w:hint="eastAsia" w:ascii="Times New Roman" w:hAnsi="Times New Roman" w:cs="Times New Roman" w:eastAsiaTheme="minorEastAsia"/>
                      <w:color w:val="auto"/>
                      <w:sz w:val="21"/>
                      <w:szCs w:val="21"/>
                      <w:lang w:eastAsia="zh-CN"/>
                    </w:rPr>
                    <w:t>挥发性有机物</w:t>
                  </w:r>
                  <w:r>
                    <w:rPr>
                      <w:rFonts w:ascii="Times New Roman" w:hAnsi="Times New Roman" w:cs="Times New Roman" w:eastAsiaTheme="minorEastAsia"/>
                      <w:color w:val="auto"/>
                      <w:sz w:val="21"/>
                      <w:szCs w:val="21"/>
                    </w:rPr>
                    <w:t>采用</w:t>
                  </w:r>
                  <w:r>
                    <w:rPr>
                      <w:rFonts w:ascii="Times New Roman" w:hAnsi="Times New Roman" w:cs="Times New Roman" w:eastAsiaTheme="minorEastAsia"/>
                      <w:color w:val="auto"/>
                      <w:sz w:val="21"/>
                      <w:szCs w:val="21"/>
                      <w:lang w:val="en-US"/>
                    </w:rPr>
                    <w:t>活性炭吸附</w:t>
                  </w:r>
                  <w:r>
                    <w:rPr>
                      <w:rFonts w:ascii="Times New Roman" w:hAnsi="Times New Roman" w:cs="Times New Roman" w:eastAsiaTheme="minorEastAsia"/>
                      <w:color w:val="auto"/>
                      <w:sz w:val="21"/>
                      <w:szCs w:val="21"/>
                      <w:lang w:eastAsia="zh-CN"/>
                    </w:rPr>
                    <w:t>处理，项目</w:t>
                  </w:r>
                  <w:r>
                    <w:rPr>
                      <w:rFonts w:hint="eastAsia" w:ascii="Times New Roman" w:hAnsi="Times New Roman" w:cs="Times New Roman" w:eastAsiaTheme="minorEastAsia"/>
                      <w:color w:val="auto"/>
                      <w:sz w:val="21"/>
                      <w:szCs w:val="21"/>
                      <w:lang w:eastAsia="zh-CN"/>
                    </w:rPr>
                    <w:t>采用胶粘剂为水性胶粘剂，</w:t>
                  </w:r>
                  <w:r>
                    <w:rPr>
                      <w:rFonts w:ascii="Times New Roman" w:hAnsi="Times New Roman" w:cs="Times New Roman" w:eastAsiaTheme="minorEastAsia"/>
                      <w:color w:val="auto"/>
                      <w:sz w:val="21"/>
                      <w:szCs w:val="21"/>
                      <w:lang w:eastAsia="zh-CN"/>
                    </w:rPr>
                    <w:t>属于</w:t>
                  </w:r>
                  <w:r>
                    <w:rPr>
                      <w:rFonts w:ascii="Times New Roman" w:hAnsi="Times New Roman" w:cs="Times New Roman" w:eastAsiaTheme="minorEastAsia"/>
                      <w:color w:val="auto"/>
                      <w:sz w:val="21"/>
                      <w:szCs w:val="21"/>
                    </w:rPr>
                    <w:t>VOCs</w:t>
                  </w:r>
                  <w:r>
                    <w:rPr>
                      <w:rFonts w:ascii="Times New Roman" w:hAnsi="Times New Roman" w:cs="Times New Roman" w:eastAsiaTheme="minorEastAsia"/>
                      <w:color w:val="auto"/>
                      <w:sz w:val="21"/>
                      <w:szCs w:val="21"/>
                      <w:lang w:eastAsia="zh-CN"/>
                    </w:rPr>
                    <w:t>低</w:t>
                  </w:r>
                  <w:r>
                    <w:rPr>
                      <w:rFonts w:ascii="Times New Roman" w:hAnsi="Times New Roman" w:cs="Times New Roman" w:eastAsiaTheme="minorEastAsia"/>
                      <w:color w:val="auto"/>
                      <w:sz w:val="21"/>
                      <w:szCs w:val="21"/>
                    </w:rPr>
                    <w:t>原辅材料</w:t>
                  </w:r>
                  <w:r>
                    <w:rPr>
                      <w:rFonts w:ascii="Times New Roman" w:hAnsi="Times New Roman" w:cs="Times New Roman" w:eastAsiaTheme="minorEastAsia"/>
                      <w:color w:val="auto"/>
                      <w:sz w:val="21"/>
                      <w:szCs w:val="21"/>
                      <w:lang w:eastAsia="zh-CN"/>
                    </w:rPr>
                    <w:t>。</w:t>
                  </w:r>
                  <w:r>
                    <w:rPr>
                      <w:rFonts w:ascii="Times New Roman" w:hAnsi="Times New Roman" w:cs="Times New Roman" w:eastAsiaTheme="minorEastAsia"/>
                      <w:color w:val="auto"/>
                      <w:sz w:val="21"/>
                      <w:szCs w:val="21"/>
                    </w:rPr>
                    <w:t>废气采取集中收集处理后有组织排放</w:t>
                  </w:r>
                  <w:r>
                    <w:rPr>
                      <w:rFonts w:ascii="Times New Roman" w:hAnsi="Times New Roman" w:cs="Times New Roman" w:eastAsiaTheme="minorEastAsia"/>
                      <w:color w:val="auto"/>
                      <w:sz w:val="21"/>
                      <w:szCs w:val="21"/>
                      <w:lang w:eastAsia="zh-CN"/>
                    </w:rPr>
                    <w:t>。</w:t>
                  </w:r>
                </w:p>
              </w:tc>
              <w:tc>
                <w:tcPr>
                  <w:tcW w:w="392" w:type="pct"/>
                  <w:tcBorders>
                    <w:tl2br w:val="nil"/>
                    <w:tr2bl w:val="nil"/>
                  </w:tcBorders>
                  <w:shd w:val="clear" w:color="auto" w:fill="auto"/>
                  <w:vAlign w:val="center"/>
                </w:tcPr>
                <w:p>
                  <w:pPr>
                    <w:pStyle w:val="51"/>
                    <w:adjustRightInd w:val="0"/>
                    <w:snapToGrid w:val="0"/>
                    <w:spacing w:after="0" w:line="240" w:lineRule="auto"/>
                    <w:ind w:firstLine="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04" w:type="pct"/>
                  <w:vMerge w:val="continue"/>
                  <w:tcBorders>
                    <w:tl2br w:val="nil"/>
                    <w:tr2bl w:val="nil"/>
                  </w:tcBorders>
                  <w:shd w:val="clear" w:color="auto" w:fill="auto"/>
                  <w:vAlign w:val="center"/>
                </w:tcPr>
                <w:p>
                  <w:pPr>
                    <w:pStyle w:val="51"/>
                    <w:adjustRightInd w:val="0"/>
                    <w:snapToGrid w:val="0"/>
                    <w:spacing w:after="0" w:line="240" w:lineRule="auto"/>
                    <w:jc w:val="center"/>
                    <w:rPr>
                      <w:rFonts w:ascii="Times New Roman" w:hAnsi="Times New Roman" w:cs="Times New Roman" w:eastAsiaTheme="minorEastAsia"/>
                      <w:color w:val="auto"/>
                      <w:sz w:val="21"/>
                      <w:szCs w:val="21"/>
                    </w:rPr>
                  </w:pPr>
                </w:p>
              </w:tc>
              <w:tc>
                <w:tcPr>
                  <w:tcW w:w="2694" w:type="pct"/>
                  <w:tcBorders>
                    <w:tl2br w:val="nil"/>
                    <w:tr2bl w:val="nil"/>
                  </w:tcBorders>
                  <w:shd w:val="clear" w:color="auto" w:fill="auto"/>
                  <w:vAlign w:val="center"/>
                </w:tcPr>
                <w:p>
                  <w:pPr>
                    <w:pStyle w:val="51"/>
                    <w:adjustRightInd w:val="0"/>
                    <w:snapToGrid w:val="0"/>
                    <w:spacing w:after="0" w:line="240" w:lineRule="auto"/>
                    <w:ind w:firstLine="420" w:firstLineChars="200"/>
                    <w:jc w:val="both"/>
                    <w:rPr>
                      <w:rFonts w:ascii="Times New Roman" w:hAnsi="Times New Roman" w:cs="Times New Roman" w:eastAsiaTheme="minorEastAsia"/>
                      <w:color w:val="auto"/>
                      <w:sz w:val="21"/>
                      <w:szCs w:val="21"/>
                      <w:lang w:eastAsia="zh-CN"/>
                    </w:rPr>
                  </w:pPr>
                  <w:r>
                    <w:rPr>
                      <w:rFonts w:ascii="Times New Roman" w:hAnsi="Times New Roman" w:cs="Times New Roman" w:eastAsiaTheme="minorEastAsia"/>
                      <w:color w:val="auto"/>
                      <w:sz w:val="21"/>
                      <w:szCs w:val="21"/>
                    </w:rPr>
                    <w:t>以绿色示范创建和智能监管为重点深化扬尘污染控制。出台并实施建筑施工现场扬尘控制管理标准，持续推行“红黄绿”名单分级管控制度，建设扬尘控制示范工地。开展建筑施工扬尘排放标准和控尘技术规范研究。提高城市道路机械化清扫率，持续开展道路冲洗、洒水，完善质量标准考评，建设扬尘控制示范道路。严格落实“定车辆、定线路、定渣场”要求，加大渣土密闭运输联合执法监管力度。加强企业堆煤、堆料、建筑渣土消纳场和混凝土搅拌站粉尘排放监管。加强城市裸露地块和坡坎崖整治</w:t>
                  </w:r>
                  <w:r>
                    <w:rPr>
                      <w:rFonts w:hint="eastAsia" w:ascii="Times New Roman" w:hAnsi="Times New Roman" w:cs="Times New Roman" w:eastAsiaTheme="minorEastAsia"/>
                      <w:color w:val="auto"/>
                      <w:sz w:val="21"/>
                      <w:szCs w:val="21"/>
                      <w:lang w:eastAsia="zh-CN"/>
                    </w:rPr>
                    <w:t>。</w:t>
                  </w:r>
                </w:p>
              </w:tc>
              <w:tc>
                <w:tcPr>
                  <w:tcW w:w="1508" w:type="pct"/>
                  <w:tcBorders>
                    <w:tl2br w:val="nil"/>
                    <w:tr2bl w:val="nil"/>
                  </w:tcBorders>
                  <w:shd w:val="clear" w:color="auto" w:fill="auto"/>
                  <w:vAlign w:val="center"/>
                </w:tcPr>
                <w:p>
                  <w:pPr>
                    <w:adjustRightInd w:val="0"/>
                    <w:snapToGrid w:val="0"/>
                    <w:ind w:firstLine="420" w:firstLineChars="200"/>
                    <w:rPr>
                      <w:rFonts w:eastAsiaTheme="minorEastAsia"/>
                      <w:color w:val="auto"/>
                      <w:szCs w:val="21"/>
                    </w:rPr>
                  </w:pPr>
                  <w:r>
                    <w:rPr>
                      <w:rFonts w:hint="eastAsia" w:eastAsiaTheme="minorEastAsia"/>
                      <w:color w:val="auto"/>
                      <w:szCs w:val="21"/>
                    </w:rPr>
                    <w:t>本项目利用现有生产厂房进行扩建，无土建工程，施工期仅需对生产设备进行布置、安装、调试，不产生施工扬尘、施工废水、建筑垃圾。</w:t>
                  </w:r>
                </w:p>
              </w:tc>
              <w:tc>
                <w:tcPr>
                  <w:tcW w:w="392" w:type="pct"/>
                  <w:tcBorders>
                    <w:tl2br w:val="nil"/>
                    <w:tr2bl w:val="nil"/>
                  </w:tcBorders>
                  <w:shd w:val="clear" w:color="auto" w:fill="auto"/>
                  <w:vAlign w:val="center"/>
                </w:tcPr>
                <w:p>
                  <w:pPr>
                    <w:pStyle w:val="51"/>
                    <w:adjustRightInd w:val="0"/>
                    <w:snapToGrid w:val="0"/>
                    <w:spacing w:after="0" w:line="240" w:lineRule="auto"/>
                    <w:ind w:firstLine="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04" w:type="pct"/>
                  <w:vMerge w:val="continue"/>
                  <w:tcBorders>
                    <w:tl2br w:val="nil"/>
                    <w:tr2bl w:val="nil"/>
                  </w:tcBorders>
                  <w:shd w:val="clear" w:color="auto" w:fill="auto"/>
                  <w:vAlign w:val="center"/>
                </w:tcPr>
                <w:p>
                  <w:pPr>
                    <w:pStyle w:val="51"/>
                    <w:adjustRightInd w:val="0"/>
                    <w:snapToGrid w:val="0"/>
                    <w:spacing w:after="0" w:line="240" w:lineRule="auto"/>
                    <w:jc w:val="center"/>
                    <w:rPr>
                      <w:rFonts w:ascii="Times New Roman" w:hAnsi="Times New Roman" w:cs="Times New Roman" w:eastAsiaTheme="minorEastAsia"/>
                      <w:color w:val="auto"/>
                      <w:sz w:val="21"/>
                      <w:szCs w:val="21"/>
                    </w:rPr>
                  </w:pPr>
                </w:p>
              </w:tc>
              <w:tc>
                <w:tcPr>
                  <w:tcW w:w="2694" w:type="pct"/>
                  <w:tcBorders>
                    <w:tl2br w:val="nil"/>
                    <w:tr2bl w:val="nil"/>
                  </w:tcBorders>
                  <w:shd w:val="clear" w:color="auto" w:fill="auto"/>
                  <w:vAlign w:val="center"/>
                </w:tcPr>
                <w:p>
                  <w:pPr>
                    <w:pStyle w:val="51"/>
                    <w:adjustRightInd w:val="0"/>
                    <w:snapToGrid w:val="0"/>
                    <w:spacing w:after="0" w:line="240" w:lineRule="auto"/>
                    <w:ind w:firstLine="420" w:firstLineChars="20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以餐饮油烟综合整治和露天焚烧管控为重点深化生活污染控制。</w:t>
                  </w:r>
                </w:p>
              </w:tc>
              <w:tc>
                <w:tcPr>
                  <w:tcW w:w="1508" w:type="pct"/>
                  <w:tcBorders>
                    <w:tl2br w:val="nil"/>
                    <w:tr2bl w:val="nil"/>
                  </w:tcBorders>
                  <w:shd w:val="clear" w:color="auto" w:fill="auto"/>
                  <w:vAlign w:val="center"/>
                </w:tcPr>
                <w:p>
                  <w:pPr>
                    <w:pStyle w:val="51"/>
                    <w:adjustRightInd w:val="0"/>
                    <w:snapToGrid w:val="0"/>
                    <w:spacing w:after="0" w:line="240" w:lineRule="auto"/>
                    <w:ind w:firstLine="420" w:firstLineChars="200"/>
                    <w:jc w:val="both"/>
                    <w:rPr>
                      <w:rFonts w:ascii="Times New Roman" w:hAnsi="Times New Roman" w:cs="Times New Roman" w:eastAsiaTheme="minorEastAsia"/>
                      <w:color w:val="auto"/>
                      <w:sz w:val="21"/>
                      <w:szCs w:val="21"/>
                      <w:lang w:eastAsia="zh-CN"/>
                    </w:rPr>
                  </w:pPr>
                  <w:r>
                    <w:rPr>
                      <w:rFonts w:ascii="Times New Roman" w:hAnsi="Times New Roman" w:cs="Times New Roman" w:eastAsiaTheme="minorEastAsia"/>
                      <w:color w:val="auto"/>
                      <w:sz w:val="21"/>
                      <w:szCs w:val="21"/>
                    </w:rPr>
                    <w:t>本项目</w:t>
                  </w:r>
                  <w:r>
                    <w:rPr>
                      <w:rFonts w:hint="eastAsia" w:ascii="Times New Roman" w:hAnsi="Times New Roman" w:cs="Times New Roman" w:eastAsiaTheme="minorEastAsia"/>
                      <w:color w:val="auto"/>
                      <w:sz w:val="21"/>
                      <w:szCs w:val="21"/>
                      <w:lang w:eastAsia="zh-CN"/>
                    </w:rPr>
                    <w:t>不涉及餐饮油烟、露天焚烧。</w:t>
                  </w:r>
                </w:p>
              </w:tc>
              <w:tc>
                <w:tcPr>
                  <w:tcW w:w="392" w:type="pct"/>
                  <w:tcBorders>
                    <w:tl2br w:val="nil"/>
                    <w:tr2bl w:val="nil"/>
                  </w:tcBorders>
                  <w:shd w:val="clear" w:color="auto" w:fill="auto"/>
                  <w:vAlign w:val="center"/>
                </w:tcPr>
                <w:p>
                  <w:pPr>
                    <w:pStyle w:val="51"/>
                    <w:adjustRightInd w:val="0"/>
                    <w:snapToGrid w:val="0"/>
                    <w:spacing w:after="0" w:line="240" w:lineRule="auto"/>
                    <w:ind w:firstLine="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04" w:type="pct"/>
                  <w:vMerge w:val="continue"/>
                  <w:tcBorders>
                    <w:tl2br w:val="nil"/>
                    <w:tr2bl w:val="nil"/>
                  </w:tcBorders>
                  <w:shd w:val="clear" w:color="auto" w:fill="auto"/>
                  <w:vAlign w:val="center"/>
                </w:tcPr>
                <w:p>
                  <w:pPr>
                    <w:pStyle w:val="51"/>
                    <w:adjustRightInd w:val="0"/>
                    <w:snapToGrid w:val="0"/>
                    <w:spacing w:after="0" w:line="240" w:lineRule="auto"/>
                    <w:jc w:val="center"/>
                    <w:rPr>
                      <w:rFonts w:ascii="Times New Roman" w:hAnsi="Times New Roman" w:cs="Times New Roman" w:eastAsiaTheme="minorEastAsia"/>
                      <w:color w:val="auto"/>
                      <w:sz w:val="21"/>
                      <w:szCs w:val="21"/>
                    </w:rPr>
                  </w:pPr>
                </w:p>
              </w:tc>
              <w:tc>
                <w:tcPr>
                  <w:tcW w:w="2694" w:type="pct"/>
                  <w:tcBorders>
                    <w:tl2br w:val="nil"/>
                    <w:tr2bl w:val="nil"/>
                  </w:tcBorders>
                  <w:shd w:val="clear" w:color="auto" w:fill="auto"/>
                  <w:vAlign w:val="center"/>
                </w:tcPr>
                <w:p>
                  <w:pPr>
                    <w:pStyle w:val="51"/>
                    <w:adjustRightInd w:val="0"/>
                    <w:snapToGrid w:val="0"/>
                    <w:spacing w:after="0" w:line="240" w:lineRule="auto"/>
                    <w:ind w:firstLine="420" w:firstLineChars="20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以精细管控和联防联控为抓手减少污染天气。根据“一区两群”空气质量本底特征建立环境空气质量分类管理体系，已达到现行标准的区县进一步改善大气环境质量，未达标区县分阶段逐步达标，推动“一区一策”精细管控。</w:t>
                  </w:r>
                </w:p>
              </w:tc>
              <w:tc>
                <w:tcPr>
                  <w:tcW w:w="1508" w:type="pct"/>
                  <w:tcBorders>
                    <w:tl2br w:val="nil"/>
                    <w:tr2bl w:val="nil"/>
                  </w:tcBorders>
                  <w:shd w:val="clear" w:color="auto" w:fill="auto"/>
                  <w:vAlign w:val="center"/>
                </w:tcPr>
                <w:p>
                  <w:pPr>
                    <w:pStyle w:val="51"/>
                    <w:adjustRightInd w:val="0"/>
                    <w:snapToGrid w:val="0"/>
                    <w:spacing w:after="0" w:line="240" w:lineRule="auto"/>
                    <w:ind w:firstLine="420" w:firstLineChars="200"/>
                    <w:jc w:val="both"/>
                    <w:rPr>
                      <w:rFonts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lang w:eastAsia="zh-CN"/>
                    </w:rPr>
                    <w:t>本项目位于环境空气质量</w:t>
                  </w:r>
                  <w:r>
                    <w:rPr>
                      <w:rFonts w:ascii="Times New Roman" w:hAnsi="Times New Roman" w:cs="Times New Roman" w:eastAsiaTheme="minorEastAsia"/>
                      <w:color w:val="auto"/>
                      <w:sz w:val="21"/>
                      <w:szCs w:val="21"/>
                    </w:rPr>
                    <w:t>达标区。</w:t>
                  </w:r>
                </w:p>
              </w:tc>
              <w:tc>
                <w:tcPr>
                  <w:tcW w:w="392" w:type="pct"/>
                  <w:tcBorders>
                    <w:tl2br w:val="nil"/>
                    <w:tr2bl w:val="nil"/>
                  </w:tcBorders>
                  <w:shd w:val="clear" w:color="auto" w:fill="auto"/>
                  <w:vAlign w:val="center"/>
                </w:tcPr>
                <w:p>
                  <w:pPr>
                    <w:pStyle w:val="51"/>
                    <w:adjustRightInd w:val="0"/>
                    <w:snapToGrid w:val="0"/>
                    <w:spacing w:after="0" w:line="240" w:lineRule="auto"/>
                    <w:ind w:firstLine="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04" w:type="pct"/>
                  <w:vMerge w:val="restart"/>
                  <w:tcBorders>
                    <w:tl2br w:val="nil"/>
                    <w:tr2bl w:val="nil"/>
                  </w:tcBorders>
                  <w:shd w:val="clear" w:color="auto" w:fill="auto"/>
                  <w:vAlign w:val="center"/>
                </w:tcPr>
                <w:p>
                  <w:pPr>
                    <w:pStyle w:val="51"/>
                    <w:adjustRightInd w:val="0"/>
                    <w:snapToGrid w:val="0"/>
                    <w:spacing w:after="0" w:line="240" w:lineRule="auto"/>
                    <w:ind w:firstLine="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协同防治土壤和地下水污染</w:t>
                  </w:r>
                </w:p>
              </w:tc>
              <w:tc>
                <w:tcPr>
                  <w:tcW w:w="2694" w:type="pct"/>
                  <w:tcBorders>
                    <w:tl2br w:val="nil"/>
                    <w:tr2bl w:val="nil"/>
                  </w:tcBorders>
                  <w:shd w:val="clear" w:color="auto" w:fill="auto"/>
                  <w:vAlign w:val="center"/>
                </w:tcPr>
                <w:p>
                  <w:pPr>
                    <w:pStyle w:val="51"/>
                    <w:adjustRightInd w:val="0"/>
                    <w:snapToGrid w:val="0"/>
                    <w:spacing w:after="0" w:line="240" w:lineRule="auto"/>
                    <w:ind w:firstLine="420" w:firstLineChars="20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安全利用受污染耕地。根据农用地土壤环境质量监测结果，对耕地土壤环境质量类别单元进行动态调整。</w:t>
                  </w:r>
                </w:p>
                <w:p>
                  <w:pPr>
                    <w:pStyle w:val="51"/>
                    <w:adjustRightInd w:val="0"/>
                    <w:snapToGrid w:val="0"/>
                    <w:spacing w:after="0" w:line="240" w:lineRule="auto"/>
                    <w:ind w:firstLine="420" w:firstLineChars="20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严格建设用地土壤污染风险管控和修复。落实重点监管单位自行监测、隐患排查、有毒有害物质排放报告制度，防止新增土壤污染。开展城镇人口密集区危险化学品生产企业搬迁改造</w:t>
                  </w:r>
                </w:p>
              </w:tc>
              <w:tc>
                <w:tcPr>
                  <w:tcW w:w="1508" w:type="pct"/>
                  <w:tcBorders>
                    <w:tl2br w:val="nil"/>
                    <w:tr2bl w:val="nil"/>
                  </w:tcBorders>
                  <w:shd w:val="clear" w:color="auto" w:fill="auto"/>
                  <w:vAlign w:val="center"/>
                </w:tcPr>
                <w:p>
                  <w:pPr>
                    <w:pStyle w:val="51"/>
                    <w:adjustRightInd w:val="0"/>
                    <w:snapToGrid w:val="0"/>
                    <w:spacing w:after="0" w:line="240" w:lineRule="auto"/>
                    <w:ind w:firstLine="420" w:firstLineChars="200"/>
                    <w:jc w:val="both"/>
                    <w:rPr>
                      <w:rFonts w:ascii="Times New Roman" w:hAnsi="Times New Roman" w:cs="Times New Roman" w:eastAsiaTheme="minorEastAsia"/>
                      <w:color w:val="auto"/>
                      <w:sz w:val="21"/>
                      <w:szCs w:val="21"/>
                      <w:lang w:val="en-US" w:eastAsia="zh-CN"/>
                    </w:rPr>
                  </w:pPr>
                  <w:r>
                    <w:rPr>
                      <w:rFonts w:ascii="Times New Roman" w:hAnsi="Times New Roman" w:cs="Times New Roman" w:eastAsiaTheme="minorEastAsia"/>
                      <w:color w:val="auto"/>
                      <w:sz w:val="21"/>
                      <w:szCs w:val="21"/>
                    </w:rPr>
                    <w:t>本项目</w:t>
                  </w:r>
                  <w:r>
                    <w:rPr>
                      <w:rFonts w:hint="eastAsia" w:ascii="Times New Roman" w:hAnsi="Times New Roman" w:cs="Times New Roman" w:eastAsiaTheme="minorEastAsia"/>
                      <w:color w:val="auto"/>
                      <w:sz w:val="21"/>
                      <w:szCs w:val="21"/>
                      <w:lang w:eastAsia="zh-CN"/>
                    </w:rPr>
                    <w:t>采取了</w:t>
                  </w:r>
                  <w:r>
                    <w:rPr>
                      <w:rFonts w:hint="eastAsia" w:ascii="Times New Roman" w:hAnsi="Times New Roman" w:cs="Times New Roman" w:eastAsiaTheme="minorEastAsia"/>
                      <w:color w:val="auto"/>
                      <w:sz w:val="21"/>
                      <w:szCs w:val="21"/>
                      <w:highlight w:val="none"/>
                      <w:lang w:eastAsia="zh-CN"/>
                    </w:rPr>
                    <w:t>土壤</w:t>
                  </w:r>
                  <w:r>
                    <w:rPr>
                      <w:rFonts w:hint="eastAsia" w:ascii="Times New Roman" w:hAnsi="Times New Roman" w:cs="Times New Roman" w:eastAsiaTheme="minorEastAsia"/>
                      <w:color w:val="auto"/>
                      <w:sz w:val="21"/>
                      <w:szCs w:val="21"/>
                      <w:lang w:eastAsia="zh-CN"/>
                    </w:rPr>
                    <w:t>污染防范管控措施，能有效防止土壤污染；本项目不属于危险化学品生产企业</w:t>
                  </w:r>
                </w:p>
              </w:tc>
              <w:tc>
                <w:tcPr>
                  <w:tcW w:w="392" w:type="pct"/>
                  <w:tcBorders>
                    <w:tl2br w:val="nil"/>
                    <w:tr2bl w:val="nil"/>
                  </w:tcBorders>
                  <w:shd w:val="clear" w:color="auto" w:fill="auto"/>
                  <w:vAlign w:val="center"/>
                </w:tcPr>
                <w:p>
                  <w:pPr>
                    <w:pStyle w:val="51"/>
                    <w:adjustRightInd w:val="0"/>
                    <w:snapToGrid w:val="0"/>
                    <w:spacing w:after="0" w:line="240" w:lineRule="auto"/>
                    <w:ind w:firstLine="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04" w:type="pct"/>
                  <w:vMerge w:val="continue"/>
                  <w:tcBorders>
                    <w:tl2br w:val="nil"/>
                    <w:tr2bl w:val="nil"/>
                  </w:tcBorders>
                  <w:shd w:val="clear" w:color="auto" w:fill="auto"/>
                  <w:vAlign w:val="center"/>
                </w:tcPr>
                <w:p>
                  <w:pPr>
                    <w:pStyle w:val="51"/>
                    <w:adjustRightInd w:val="0"/>
                    <w:snapToGrid w:val="0"/>
                    <w:spacing w:after="0" w:line="240" w:lineRule="auto"/>
                    <w:jc w:val="center"/>
                    <w:rPr>
                      <w:rFonts w:ascii="Times New Roman" w:hAnsi="Times New Roman" w:cs="Times New Roman" w:eastAsiaTheme="minorEastAsia"/>
                      <w:color w:val="auto"/>
                      <w:sz w:val="21"/>
                      <w:szCs w:val="21"/>
                    </w:rPr>
                  </w:pPr>
                </w:p>
              </w:tc>
              <w:tc>
                <w:tcPr>
                  <w:tcW w:w="2694" w:type="pct"/>
                  <w:tcBorders>
                    <w:tl2br w:val="nil"/>
                    <w:tr2bl w:val="nil"/>
                  </w:tcBorders>
                  <w:shd w:val="clear" w:color="auto" w:fill="auto"/>
                  <w:vAlign w:val="center"/>
                </w:tcPr>
                <w:p>
                  <w:pPr>
                    <w:pStyle w:val="51"/>
                    <w:adjustRightInd w:val="0"/>
                    <w:snapToGrid w:val="0"/>
                    <w:spacing w:after="0" w:line="240" w:lineRule="auto"/>
                    <w:ind w:firstLine="420" w:firstLineChars="200"/>
                    <w:jc w:val="both"/>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eastAsia="zh-CN"/>
                    </w:rPr>
                    <w:t>污</w:t>
                  </w:r>
                  <w:r>
                    <w:rPr>
                      <w:rFonts w:ascii="Times New Roman" w:hAnsi="Times New Roman" w:cs="Times New Roman" w:eastAsiaTheme="minorEastAsia"/>
                      <w:color w:val="auto"/>
                      <w:sz w:val="21"/>
                      <w:szCs w:val="21"/>
                    </w:rPr>
                    <w:t>染整治腾退地块专项排查行动，建立高风险地块清单，健全建设用地再开发利用联合监管体系，完善污染地块再开发利用负面清单，分类型、分阶段开展污染地块风险管控和修复。到2025年，确保重点建设用地安全利用。</w:t>
                  </w:r>
                </w:p>
                <w:p>
                  <w:pPr>
                    <w:pStyle w:val="51"/>
                    <w:adjustRightInd w:val="0"/>
                    <w:snapToGrid w:val="0"/>
                    <w:spacing w:after="0" w:line="240" w:lineRule="auto"/>
                    <w:ind w:firstLine="420" w:firstLineChars="20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实施重点区域土壤污染综合防控。选择典型行业和企业，开展企业用地及周边农用地土壤污染状况调查，掌握典型行业企业生产经营活动对企业用地及周边农用地土壤生态环境的影响。</w:t>
                  </w:r>
                </w:p>
                <w:p>
                  <w:pPr>
                    <w:pStyle w:val="51"/>
                    <w:adjustRightInd w:val="0"/>
                    <w:snapToGrid w:val="0"/>
                    <w:spacing w:after="0" w:line="240" w:lineRule="auto"/>
                    <w:ind w:firstLine="420" w:firstLineChars="20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建立地下水环境管理体系。以化工园区、页岩气开采区、危险废物处置场、垃圾填埋场等为重点，开展防渗情况检测评估，统筹推进地下水安全源头预防和风险管控。</w:t>
                  </w:r>
                </w:p>
              </w:tc>
              <w:tc>
                <w:tcPr>
                  <w:tcW w:w="1508" w:type="pct"/>
                  <w:tcBorders>
                    <w:tl2br w:val="nil"/>
                    <w:tr2bl w:val="nil"/>
                  </w:tcBorders>
                  <w:shd w:val="clear" w:color="auto" w:fill="auto"/>
                  <w:vAlign w:val="center"/>
                </w:tcPr>
                <w:p>
                  <w:pPr>
                    <w:pStyle w:val="51"/>
                    <w:adjustRightInd w:val="0"/>
                    <w:snapToGrid w:val="0"/>
                    <w:spacing w:after="0" w:line="240" w:lineRule="auto"/>
                    <w:ind w:firstLine="420" w:firstLineChars="200"/>
                    <w:jc w:val="both"/>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eastAsia="zh-CN"/>
                    </w:rPr>
                    <w:t>本项目不涉及重点建设用地安全利用；不涉及土壤污染状况调查；不涉及建立地下水环境管理体系；不涉及防渗情况检测评估</w:t>
                  </w:r>
                  <w:r>
                    <w:rPr>
                      <w:rFonts w:ascii="Times New Roman" w:hAnsi="Times New Roman" w:cs="Times New Roman" w:eastAsiaTheme="minorEastAsia"/>
                      <w:color w:val="auto"/>
                      <w:sz w:val="21"/>
                      <w:szCs w:val="21"/>
                    </w:rPr>
                    <w:t>。</w:t>
                  </w:r>
                </w:p>
              </w:tc>
              <w:tc>
                <w:tcPr>
                  <w:tcW w:w="392" w:type="pct"/>
                  <w:tcBorders>
                    <w:tl2br w:val="nil"/>
                    <w:tr2bl w:val="nil"/>
                  </w:tcBorders>
                  <w:shd w:val="clear" w:color="auto" w:fill="auto"/>
                  <w:vAlign w:val="center"/>
                </w:tcPr>
                <w:p>
                  <w:pPr>
                    <w:pStyle w:val="51"/>
                    <w:adjustRightInd w:val="0"/>
                    <w:snapToGrid w:val="0"/>
                    <w:spacing w:after="0" w:line="240" w:lineRule="auto"/>
                    <w:ind w:firstLine="0"/>
                    <w:jc w:val="center"/>
                    <w:rPr>
                      <w:rFonts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04" w:type="pct"/>
                  <w:vMerge w:val="restart"/>
                  <w:tcBorders>
                    <w:tl2br w:val="nil"/>
                    <w:tr2bl w:val="nil"/>
                  </w:tcBorders>
                  <w:shd w:val="clear" w:color="auto" w:fill="auto"/>
                  <w:vAlign w:val="center"/>
                </w:tcPr>
                <w:p>
                  <w:pPr>
                    <w:pStyle w:val="51"/>
                    <w:adjustRightInd w:val="0"/>
                    <w:snapToGrid w:val="0"/>
                    <w:spacing w:after="0" w:line="240" w:lineRule="auto"/>
                    <w:ind w:firstLine="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管控噪声环境影响</w:t>
                  </w:r>
                </w:p>
              </w:tc>
              <w:tc>
                <w:tcPr>
                  <w:tcW w:w="2694" w:type="pct"/>
                  <w:tcBorders>
                    <w:tl2br w:val="nil"/>
                    <w:tr2bl w:val="nil"/>
                  </w:tcBorders>
                  <w:shd w:val="clear" w:color="auto" w:fill="auto"/>
                  <w:vAlign w:val="center"/>
                </w:tcPr>
                <w:p>
                  <w:pPr>
                    <w:pStyle w:val="51"/>
                    <w:adjustRightInd w:val="0"/>
                    <w:snapToGrid w:val="0"/>
                    <w:spacing w:after="0" w:line="24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严格管控交通噪声影响。实施交通噪声智能管控工程，加快布局重点交通干线、重要声环境敏感区域噪声智能监控点，完成大数据采集，制定实施管控方案。</w:t>
                  </w:r>
                </w:p>
              </w:tc>
              <w:tc>
                <w:tcPr>
                  <w:tcW w:w="1508" w:type="pct"/>
                  <w:tcBorders>
                    <w:tl2br w:val="nil"/>
                    <w:tr2bl w:val="nil"/>
                  </w:tcBorders>
                  <w:shd w:val="clear" w:color="auto" w:fill="auto"/>
                  <w:vAlign w:val="center"/>
                </w:tcPr>
                <w:p>
                  <w:pPr>
                    <w:pStyle w:val="51"/>
                    <w:adjustRightInd w:val="0"/>
                    <w:snapToGrid w:val="0"/>
                    <w:spacing w:after="0" w:line="240" w:lineRule="auto"/>
                    <w:ind w:firstLine="420" w:firstLineChars="200"/>
                    <w:jc w:val="both"/>
                    <w:rPr>
                      <w:rFonts w:ascii="Times New Roman" w:hAnsi="Times New Roman" w:cs="Times New Roman" w:eastAsiaTheme="minorEastAsia"/>
                      <w:color w:val="auto"/>
                      <w:sz w:val="21"/>
                      <w:szCs w:val="21"/>
                      <w:lang w:eastAsia="zh-CN"/>
                    </w:rPr>
                  </w:pPr>
                  <w:r>
                    <w:rPr>
                      <w:rFonts w:ascii="Times New Roman" w:hAnsi="Times New Roman" w:cs="Times New Roman" w:eastAsiaTheme="minorEastAsia"/>
                      <w:color w:val="auto"/>
                      <w:sz w:val="21"/>
                      <w:szCs w:val="21"/>
                    </w:rPr>
                    <w:t>本项目不</w:t>
                  </w:r>
                  <w:r>
                    <w:rPr>
                      <w:rFonts w:hint="eastAsia" w:ascii="Times New Roman" w:hAnsi="Times New Roman" w:cs="Times New Roman" w:eastAsiaTheme="minorEastAsia"/>
                      <w:color w:val="auto"/>
                      <w:sz w:val="21"/>
                      <w:szCs w:val="21"/>
                      <w:lang w:eastAsia="zh-CN"/>
                    </w:rPr>
                    <w:t>涉及交通噪声智能控制工程</w:t>
                  </w:r>
                </w:p>
              </w:tc>
              <w:tc>
                <w:tcPr>
                  <w:tcW w:w="392" w:type="pct"/>
                  <w:tcBorders>
                    <w:tl2br w:val="nil"/>
                    <w:tr2bl w:val="nil"/>
                  </w:tcBorders>
                  <w:shd w:val="clear" w:color="auto" w:fill="auto"/>
                  <w:vAlign w:val="center"/>
                </w:tcPr>
                <w:p>
                  <w:pPr>
                    <w:pStyle w:val="51"/>
                    <w:adjustRightInd w:val="0"/>
                    <w:snapToGrid w:val="0"/>
                    <w:spacing w:after="0" w:line="240" w:lineRule="auto"/>
                    <w:ind w:firstLine="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04" w:type="pct"/>
                  <w:vMerge w:val="continue"/>
                  <w:tcBorders>
                    <w:tl2br w:val="nil"/>
                    <w:tr2bl w:val="nil"/>
                  </w:tcBorders>
                  <w:shd w:val="clear" w:color="auto" w:fill="auto"/>
                  <w:vAlign w:val="center"/>
                </w:tcPr>
                <w:p>
                  <w:pPr>
                    <w:pStyle w:val="51"/>
                    <w:adjustRightInd w:val="0"/>
                    <w:snapToGrid w:val="0"/>
                    <w:spacing w:after="0" w:line="240" w:lineRule="auto"/>
                    <w:jc w:val="center"/>
                    <w:rPr>
                      <w:rFonts w:ascii="Times New Roman" w:hAnsi="Times New Roman" w:cs="Times New Roman" w:eastAsiaTheme="minorEastAsia"/>
                      <w:color w:val="auto"/>
                      <w:sz w:val="21"/>
                      <w:szCs w:val="21"/>
                    </w:rPr>
                  </w:pPr>
                </w:p>
              </w:tc>
              <w:tc>
                <w:tcPr>
                  <w:tcW w:w="2694" w:type="pct"/>
                  <w:tcBorders>
                    <w:tl2br w:val="nil"/>
                    <w:tr2bl w:val="nil"/>
                  </w:tcBorders>
                  <w:shd w:val="clear" w:color="auto" w:fill="auto"/>
                  <w:vAlign w:val="center"/>
                </w:tcPr>
                <w:p>
                  <w:pPr>
                    <w:pStyle w:val="51"/>
                    <w:adjustRightInd w:val="0"/>
                    <w:snapToGrid w:val="0"/>
                    <w:spacing w:after="0" w:line="24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加强建筑施工噪声监管。完善城市夜间作业审核管理，落实城市建筑施工环保公告制度，依法严格限定施工作业时间，严格限制在敏感区内进行产生噪声污染的夜间施工作业。进一步加大对违法夜间施工行为的巡查和行政处罚力度。推进噪声自动监测系统对建筑施工进行实时监督，鼓励使用低噪声施工设备和工艺，对施工强噪声单元实行全封闭管理。</w:t>
                  </w:r>
                </w:p>
              </w:tc>
              <w:tc>
                <w:tcPr>
                  <w:tcW w:w="1508" w:type="pct"/>
                  <w:tcBorders>
                    <w:tl2br w:val="nil"/>
                    <w:tr2bl w:val="nil"/>
                  </w:tcBorders>
                  <w:shd w:val="clear" w:color="auto" w:fill="auto"/>
                  <w:vAlign w:val="center"/>
                </w:tcPr>
                <w:p>
                  <w:pPr>
                    <w:pStyle w:val="51"/>
                    <w:adjustRightInd w:val="0"/>
                    <w:snapToGrid w:val="0"/>
                    <w:spacing w:after="0" w:line="240" w:lineRule="auto"/>
                    <w:ind w:firstLine="420" w:firstLineChars="20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本项目</w:t>
                  </w:r>
                  <w:r>
                    <w:rPr>
                      <w:rFonts w:hint="eastAsia" w:ascii="Times New Roman" w:hAnsi="Times New Roman" w:cs="Times New Roman" w:eastAsiaTheme="minorEastAsia"/>
                      <w:color w:val="auto"/>
                      <w:sz w:val="21"/>
                      <w:szCs w:val="21"/>
                      <w:lang w:eastAsia="zh-CN"/>
                    </w:rPr>
                    <w:t>不属于敏感区，</w:t>
                  </w:r>
                  <w:r>
                    <w:rPr>
                      <w:rFonts w:ascii="Times New Roman" w:hAnsi="Times New Roman" w:cs="Times New Roman" w:eastAsiaTheme="minorEastAsia"/>
                      <w:color w:val="auto"/>
                      <w:sz w:val="21"/>
                      <w:szCs w:val="21"/>
                    </w:rPr>
                    <w:t>周边</w:t>
                  </w:r>
                  <w:r>
                    <w:rPr>
                      <w:rFonts w:hint="eastAsia" w:ascii="Times New Roman" w:hAnsi="Times New Roman" w:cs="Times New Roman" w:eastAsiaTheme="minorEastAsia"/>
                      <w:color w:val="auto"/>
                      <w:sz w:val="21"/>
                      <w:szCs w:val="21"/>
                      <w:lang w:val="en-US" w:eastAsia="zh-CN"/>
                    </w:rPr>
                    <w:t>50m范围内</w:t>
                  </w:r>
                  <w:r>
                    <w:rPr>
                      <w:rFonts w:ascii="Times New Roman" w:hAnsi="Times New Roman" w:cs="Times New Roman" w:eastAsiaTheme="minorEastAsia"/>
                      <w:color w:val="auto"/>
                      <w:sz w:val="21"/>
                      <w:szCs w:val="21"/>
                    </w:rPr>
                    <w:t>无声环境敏感目标</w:t>
                  </w:r>
                  <w:r>
                    <w:rPr>
                      <w:rFonts w:hint="eastAsia" w:ascii="Times New Roman" w:hAnsi="Times New Roman" w:cs="Times New Roman" w:eastAsiaTheme="minorEastAsia"/>
                      <w:color w:val="auto"/>
                      <w:sz w:val="21"/>
                      <w:szCs w:val="21"/>
                      <w:lang w:eastAsia="zh-CN"/>
                    </w:rPr>
                    <w:t>，项目施工期</w:t>
                  </w:r>
                  <w:r>
                    <w:rPr>
                      <w:rFonts w:ascii="Times New Roman" w:hAnsi="Times New Roman" w:cs="Times New Roman" w:eastAsiaTheme="minorEastAsia"/>
                      <w:color w:val="auto"/>
                      <w:sz w:val="21"/>
                      <w:szCs w:val="21"/>
                    </w:rPr>
                    <w:t>夜间不施工</w:t>
                  </w:r>
                </w:p>
              </w:tc>
              <w:tc>
                <w:tcPr>
                  <w:tcW w:w="392" w:type="pct"/>
                  <w:tcBorders>
                    <w:tl2br w:val="nil"/>
                    <w:tr2bl w:val="nil"/>
                  </w:tcBorders>
                  <w:shd w:val="clear" w:color="auto" w:fill="auto"/>
                  <w:vAlign w:val="center"/>
                </w:tcPr>
                <w:p>
                  <w:pPr>
                    <w:pStyle w:val="51"/>
                    <w:adjustRightInd w:val="0"/>
                    <w:snapToGrid w:val="0"/>
                    <w:spacing w:after="0" w:line="240" w:lineRule="auto"/>
                    <w:ind w:firstLine="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04" w:type="pct"/>
                  <w:vMerge w:val="continue"/>
                  <w:tcBorders>
                    <w:tl2br w:val="nil"/>
                    <w:tr2bl w:val="nil"/>
                  </w:tcBorders>
                  <w:shd w:val="clear" w:color="auto" w:fill="auto"/>
                  <w:vAlign w:val="center"/>
                </w:tcPr>
                <w:p>
                  <w:pPr>
                    <w:pStyle w:val="51"/>
                    <w:adjustRightInd w:val="0"/>
                    <w:snapToGrid w:val="0"/>
                    <w:spacing w:after="0" w:line="240" w:lineRule="auto"/>
                    <w:jc w:val="center"/>
                    <w:rPr>
                      <w:rFonts w:ascii="Times New Roman" w:hAnsi="Times New Roman" w:cs="Times New Roman" w:eastAsiaTheme="minorEastAsia"/>
                      <w:color w:val="auto"/>
                      <w:sz w:val="21"/>
                      <w:szCs w:val="21"/>
                    </w:rPr>
                  </w:pPr>
                </w:p>
              </w:tc>
              <w:tc>
                <w:tcPr>
                  <w:tcW w:w="2694" w:type="pct"/>
                  <w:tcBorders>
                    <w:tl2br w:val="nil"/>
                    <w:tr2bl w:val="nil"/>
                  </w:tcBorders>
                  <w:shd w:val="clear" w:color="auto" w:fill="auto"/>
                  <w:vAlign w:val="center"/>
                </w:tcPr>
                <w:p>
                  <w:pPr>
                    <w:pStyle w:val="51"/>
                    <w:adjustRightInd w:val="0"/>
                    <w:snapToGrid w:val="0"/>
                    <w:spacing w:after="0" w:line="240" w:lineRule="auto"/>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强化工业企业噪声监管。关停、搬迁、治理城市建成区内的噪声污染严重企业，基本消除城区工业噪声扰民污染源。加强工业园区噪声污染防治，禁止在1类声环境功能区、严格限制在2类声环境功能区审批产生噪声污染的工业项目环评。严肃查处工业企业噪声排放超标扰民行为。</w:t>
                  </w:r>
                </w:p>
              </w:tc>
              <w:tc>
                <w:tcPr>
                  <w:tcW w:w="1508" w:type="pct"/>
                  <w:tcBorders>
                    <w:tl2br w:val="nil"/>
                    <w:tr2bl w:val="nil"/>
                  </w:tcBorders>
                  <w:shd w:val="clear" w:color="auto" w:fill="auto"/>
                  <w:vAlign w:val="center"/>
                </w:tcPr>
                <w:p>
                  <w:pPr>
                    <w:pStyle w:val="51"/>
                    <w:adjustRightInd w:val="0"/>
                    <w:snapToGrid w:val="0"/>
                    <w:spacing w:after="0" w:line="240" w:lineRule="auto"/>
                    <w:ind w:firstLine="420" w:firstLineChars="20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本项目</w:t>
                  </w:r>
                  <w:r>
                    <w:rPr>
                      <w:rFonts w:hint="eastAsia" w:ascii="Times New Roman" w:hAnsi="Times New Roman" w:cs="Times New Roman" w:eastAsiaTheme="minorEastAsia"/>
                      <w:color w:val="auto"/>
                      <w:sz w:val="21"/>
                      <w:szCs w:val="21"/>
                      <w:lang w:eastAsia="zh-CN"/>
                    </w:rPr>
                    <w:t>位于</w:t>
                  </w:r>
                  <w:r>
                    <w:rPr>
                      <w:rFonts w:hint="eastAsia" w:ascii="Times New Roman" w:hAnsi="Times New Roman" w:cs="Times New Roman" w:eastAsiaTheme="minorEastAsia"/>
                      <w:color w:val="auto"/>
                      <w:sz w:val="21"/>
                      <w:szCs w:val="21"/>
                      <w:lang w:val="en-US" w:eastAsia="zh-CN"/>
                    </w:rPr>
                    <w:t>3类声环境功能区</w:t>
                  </w:r>
                  <w:r>
                    <w:rPr>
                      <w:rFonts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eastAsia="zh-CN"/>
                    </w:rPr>
                    <w:t>周边</w:t>
                  </w:r>
                  <w:r>
                    <w:rPr>
                      <w:rFonts w:hint="eastAsia" w:ascii="Times New Roman" w:hAnsi="Times New Roman" w:cs="Times New Roman" w:eastAsiaTheme="minorEastAsia"/>
                      <w:color w:val="auto"/>
                      <w:sz w:val="21"/>
                      <w:szCs w:val="21"/>
                      <w:lang w:val="en-US" w:eastAsia="zh-CN"/>
                    </w:rPr>
                    <w:t>50m范围内</w:t>
                  </w:r>
                  <w:r>
                    <w:rPr>
                      <w:rFonts w:ascii="Times New Roman" w:hAnsi="Times New Roman" w:cs="Times New Roman" w:eastAsiaTheme="minorEastAsia"/>
                      <w:color w:val="auto"/>
                      <w:sz w:val="21"/>
                      <w:szCs w:val="21"/>
                    </w:rPr>
                    <w:t>无声环境</w:t>
                  </w:r>
                  <w:r>
                    <w:rPr>
                      <w:rFonts w:hint="eastAsia" w:ascii="Times New Roman" w:hAnsi="Times New Roman" w:cs="Times New Roman" w:eastAsiaTheme="minorEastAsia"/>
                      <w:color w:val="auto"/>
                      <w:sz w:val="21"/>
                      <w:szCs w:val="21"/>
                      <w:lang w:eastAsia="zh-CN"/>
                    </w:rPr>
                    <w:t>保护</w:t>
                  </w:r>
                  <w:r>
                    <w:rPr>
                      <w:rFonts w:ascii="Times New Roman" w:hAnsi="Times New Roman" w:cs="Times New Roman" w:eastAsiaTheme="minorEastAsia"/>
                      <w:color w:val="auto"/>
                      <w:sz w:val="21"/>
                      <w:szCs w:val="21"/>
                    </w:rPr>
                    <w:t>目标；</w:t>
                  </w:r>
                  <w:r>
                    <w:rPr>
                      <w:rFonts w:hint="eastAsia" w:ascii="Times New Roman" w:hAnsi="Times New Roman" w:cs="Times New Roman" w:eastAsiaTheme="minorEastAsia"/>
                      <w:color w:val="auto"/>
                      <w:sz w:val="21"/>
                      <w:szCs w:val="21"/>
                      <w:lang w:eastAsia="zh-CN"/>
                    </w:rPr>
                    <w:t>项目设备噪声</w:t>
                  </w:r>
                  <w:r>
                    <w:rPr>
                      <w:rFonts w:ascii="Times New Roman" w:hAnsi="Times New Roman" w:cs="Times New Roman" w:eastAsiaTheme="minorEastAsia"/>
                      <w:color w:val="auto"/>
                      <w:sz w:val="21"/>
                      <w:szCs w:val="21"/>
                    </w:rPr>
                    <w:t>采取基础减振、建筑隔声后，厂界噪声能达标排放</w:t>
                  </w:r>
                </w:p>
              </w:tc>
              <w:tc>
                <w:tcPr>
                  <w:tcW w:w="392" w:type="pct"/>
                  <w:tcBorders>
                    <w:tl2br w:val="nil"/>
                    <w:tr2bl w:val="nil"/>
                  </w:tcBorders>
                  <w:shd w:val="clear" w:color="auto" w:fill="auto"/>
                  <w:vAlign w:val="center"/>
                </w:tcPr>
                <w:p>
                  <w:pPr>
                    <w:pStyle w:val="51"/>
                    <w:adjustRightInd w:val="0"/>
                    <w:snapToGrid w:val="0"/>
                    <w:spacing w:after="0" w:line="240" w:lineRule="auto"/>
                    <w:ind w:firstLine="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04" w:type="pct"/>
                  <w:vMerge w:val="continue"/>
                  <w:tcBorders>
                    <w:tl2br w:val="nil"/>
                    <w:tr2bl w:val="nil"/>
                  </w:tcBorders>
                  <w:shd w:val="clear" w:color="auto" w:fill="auto"/>
                  <w:vAlign w:val="center"/>
                </w:tcPr>
                <w:p>
                  <w:pPr>
                    <w:pStyle w:val="51"/>
                    <w:adjustRightInd w:val="0"/>
                    <w:snapToGrid w:val="0"/>
                    <w:spacing w:after="0" w:line="240" w:lineRule="auto"/>
                    <w:jc w:val="center"/>
                    <w:rPr>
                      <w:rFonts w:ascii="Times New Roman" w:hAnsi="Times New Roman" w:cs="Times New Roman" w:eastAsiaTheme="minorEastAsia"/>
                      <w:color w:val="auto"/>
                      <w:sz w:val="21"/>
                      <w:szCs w:val="21"/>
                    </w:rPr>
                  </w:pPr>
                </w:p>
              </w:tc>
              <w:tc>
                <w:tcPr>
                  <w:tcW w:w="2694" w:type="pct"/>
                  <w:tcBorders>
                    <w:tl2br w:val="nil"/>
                    <w:tr2bl w:val="nil"/>
                  </w:tcBorders>
                  <w:shd w:val="clear" w:color="auto" w:fill="auto"/>
                  <w:vAlign w:val="center"/>
                </w:tcPr>
                <w:p>
                  <w:pPr>
                    <w:pStyle w:val="51"/>
                    <w:adjustRightInd w:val="0"/>
                    <w:snapToGrid w:val="0"/>
                    <w:spacing w:after="0" w:line="240" w:lineRule="auto"/>
                    <w:ind w:firstLine="420" w:firstLineChars="200"/>
                    <w:jc w:val="both"/>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严格管控生活噪声影响。实施城市声环境功能区划管理，完善声功能区监测网，修订“安静居住小区”创建标准，巩固和深化“安静居住小区”创建成果。</w:t>
                  </w:r>
                </w:p>
              </w:tc>
              <w:tc>
                <w:tcPr>
                  <w:tcW w:w="1508" w:type="pct"/>
                  <w:tcBorders>
                    <w:tl2br w:val="nil"/>
                    <w:tr2bl w:val="nil"/>
                  </w:tcBorders>
                  <w:shd w:val="clear" w:color="auto" w:fill="auto"/>
                  <w:vAlign w:val="center"/>
                </w:tcPr>
                <w:p>
                  <w:pPr>
                    <w:pStyle w:val="51"/>
                    <w:adjustRightInd w:val="0"/>
                    <w:snapToGrid w:val="0"/>
                    <w:spacing w:after="0" w:line="240" w:lineRule="auto"/>
                    <w:ind w:firstLine="420" w:firstLineChars="200"/>
                    <w:jc w:val="both"/>
                    <w:rPr>
                      <w:rFonts w:ascii="Times New Roman" w:hAnsi="Times New Roman" w:cs="Times New Roman" w:eastAsiaTheme="minorEastAsia"/>
                      <w:color w:val="auto"/>
                      <w:sz w:val="21"/>
                      <w:szCs w:val="21"/>
                      <w:lang w:eastAsia="zh-CN"/>
                    </w:rPr>
                  </w:pPr>
                  <w:r>
                    <w:rPr>
                      <w:rFonts w:ascii="Times New Roman" w:hAnsi="Times New Roman" w:cs="Times New Roman" w:eastAsiaTheme="minorEastAsia"/>
                      <w:color w:val="auto"/>
                      <w:sz w:val="21"/>
                      <w:szCs w:val="21"/>
                    </w:rPr>
                    <w:t>本项目</w:t>
                  </w:r>
                  <w:r>
                    <w:rPr>
                      <w:rFonts w:hint="eastAsia" w:ascii="Times New Roman" w:hAnsi="Times New Roman" w:cs="Times New Roman" w:eastAsiaTheme="minorEastAsia"/>
                      <w:color w:val="auto"/>
                      <w:sz w:val="21"/>
                      <w:szCs w:val="21"/>
                      <w:lang w:eastAsia="zh-CN"/>
                    </w:rPr>
                    <w:t>不涉及生活噪声</w:t>
                  </w:r>
                </w:p>
              </w:tc>
              <w:tc>
                <w:tcPr>
                  <w:tcW w:w="392" w:type="pct"/>
                  <w:tcBorders>
                    <w:tl2br w:val="nil"/>
                    <w:tr2bl w:val="nil"/>
                  </w:tcBorders>
                  <w:shd w:val="clear" w:color="auto" w:fill="auto"/>
                  <w:vAlign w:val="center"/>
                </w:tcPr>
                <w:p>
                  <w:pPr>
                    <w:pStyle w:val="51"/>
                    <w:adjustRightInd w:val="0"/>
                    <w:snapToGrid w:val="0"/>
                    <w:spacing w:after="0" w:line="240" w:lineRule="auto"/>
                    <w:ind w:firstLine="0"/>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符合</w:t>
                  </w:r>
                </w:p>
              </w:tc>
            </w:tr>
          </w:tbl>
          <w:p>
            <w:pPr>
              <w:spacing w:line="360" w:lineRule="auto"/>
              <w:ind w:firstLine="482"/>
              <w:rPr>
                <w:b/>
                <w:bCs/>
                <w:color w:val="auto"/>
                <w:sz w:val="24"/>
              </w:rPr>
            </w:pPr>
            <w:r>
              <w:rPr>
                <w:rFonts w:eastAsiaTheme="minorEastAsia"/>
                <w:color w:val="auto"/>
                <w:sz w:val="24"/>
                <w:lang w:bidi="zh-TW"/>
              </w:rPr>
              <w:t>综上分析，项目符合《重庆市生态环境保护“十四五</w:t>
            </w:r>
            <w:r>
              <w:rPr>
                <w:rFonts w:eastAsiaTheme="minorEastAsia"/>
                <w:color w:val="auto"/>
                <w:sz w:val="24"/>
                <w:lang w:bidi="zh-CN"/>
              </w:rPr>
              <w:t>”规划</w:t>
            </w:r>
            <w:r>
              <w:rPr>
                <w:rFonts w:eastAsiaTheme="minorEastAsia"/>
                <w:color w:val="auto"/>
                <w:sz w:val="24"/>
                <w:lang w:bidi="zh-TW"/>
              </w:rPr>
              <w:t>（2021</w:t>
            </w:r>
            <w:r>
              <w:rPr>
                <w:rFonts w:eastAsiaTheme="minorEastAsia"/>
                <w:color w:val="auto"/>
                <w:sz w:val="24"/>
                <w:lang w:bidi="en-US"/>
              </w:rPr>
              <w:t>—2025</w:t>
            </w:r>
            <w:r>
              <w:rPr>
                <w:rFonts w:eastAsiaTheme="minorEastAsia"/>
                <w:color w:val="auto"/>
                <w:sz w:val="24"/>
                <w:lang w:bidi="zh-TW"/>
              </w:rPr>
              <w:t>年）》相关要求。</w:t>
            </w:r>
          </w:p>
          <w:p>
            <w:pPr>
              <w:adjustRightInd w:val="0"/>
              <w:snapToGrid w:val="0"/>
              <w:spacing w:line="360" w:lineRule="auto"/>
              <w:rPr>
                <w:b/>
                <w:bCs/>
                <w:color w:val="auto"/>
                <w:sz w:val="24"/>
              </w:rPr>
            </w:pPr>
            <w:r>
              <w:rPr>
                <w:rFonts w:hint="eastAsia"/>
                <w:b/>
                <w:bCs/>
                <w:color w:val="auto"/>
                <w:sz w:val="24"/>
              </w:rPr>
              <w:t>6.</w:t>
            </w:r>
            <w:r>
              <w:rPr>
                <w:b/>
                <w:bCs/>
                <w:color w:val="auto"/>
                <w:sz w:val="24"/>
              </w:rPr>
              <w:t>与《2020年挥发性有机物治理攻坚方案》（环大气[2020]33号）的符合性分析</w:t>
            </w:r>
          </w:p>
          <w:p>
            <w:pPr>
              <w:pStyle w:val="45"/>
              <w:snapToGrid w:val="0"/>
              <w:spacing w:line="360" w:lineRule="auto"/>
              <w:ind w:firstLine="0"/>
              <w:jc w:val="center"/>
              <w:rPr>
                <w:rFonts w:eastAsia="宋体" w:cs="Times New Roman"/>
                <w:color w:val="auto"/>
              </w:rPr>
            </w:pPr>
            <w:r>
              <w:rPr>
                <w:rFonts w:eastAsia="宋体" w:cs="Times New Roman"/>
                <w:color w:val="auto"/>
                <w:sz w:val="21"/>
                <w:szCs w:val="21"/>
              </w:rPr>
              <w:t>表1</w:t>
            </w:r>
            <w:r>
              <w:rPr>
                <w:rFonts w:hint="eastAsia" w:eastAsia="宋体" w:cs="Times New Roman"/>
                <w:color w:val="auto"/>
                <w:sz w:val="21"/>
                <w:szCs w:val="21"/>
              </w:rPr>
              <w:t>.6</w:t>
            </w:r>
            <w:r>
              <w:rPr>
                <w:rFonts w:eastAsia="宋体" w:cs="Times New Roman"/>
                <w:color w:val="auto"/>
                <w:sz w:val="21"/>
                <w:szCs w:val="21"/>
              </w:rPr>
              <w:t xml:space="preserve"> 与《2020年挥发性有机物治理攻坚方案》的符合性分析</w:t>
            </w:r>
          </w:p>
          <w:tbl>
            <w:tblPr>
              <w:tblStyle w:val="22"/>
              <w:tblW w:w="5000" w:type="pct"/>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57" w:type="dxa"/>
                <w:bottom w:w="0" w:type="dxa"/>
                <w:right w:w="57" w:type="dxa"/>
              </w:tblCellMar>
            </w:tblPr>
            <w:tblGrid>
              <w:gridCol w:w="5542"/>
              <w:gridCol w:w="1519"/>
              <w:gridCol w:w="729"/>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557" w:type="pct"/>
                  <w:tcBorders>
                    <w:tl2br w:val="nil"/>
                    <w:tr2bl w:val="nil"/>
                  </w:tcBorders>
                  <w:vAlign w:val="center"/>
                </w:tcPr>
                <w:p>
                  <w:pPr>
                    <w:spacing w:line="320" w:lineRule="exact"/>
                    <w:jc w:val="center"/>
                    <w:rPr>
                      <w:color w:val="auto"/>
                      <w:szCs w:val="21"/>
                    </w:rPr>
                  </w:pPr>
                  <w:r>
                    <w:rPr>
                      <w:color w:val="auto"/>
                      <w:szCs w:val="21"/>
                    </w:rPr>
                    <w:t>与项目相关要求</w:t>
                  </w:r>
                </w:p>
              </w:tc>
              <w:tc>
                <w:tcPr>
                  <w:tcW w:w="975" w:type="pct"/>
                  <w:tcBorders>
                    <w:tl2br w:val="nil"/>
                    <w:tr2bl w:val="nil"/>
                  </w:tcBorders>
                  <w:vAlign w:val="center"/>
                </w:tcPr>
                <w:p>
                  <w:pPr>
                    <w:spacing w:line="320" w:lineRule="exact"/>
                    <w:jc w:val="center"/>
                    <w:rPr>
                      <w:color w:val="auto"/>
                      <w:szCs w:val="21"/>
                    </w:rPr>
                  </w:pPr>
                  <w:r>
                    <w:rPr>
                      <w:color w:val="auto"/>
                      <w:szCs w:val="21"/>
                    </w:rPr>
                    <w:t>本项目情况</w:t>
                  </w:r>
                </w:p>
              </w:tc>
              <w:tc>
                <w:tcPr>
                  <w:tcW w:w="468" w:type="pct"/>
                  <w:tcBorders>
                    <w:tl2br w:val="nil"/>
                    <w:tr2bl w:val="nil"/>
                  </w:tcBorders>
                  <w:vAlign w:val="center"/>
                </w:tcPr>
                <w:p>
                  <w:pPr>
                    <w:spacing w:line="320" w:lineRule="exact"/>
                    <w:jc w:val="center"/>
                    <w:rPr>
                      <w:color w:val="auto"/>
                      <w:szCs w:val="21"/>
                    </w:rPr>
                  </w:pPr>
                  <w:r>
                    <w:rPr>
                      <w:color w:val="auto"/>
                      <w:szCs w:val="21"/>
                    </w:rPr>
                    <w:t>符合性</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557" w:type="pct"/>
                  <w:tcBorders>
                    <w:tl2br w:val="nil"/>
                    <w:tr2bl w:val="nil"/>
                  </w:tcBorders>
                  <w:vAlign w:val="center"/>
                </w:tcPr>
                <w:p>
                  <w:pPr>
                    <w:spacing w:line="320" w:lineRule="exact"/>
                    <w:rPr>
                      <w:color w:val="auto"/>
                      <w:szCs w:val="21"/>
                    </w:rPr>
                  </w:pPr>
                  <w:r>
                    <w:rPr>
                      <w:color w:val="auto"/>
                      <w:szCs w:val="21"/>
                    </w:rPr>
                    <w:t>大力推进低（无）VOCs含量原辅材料替代。将全面使用符合国家要求的低VOCs含量原辅材料的企业纳入正面清单和政府绿色采购清单。企业应建立原辅材料台账，记录VOCs原辅材料名称、成分、VOCs含量、采购量、使用量、库存量、回收方式、回收量等信息，并保存相关证明材料。采用符合国家有关低VOCs含量产品规定的涂料、油墨、胶粘剂等，排放浓度稳定达标且排放速率满足相关规定的，相应生产工序可不要求建设末端治理设施。使用的原辅材料VOCs含量（质量比）均低于10%的工序，可不要求采取无组织排放收集和处理措施。推进政府绿色采购，要求家具、印刷等政府定点招标采购企业优先使用低挥发性原辅材料，鼓励汽车维修等政府定点招标采购企业使用低挥发性原辅材料；将低VOCs含量产品纳入政府采购名录，并在政府投资项目中优先使用；引导将使用低VOCs含量涂料、胶粘剂等纳入政府采购装修合同环保条款。</w:t>
                  </w:r>
                </w:p>
              </w:tc>
              <w:tc>
                <w:tcPr>
                  <w:tcW w:w="975" w:type="pct"/>
                  <w:tcBorders>
                    <w:tl2br w:val="nil"/>
                    <w:tr2bl w:val="nil"/>
                  </w:tcBorders>
                  <w:vAlign w:val="center"/>
                </w:tcPr>
                <w:p>
                  <w:pPr>
                    <w:spacing w:line="320" w:lineRule="exact"/>
                    <w:rPr>
                      <w:color w:val="auto"/>
                      <w:szCs w:val="21"/>
                    </w:rPr>
                  </w:pPr>
                  <w:r>
                    <w:rPr>
                      <w:rFonts w:hint="eastAsia"/>
                      <w:color w:val="auto"/>
                    </w:rPr>
                    <w:t>本项目使用的胶粘剂为水性胶粘剂，属于</w:t>
                  </w:r>
                  <w:r>
                    <w:rPr>
                      <w:color w:val="auto"/>
                      <w:szCs w:val="21"/>
                    </w:rPr>
                    <w:t>VOCs含量</w:t>
                  </w:r>
                  <w:r>
                    <w:rPr>
                      <w:rFonts w:hint="eastAsia"/>
                      <w:color w:val="auto"/>
                    </w:rPr>
                    <w:t>低的</w:t>
                  </w:r>
                  <w:r>
                    <w:rPr>
                      <w:color w:val="auto"/>
                      <w:szCs w:val="21"/>
                    </w:rPr>
                    <w:t>原辅材料</w:t>
                  </w:r>
                  <w:r>
                    <w:rPr>
                      <w:rFonts w:hint="eastAsia"/>
                      <w:color w:val="auto"/>
                    </w:rPr>
                    <w:t>，其</w:t>
                  </w:r>
                  <w:r>
                    <w:rPr>
                      <w:color w:val="auto"/>
                      <w:szCs w:val="21"/>
                    </w:rPr>
                    <w:t>VOCs原</w:t>
                  </w:r>
                  <w:r>
                    <w:rPr>
                      <w:rFonts w:hint="eastAsia"/>
                      <w:color w:val="auto"/>
                      <w:szCs w:val="21"/>
                    </w:rPr>
                    <w:t>料情况建</w:t>
                  </w:r>
                  <w:r>
                    <w:rPr>
                      <w:rFonts w:hint="eastAsia"/>
                      <w:color w:val="auto"/>
                      <w:szCs w:val="21"/>
                      <w:highlight w:val="none"/>
                    </w:rPr>
                    <w:t>立了台账；</w:t>
                  </w:r>
                  <w:r>
                    <w:rPr>
                      <w:rFonts w:hint="eastAsia"/>
                      <w:color w:val="auto"/>
                      <w:highlight w:val="none"/>
                    </w:rPr>
                    <w:t>挥发性有机物</w:t>
                  </w:r>
                  <w:r>
                    <w:rPr>
                      <w:color w:val="auto"/>
                      <w:highlight w:val="none"/>
                    </w:rPr>
                    <w:t>集中收集后采取“</w:t>
                  </w:r>
                  <w:r>
                    <w:rPr>
                      <w:rFonts w:hint="eastAsia"/>
                      <w:color w:val="auto"/>
                      <w:highlight w:val="none"/>
                      <w:lang w:val="en-US" w:eastAsia="zh-CN"/>
                    </w:rPr>
                    <w:t>UV光解+二级</w:t>
                  </w:r>
                  <w:r>
                    <w:rPr>
                      <w:rFonts w:hint="eastAsia"/>
                      <w:color w:val="auto"/>
                      <w:highlight w:val="none"/>
                    </w:rPr>
                    <w:t>活性炭吸附</w:t>
                  </w:r>
                  <w:r>
                    <w:rPr>
                      <w:color w:val="auto"/>
                      <w:highlight w:val="none"/>
                    </w:rPr>
                    <w:t>”处理</w:t>
                  </w:r>
                  <w:r>
                    <w:rPr>
                      <w:rFonts w:hint="eastAsia"/>
                      <w:color w:val="auto"/>
                      <w:highlight w:val="none"/>
                    </w:rPr>
                    <w:t>工艺。</w:t>
                  </w:r>
                </w:p>
              </w:tc>
              <w:tc>
                <w:tcPr>
                  <w:tcW w:w="468" w:type="pct"/>
                  <w:tcBorders>
                    <w:tl2br w:val="nil"/>
                    <w:tr2bl w:val="nil"/>
                  </w:tcBorders>
                  <w:vAlign w:val="center"/>
                </w:tcPr>
                <w:p>
                  <w:pPr>
                    <w:spacing w:line="320" w:lineRule="exact"/>
                    <w:jc w:val="center"/>
                    <w:rPr>
                      <w:color w:val="auto"/>
                      <w:szCs w:val="21"/>
                    </w:rPr>
                  </w:pPr>
                  <w:r>
                    <w:rPr>
                      <w:color w:val="auto"/>
                      <w:szCs w:val="21"/>
                    </w:rPr>
                    <w:t>符合</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57" w:type="dxa"/>
                  <w:bottom w:w="0" w:type="dxa"/>
                  <w:right w:w="57" w:type="dxa"/>
                </w:tblCellMar>
              </w:tblPrEx>
              <w:trPr>
                <w:trHeight w:val="340" w:hRule="atLeast"/>
                <w:jc w:val="center"/>
              </w:trPr>
              <w:tc>
                <w:tcPr>
                  <w:tcW w:w="3557" w:type="pct"/>
                  <w:tcBorders>
                    <w:tl2br w:val="nil"/>
                    <w:tr2bl w:val="nil"/>
                  </w:tcBorders>
                  <w:vAlign w:val="center"/>
                </w:tcPr>
                <w:p>
                  <w:pPr>
                    <w:spacing w:line="320" w:lineRule="exact"/>
                    <w:rPr>
                      <w:color w:val="auto"/>
                      <w:szCs w:val="21"/>
                    </w:rPr>
                  </w:pPr>
                  <w:r>
                    <w:rPr>
                      <w:color w:val="auto"/>
                      <w:szCs w:val="21"/>
                    </w:rPr>
                    <w:t>2020年7月1日起，全面执行《挥发性有机物无组织排放控制标准》，重点区域应落实无组织排放特别控制要求。各地要加大标准生效时间、涉及行业及控制要求等宣贯力度，通过现场指导、组织培训、新媒体信息推送、发放明白纸等多种方式，督促指导企业对照标准要求开展含VOCs物料（包括含VOCs原辅材料、含VOCs产品、含VOCs废料以及有机聚合物材料等）储存、转移和输送、设备与管线组件泄漏、敞开液面逸散以及工艺过程等无组织排放环节排查整治，对达不到要求的加快整改。指导企业制定VOCs无组织排放控制规程，细化到具体工序和生产环节，以及启停机、检维修作业等，落实到具体责任人；健全内部考核制度，严格按照操作规程生产。</w:t>
                  </w:r>
                </w:p>
              </w:tc>
              <w:tc>
                <w:tcPr>
                  <w:tcW w:w="975" w:type="pct"/>
                  <w:tcBorders>
                    <w:tl2br w:val="nil"/>
                    <w:tr2bl w:val="nil"/>
                  </w:tcBorders>
                  <w:vAlign w:val="center"/>
                </w:tcPr>
                <w:p>
                  <w:pPr>
                    <w:spacing w:line="320" w:lineRule="exact"/>
                    <w:jc w:val="center"/>
                    <w:rPr>
                      <w:color w:val="auto"/>
                      <w:szCs w:val="21"/>
                    </w:rPr>
                  </w:pPr>
                  <w:r>
                    <w:rPr>
                      <w:color w:val="auto"/>
                      <w:szCs w:val="21"/>
                    </w:rPr>
                    <w:t>项目</w:t>
                  </w:r>
                  <w:r>
                    <w:rPr>
                      <w:rFonts w:hint="eastAsia"/>
                      <w:color w:val="auto"/>
                      <w:szCs w:val="21"/>
                    </w:rPr>
                    <w:t>无组织</w:t>
                  </w:r>
                  <w:r>
                    <w:rPr>
                      <w:color w:val="auto"/>
                      <w:szCs w:val="21"/>
                    </w:rPr>
                    <w:t>废气</w:t>
                  </w:r>
                  <w:r>
                    <w:rPr>
                      <w:rFonts w:hint="eastAsia"/>
                      <w:color w:val="auto"/>
                      <w:szCs w:val="21"/>
                    </w:rPr>
                    <w:t>执行</w:t>
                  </w:r>
                  <w:r>
                    <w:rPr>
                      <w:color w:val="auto"/>
                      <w:szCs w:val="21"/>
                    </w:rPr>
                    <w:t>《挥发性有机物无组织排放控制标准》</w:t>
                  </w:r>
                  <w:r>
                    <w:rPr>
                      <w:rFonts w:hint="eastAsia"/>
                      <w:color w:val="auto"/>
                      <w:szCs w:val="21"/>
                    </w:rPr>
                    <w:t>。</w:t>
                  </w:r>
                </w:p>
              </w:tc>
              <w:tc>
                <w:tcPr>
                  <w:tcW w:w="468" w:type="pct"/>
                  <w:tcBorders>
                    <w:tl2br w:val="nil"/>
                    <w:tr2bl w:val="nil"/>
                  </w:tcBorders>
                  <w:vAlign w:val="center"/>
                </w:tcPr>
                <w:p>
                  <w:pPr>
                    <w:spacing w:line="320" w:lineRule="exact"/>
                    <w:jc w:val="center"/>
                    <w:rPr>
                      <w:color w:val="auto"/>
                      <w:szCs w:val="21"/>
                    </w:rPr>
                  </w:pPr>
                  <w:r>
                    <w:rPr>
                      <w:color w:val="auto"/>
                      <w:szCs w:val="21"/>
                    </w:rPr>
                    <w:t>符合</w:t>
                  </w:r>
                </w:p>
              </w:tc>
            </w:tr>
          </w:tbl>
          <w:p>
            <w:pPr>
              <w:pStyle w:val="45"/>
              <w:spacing w:line="460" w:lineRule="exact"/>
              <w:ind w:firstLineChars="200"/>
              <w:jc w:val="left"/>
              <w:rPr>
                <w:rFonts w:eastAsia="宋体" w:cs="Times New Roman"/>
                <w:color w:val="auto"/>
              </w:rPr>
            </w:pPr>
            <w:r>
              <w:rPr>
                <w:rFonts w:eastAsia="宋体" w:cs="Times New Roman"/>
                <w:color w:val="auto"/>
              </w:rPr>
              <w:t>由上表可知，本项目符合《2020年挥发性有机物治理攻坚方案》（环大气[2020]33号）文件的相关要求。</w:t>
            </w:r>
          </w:p>
          <w:p>
            <w:pPr>
              <w:snapToGrid w:val="0"/>
              <w:spacing w:line="360" w:lineRule="auto"/>
              <w:rPr>
                <w:b/>
                <w:color w:val="auto"/>
                <w:sz w:val="24"/>
              </w:rPr>
            </w:pPr>
            <w:r>
              <w:rPr>
                <w:rFonts w:hint="eastAsia"/>
                <w:b/>
                <w:color w:val="auto"/>
                <w:sz w:val="24"/>
              </w:rPr>
              <w:t>7.与</w:t>
            </w:r>
            <w:r>
              <w:rPr>
                <w:b/>
                <w:color w:val="auto"/>
                <w:sz w:val="24"/>
              </w:rPr>
              <w:t>《重庆市产业投资准入工作手册》（</w:t>
            </w:r>
            <w:r>
              <w:rPr>
                <w:rFonts w:hint="eastAsia"/>
                <w:b/>
                <w:color w:val="auto"/>
              </w:rPr>
              <w:t>渝发改投资</w:t>
            </w:r>
            <w:r>
              <w:rPr>
                <w:rFonts w:hint="eastAsia" w:ascii="宋体" w:hAnsi="宋体" w:cs="宋体"/>
                <w:b/>
                <w:color w:val="auto"/>
              </w:rPr>
              <w:t>[</w:t>
            </w:r>
            <w:r>
              <w:rPr>
                <w:rFonts w:hint="eastAsia"/>
                <w:b/>
                <w:color w:val="auto"/>
              </w:rPr>
              <w:t>2022</w:t>
            </w:r>
            <w:r>
              <w:rPr>
                <w:rFonts w:hint="eastAsia" w:ascii="宋体" w:hAnsi="宋体" w:cs="宋体"/>
                <w:b/>
                <w:color w:val="auto"/>
              </w:rPr>
              <w:t>]</w:t>
            </w:r>
            <w:r>
              <w:rPr>
                <w:rFonts w:hint="eastAsia"/>
                <w:b/>
                <w:color w:val="auto"/>
              </w:rPr>
              <w:t>1436号</w:t>
            </w:r>
            <w:r>
              <w:rPr>
                <w:b/>
                <w:color w:val="auto"/>
                <w:sz w:val="24"/>
              </w:rPr>
              <w:t>）符合性分析</w:t>
            </w:r>
          </w:p>
          <w:p>
            <w:pPr>
              <w:adjustRightInd w:val="0"/>
              <w:snapToGrid w:val="0"/>
              <w:spacing w:line="360" w:lineRule="auto"/>
              <w:jc w:val="center"/>
              <w:rPr>
                <w:color w:val="auto"/>
                <w:sz w:val="21"/>
                <w:szCs w:val="21"/>
              </w:rPr>
            </w:pPr>
            <w:r>
              <w:rPr>
                <w:color w:val="auto"/>
                <w:sz w:val="21"/>
                <w:szCs w:val="21"/>
              </w:rPr>
              <w:t>表</w:t>
            </w:r>
            <w:r>
              <w:rPr>
                <w:rFonts w:hint="eastAsia"/>
                <w:color w:val="auto"/>
                <w:sz w:val="21"/>
                <w:szCs w:val="21"/>
              </w:rPr>
              <w:t>1.7</w:t>
            </w:r>
            <w:r>
              <w:rPr>
                <w:color w:val="auto"/>
                <w:sz w:val="21"/>
                <w:szCs w:val="21"/>
              </w:rPr>
              <w:t xml:space="preserve"> 重庆市产业投资准入工作手册符合性分析表</w:t>
            </w:r>
          </w:p>
          <w:tbl>
            <w:tblPr>
              <w:tblStyle w:val="22"/>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3954"/>
              <w:gridCol w:w="1808"/>
              <w:gridCol w:w="113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76" w:type="pct"/>
                  <w:tcBorders>
                    <w:top w:val="single" w:color="auto" w:sz="4" w:space="0"/>
                    <w:left w:val="nil"/>
                    <w:bottom w:val="single" w:color="auto" w:sz="4" w:space="0"/>
                    <w:right w:val="single" w:color="auto" w:sz="4" w:space="0"/>
                  </w:tcBorders>
                  <w:vAlign w:val="center"/>
                </w:tcPr>
                <w:p>
                  <w:pPr>
                    <w:adjustRightInd w:val="0"/>
                    <w:snapToGrid w:val="0"/>
                    <w:jc w:val="center"/>
                    <w:rPr>
                      <w:color w:val="auto"/>
                      <w:szCs w:val="21"/>
                    </w:rPr>
                  </w:pPr>
                  <w:r>
                    <w:rPr>
                      <w:color w:val="auto"/>
                      <w:szCs w:val="21"/>
                    </w:rPr>
                    <w:t>区域</w:t>
                  </w:r>
                </w:p>
              </w:tc>
              <w:tc>
                <w:tcPr>
                  <w:tcW w:w="2537"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jc w:val="center"/>
                    <w:rPr>
                      <w:color w:val="auto"/>
                      <w:szCs w:val="21"/>
                    </w:rPr>
                  </w:pPr>
                  <w:r>
                    <w:rPr>
                      <w:color w:val="auto"/>
                      <w:szCs w:val="21"/>
                    </w:rPr>
                    <w:t>不予准入项目</w:t>
                  </w:r>
                </w:p>
              </w:tc>
              <w:tc>
                <w:tcPr>
                  <w:tcW w:w="116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color w:val="auto"/>
                      <w:szCs w:val="21"/>
                    </w:rPr>
                    <w:t>项目情况</w:t>
                  </w:r>
                </w:p>
              </w:tc>
              <w:tc>
                <w:tcPr>
                  <w:tcW w:w="725" w:type="pct"/>
                  <w:tcBorders>
                    <w:top w:val="single" w:color="auto" w:sz="4" w:space="0"/>
                    <w:left w:val="single" w:color="auto" w:sz="4" w:space="0"/>
                    <w:bottom w:val="single" w:color="auto" w:sz="4" w:space="0"/>
                    <w:right w:val="nil"/>
                  </w:tcBorders>
                  <w:vAlign w:val="center"/>
                </w:tcPr>
                <w:p>
                  <w:pPr>
                    <w:adjustRightInd w:val="0"/>
                    <w:snapToGrid w:val="0"/>
                    <w:jc w:val="center"/>
                    <w:rPr>
                      <w:color w:val="auto"/>
                      <w:szCs w:val="21"/>
                    </w:rPr>
                  </w:pPr>
                  <w:r>
                    <w:rPr>
                      <w:color w:val="auto"/>
                      <w:szCs w:val="21"/>
                    </w:rPr>
                    <w:t>符合性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76" w:type="pct"/>
                  <w:vMerge w:val="restart"/>
                  <w:tcBorders>
                    <w:top w:val="single" w:color="auto" w:sz="4" w:space="0"/>
                    <w:left w:val="nil"/>
                    <w:right w:val="single" w:color="auto" w:sz="4" w:space="0"/>
                  </w:tcBorders>
                  <w:vAlign w:val="center"/>
                </w:tcPr>
                <w:p>
                  <w:pPr>
                    <w:adjustRightInd w:val="0"/>
                    <w:snapToGrid w:val="0"/>
                    <w:jc w:val="center"/>
                    <w:rPr>
                      <w:color w:val="auto"/>
                      <w:szCs w:val="21"/>
                    </w:rPr>
                  </w:pPr>
                  <w:r>
                    <w:rPr>
                      <w:color w:val="auto"/>
                      <w:szCs w:val="21"/>
                      <w:shd w:val="clear" w:color="auto" w:fill="FFFFFF"/>
                    </w:rPr>
                    <w:t>全市范围</w:t>
                  </w:r>
                </w:p>
              </w:tc>
              <w:tc>
                <w:tcPr>
                  <w:tcW w:w="2537" w:type="pct"/>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rPr>
                  </w:pPr>
                  <w:r>
                    <w:rPr>
                      <w:color w:val="auto"/>
                      <w:szCs w:val="21"/>
                    </w:rPr>
                    <w:t>国家产业结构调整指导目录中的淘汰类项目</w:t>
                  </w:r>
                </w:p>
              </w:tc>
              <w:tc>
                <w:tcPr>
                  <w:tcW w:w="116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color w:val="auto"/>
                      <w:szCs w:val="21"/>
                    </w:rPr>
                    <w:t>本项目为允许类</w:t>
                  </w:r>
                </w:p>
              </w:tc>
              <w:tc>
                <w:tcPr>
                  <w:tcW w:w="725" w:type="pct"/>
                  <w:tcBorders>
                    <w:top w:val="single" w:color="auto" w:sz="4" w:space="0"/>
                    <w:left w:val="single" w:color="auto" w:sz="4" w:space="0"/>
                    <w:bottom w:val="single" w:color="auto" w:sz="4" w:space="0"/>
                    <w:right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vMerge w:val="continue"/>
                  <w:tcBorders>
                    <w:left w:val="nil"/>
                    <w:right w:val="single" w:color="auto" w:sz="4" w:space="0"/>
                  </w:tcBorders>
                  <w:vAlign w:val="center"/>
                </w:tcPr>
                <w:p>
                  <w:pPr>
                    <w:widowControl/>
                    <w:adjustRightInd w:val="0"/>
                    <w:snapToGrid w:val="0"/>
                    <w:jc w:val="left"/>
                    <w:rPr>
                      <w:color w:val="auto"/>
                      <w:szCs w:val="21"/>
                    </w:rPr>
                  </w:pPr>
                </w:p>
              </w:tc>
              <w:tc>
                <w:tcPr>
                  <w:tcW w:w="2537" w:type="pct"/>
                  <w:tcBorders>
                    <w:top w:val="single" w:color="auto" w:sz="4" w:space="0"/>
                    <w:left w:val="single" w:color="auto" w:sz="4" w:space="0"/>
                    <w:right w:val="single" w:color="auto" w:sz="4" w:space="0"/>
                  </w:tcBorders>
                  <w:vAlign w:val="center"/>
                </w:tcPr>
                <w:p>
                  <w:pPr>
                    <w:adjustRightInd w:val="0"/>
                    <w:snapToGrid w:val="0"/>
                    <w:rPr>
                      <w:color w:val="auto"/>
                      <w:szCs w:val="21"/>
                    </w:rPr>
                  </w:pPr>
                  <w:r>
                    <w:rPr>
                      <w:color w:val="auto"/>
                      <w:szCs w:val="21"/>
                    </w:rPr>
                    <w:t>天然林商业性采伐</w:t>
                  </w:r>
                </w:p>
              </w:tc>
              <w:tc>
                <w:tcPr>
                  <w:tcW w:w="1160" w:type="pct"/>
                  <w:tcBorders>
                    <w:top w:val="single" w:color="auto" w:sz="4" w:space="0"/>
                    <w:left w:val="single" w:color="auto" w:sz="4" w:space="0"/>
                    <w:right w:val="single" w:color="auto" w:sz="4" w:space="0"/>
                  </w:tcBorders>
                  <w:vAlign w:val="center"/>
                </w:tcPr>
                <w:p>
                  <w:pPr>
                    <w:adjustRightInd w:val="0"/>
                    <w:snapToGrid w:val="0"/>
                    <w:rPr>
                      <w:color w:val="auto"/>
                      <w:szCs w:val="21"/>
                    </w:rPr>
                  </w:pPr>
                  <w:r>
                    <w:rPr>
                      <w:color w:val="auto"/>
                      <w:szCs w:val="21"/>
                    </w:rPr>
                    <w:t>本项目不进行天然林采伐</w:t>
                  </w:r>
                </w:p>
              </w:tc>
              <w:tc>
                <w:tcPr>
                  <w:tcW w:w="725" w:type="pct"/>
                  <w:tcBorders>
                    <w:top w:val="single" w:color="auto" w:sz="4" w:space="0"/>
                    <w:left w:val="single" w:color="auto" w:sz="4" w:space="0"/>
                    <w:bottom w:val="single" w:color="auto" w:sz="4" w:space="0"/>
                    <w:right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vMerge w:val="continue"/>
                  <w:tcBorders>
                    <w:left w:val="nil"/>
                    <w:right w:val="single" w:color="auto" w:sz="4" w:space="0"/>
                  </w:tcBorders>
                  <w:vAlign w:val="center"/>
                </w:tcPr>
                <w:p>
                  <w:pPr>
                    <w:widowControl/>
                    <w:adjustRightInd w:val="0"/>
                    <w:snapToGrid w:val="0"/>
                    <w:jc w:val="left"/>
                    <w:rPr>
                      <w:color w:val="auto"/>
                      <w:szCs w:val="21"/>
                    </w:rPr>
                  </w:pPr>
                </w:p>
              </w:tc>
              <w:tc>
                <w:tcPr>
                  <w:tcW w:w="2537" w:type="pct"/>
                  <w:tcBorders>
                    <w:top w:val="single" w:color="auto" w:sz="4" w:space="0"/>
                    <w:left w:val="single" w:color="auto" w:sz="4" w:space="0"/>
                    <w:right w:val="single" w:color="auto" w:sz="4" w:space="0"/>
                  </w:tcBorders>
                  <w:vAlign w:val="center"/>
                </w:tcPr>
                <w:p>
                  <w:pPr>
                    <w:pStyle w:val="19"/>
                    <w:adjustRightInd w:val="0"/>
                    <w:snapToGrid w:val="0"/>
                    <w:spacing w:before="0" w:beforeAutospacing="0" w:after="0" w:afterAutospacing="0"/>
                    <w:rPr>
                      <w:rFonts w:ascii="Times New Roman" w:hAnsi="Times New Roman" w:cs="Times New Roman"/>
                      <w:color w:val="auto"/>
                      <w:sz w:val="21"/>
                      <w:szCs w:val="21"/>
                    </w:rPr>
                  </w:pPr>
                  <w:r>
                    <w:rPr>
                      <w:rFonts w:ascii="Times New Roman" w:hAnsi="Times New Roman" w:cs="Times New Roman"/>
                      <w:color w:val="auto"/>
                      <w:sz w:val="21"/>
                      <w:szCs w:val="21"/>
                      <w:shd w:val="clear" w:color="auto" w:fill="FFFFFF"/>
                    </w:rPr>
                    <w:t>法律法规和相关政策明令不予准入的其他项目</w:t>
                  </w:r>
                </w:p>
              </w:tc>
              <w:tc>
                <w:tcPr>
                  <w:tcW w:w="1160" w:type="pct"/>
                  <w:tcBorders>
                    <w:top w:val="single" w:color="auto" w:sz="4" w:space="0"/>
                    <w:left w:val="single" w:color="auto" w:sz="4" w:space="0"/>
                    <w:right w:val="single" w:color="auto" w:sz="4" w:space="0"/>
                  </w:tcBorders>
                  <w:vAlign w:val="center"/>
                </w:tcPr>
                <w:p>
                  <w:pPr>
                    <w:pStyle w:val="19"/>
                    <w:adjustRightInd w:val="0"/>
                    <w:snapToGrid w:val="0"/>
                    <w:spacing w:before="0" w:beforeAutospacing="0" w:after="0" w:afterAutospacing="0"/>
                    <w:rPr>
                      <w:rFonts w:ascii="Times New Roman" w:hAnsi="Times New Roman" w:cs="Times New Roman"/>
                      <w:color w:val="auto"/>
                      <w:sz w:val="21"/>
                      <w:szCs w:val="21"/>
                    </w:rPr>
                  </w:pPr>
                  <w:r>
                    <w:rPr>
                      <w:rFonts w:ascii="Times New Roman" w:hAnsi="Times New Roman" w:cs="Times New Roman"/>
                      <w:color w:val="auto"/>
                      <w:sz w:val="21"/>
                      <w:szCs w:val="21"/>
                    </w:rPr>
                    <w:t>本项目不属于法律立规和相关</w:t>
                  </w:r>
                  <w:r>
                    <w:rPr>
                      <w:rFonts w:ascii="Times New Roman" w:hAnsi="Times New Roman" w:cs="Times New Roman"/>
                      <w:color w:val="auto"/>
                      <w:sz w:val="21"/>
                      <w:szCs w:val="21"/>
                      <w:shd w:val="clear" w:color="auto" w:fill="FFFFFF"/>
                    </w:rPr>
                    <w:t>政策明令不予准入的其他项目</w:t>
                  </w:r>
                </w:p>
              </w:tc>
              <w:tc>
                <w:tcPr>
                  <w:tcW w:w="725" w:type="pct"/>
                  <w:tcBorders>
                    <w:top w:val="single" w:color="auto" w:sz="4" w:space="0"/>
                    <w:left w:val="single" w:color="auto" w:sz="4" w:space="0"/>
                    <w:bottom w:val="single" w:color="auto" w:sz="4" w:space="0"/>
                    <w:right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vMerge w:val="restart"/>
                  <w:tcBorders>
                    <w:left w:val="nil"/>
                    <w:right w:val="single" w:color="auto" w:sz="4" w:space="0"/>
                  </w:tcBorders>
                  <w:vAlign w:val="center"/>
                </w:tcPr>
                <w:p>
                  <w:pPr>
                    <w:widowControl/>
                    <w:adjustRightInd w:val="0"/>
                    <w:snapToGrid w:val="0"/>
                    <w:jc w:val="center"/>
                    <w:rPr>
                      <w:color w:val="auto"/>
                      <w:szCs w:val="21"/>
                    </w:rPr>
                  </w:pPr>
                  <w:r>
                    <w:rPr>
                      <w:color w:val="auto"/>
                      <w:szCs w:val="21"/>
                      <w:shd w:val="clear" w:color="auto" w:fill="FFFFFF"/>
                    </w:rPr>
                    <w:t>重点区域范围</w:t>
                  </w:r>
                </w:p>
              </w:tc>
              <w:tc>
                <w:tcPr>
                  <w:tcW w:w="2537" w:type="pct"/>
                  <w:tcBorders>
                    <w:top w:val="single" w:color="auto" w:sz="4" w:space="0"/>
                    <w:left w:val="single" w:color="auto" w:sz="4" w:space="0"/>
                    <w:bottom w:val="single" w:color="auto" w:sz="4" w:space="0"/>
                    <w:right w:val="single" w:color="auto" w:sz="4" w:space="0"/>
                  </w:tcBorders>
                </w:tcPr>
                <w:p>
                  <w:pPr>
                    <w:adjustRightInd w:val="0"/>
                    <w:snapToGrid w:val="0"/>
                    <w:rPr>
                      <w:color w:val="auto"/>
                      <w:szCs w:val="21"/>
                    </w:rPr>
                  </w:pPr>
                  <w:r>
                    <w:rPr>
                      <w:color w:val="auto"/>
                      <w:szCs w:val="21"/>
                      <w:shd w:val="clear" w:color="auto" w:fill="FFFFFF"/>
                    </w:rPr>
                    <w:t>外环绕城高速公路以内长江、嘉陵江水域采砂</w:t>
                  </w:r>
                </w:p>
              </w:tc>
              <w:tc>
                <w:tcPr>
                  <w:tcW w:w="1160" w:type="pct"/>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rPr>
                  </w:pPr>
                  <w:r>
                    <w:rPr>
                      <w:rFonts w:hint="eastAsia"/>
                      <w:color w:val="auto"/>
                      <w:szCs w:val="21"/>
                    </w:rPr>
                    <w:t>本项目不属于采砂项目</w:t>
                  </w:r>
                </w:p>
              </w:tc>
              <w:tc>
                <w:tcPr>
                  <w:tcW w:w="725" w:type="pct"/>
                  <w:tcBorders>
                    <w:top w:val="single" w:color="auto" w:sz="4" w:space="0"/>
                    <w:left w:val="single" w:color="auto" w:sz="4" w:space="0"/>
                    <w:bottom w:val="single" w:color="auto" w:sz="4" w:space="0"/>
                    <w:right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vMerge w:val="continue"/>
                  <w:tcBorders>
                    <w:left w:val="nil"/>
                    <w:right w:val="single" w:color="auto" w:sz="4" w:space="0"/>
                  </w:tcBorders>
                  <w:vAlign w:val="center"/>
                </w:tcPr>
                <w:p>
                  <w:pPr>
                    <w:widowControl/>
                    <w:adjustRightInd w:val="0"/>
                    <w:snapToGrid w:val="0"/>
                    <w:jc w:val="left"/>
                    <w:rPr>
                      <w:color w:val="auto"/>
                      <w:szCs w:val="21"/>
                    </w:rPr>
                  </w:pPr>
                </w:p>
              </w:tc>
              <w:tc>
                <w:tcPr>
                  <w:tcW w:w="2537" w:type="pct"/>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rPr>
                  </w:pPr>
                  <w:r>
                    <w:rPr>
                      <w:color w:val="auto"/>
                      <w:szCs w:val="21"/>
                      <w:shd w:val="clear" w:color="auto" w:fill="FFFFFF"/>
                    </w:rPr>
                    <w:t>二十五度以上陡坡地开垦种植农作物</w:t>
                  </w:r>
                </w:p>
              </w:tc>
              <w:tc>
                <w:tcPr>
                  <w:tcW w:w="1160" w:type="pct"/>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rPr>
                  </w:pPr>
                  <w:r>
                    <w:rPr>
                      <w:rFonts w:hint="eastAsia"/>
                      <w:color w:val="auto"/>
                      <w:szCs w:val="21"/>
                    </w:rPr>
                    <w:t>本项目</w:t>
                  </w:r>
                  <w:r>
                    <w:rPr>
                      <w:color w:val="auto"/>
                      <w:szCs w:val="21"/>
                    </w:rPr>
                    <w:t>不进行陡坡地开垦种植农作物</w:t>
                  </w:r>
                </w:p>
              </w:tc>
              <w:tc>
                <w:tcPr>
                  <w:tcW w:w="725" w:type="pct"/>
                  <w:tcBorders>
                    <w:top w:val="single" w:color="auto" w:sz="4" w:space="0"/>
                    <w:left w:val="single" w:color="auto" w:sz="4" w:space="0"/>
                    <w:bottom w:val="single" w:color="auto" w:sz="4" w:space="0"/>
                    <w:right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576" w:type="pct"/>
                  <w:vMerge w:val="continue"/>
                  <w:tcBorders>
                    <w:left w:val="nil"/>
                    <w:right w:val="single" w:color="auto" w:sz="4" w:space="0"/>
                  </w:tcBorders>
                  <w:vAlign w:val="center"/>
                </w:tcPr>
                <w:p>
                  <w:pPr>
                    <w:widowControl/>
                    <w:adjustRightInd w:val="0"/>
                    <w:snapToGrid w:val="0"/>
                    <w:jc w:val="left"/>
                    <w:rPr>
                      <w:color w:val="auto"/>
                      <w:szCs w:val="21"/>
                    </w:rPr>
                  </w:pPr>
                </w:p>
              </w:tc>
              <w:tc>
                <w:tcPr>
                  <w:tcW w:w="2537" w:type="pct"/>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rPr>
                  </w:pPr>
                  <w:r>
                    <w:rPr>
                      <w:color w:val="auto"/>
                      <w:szCs w:val="21"/>
                      <w:shd w:val="clear" w:color="auto" w:fill="FFFFFF"/>
                    </w:rPr>
                    <w:t>在自然保护区核心区、缓冲区的岸线和河段范围内投资建设旅游和生产经营项目</w:t>
                  </w:r>
                </w:p>
              </w:tc>
              <w:tc>
                <w:tcPr>
                  <w:tcW w:w="1160" w:type="pct"/>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rPr>
                  </w:pPr>
                  <w:r>
                    <w:rPr>
                      <w:rFonts w:hint="eastAsia"/>
                      <w:color w:val="auto"/>
                      <w:szCs w:val="21"/>
                    </w:rPr>
                    <w:t>本项目涉及</w:t>
                  </w:r>
                  <w:r>
                    <w:rPr>
                      <w:color w:val="auto"/>
                      <w:szCs w:val="21"/>
                      <w:shd w:val="clear" w:color="auto" w:fill="FFFFFF"/>
                    </w:rPr>
                    <w:t>自然保护区核心区、缓冲区的岸线和河段范围</w:t>
                  </w:r>
                </w:p>
              </w:tc>
              <w:tc>
                <w:tcPr>
                  <w:tcW w:w="725" w:type="pct"/>
                  <w:tcBorders>
                    <w:top w:val="single" w:color="auto" w:sz="4" w:space="0"/>
                    <w:left w:val="single" w:color="auto" w:sz="4" w:space="0"/>
                    <w:bottom w:val="single" w:color="auto" w:sz="4" w:space="0"/>
                    <w:right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vMerge w:val="continue"/>
                  <w:tcBorders>
                    <w:left w:val="nil"/>
                    <w:right w:val="single" w:color="auto" w:sz="4" w:space="0"/>
                  </w:tcBorders>
                  <w:vAlign w:val="center"/>
                </w:tcPr>
                <w:p>
                  <w:pPr>
                    <w:widowControl/>
                    <w:adjustRightInd w:val="0"/>
                    <w:snapToGrid w:val="0"/>
                    <w:jc w:val="left"/>
                    <w:rPr>
                      <w:color w:val="auto"/>
                      <w:szCs w:val="21"/>
                    </w:rPr>
                  </w:pPr>
                </w:p>
              </w:tc>
              <w:tc>
                <w:tcPr>
                  <w:tcW w:w="2537" w:type="pct"/>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rPr>
                  </w:pPr>
                  <w:r>
                    <w:rPr>
                      <w:color w:val="auto"/>
                      <w:szCs w:val="21"/>
                      <w:shd w:val="clear" w:color="auto" w:fill="FFFFFF"/>
                    </w:rPr>
                    <w:t>饮用水水源一级保护区的岸线和河段范围内新建、改建、扩建与供水设施和保护水源无关的项目，以及网箱养殖、畜禽养殖、放养畜禽、旅游等可能污染饮用水水体的投资建设项目。在饮用水水源二级保护区的岸线和河段范围内新建、改建、扩建排放污染物的投资建设项目。</w:t>
                  </w:r>
                </w:p>
              </w:tc>
              <w:tc>
                <w:tcPr>
                  <w:tcW w:w="1160" w:type="pct"/>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rPr>
                  </w:pPr>
                  <w:r>
                    <w:rPr>
                      <w:rFonts w:hint="eastAsia"/>
                      <w:color w:val="auto"/>
                      <w:szCs w:val="21"/>
                    </w:rPr>
                    <w:t>本项目不涉及</w:t>
                  </w:r>
                  <w:r>
                    <w:rPr>
                      <w:color w:val="auto"/>
                      <w:szCs w:val="21"/>
                      <w:shd w:val="clear" w:color="auto" w:fill="FFFFFF"/>
                    </w:rPr>
                    <w:t>饮用水水源一级保护区的岸线和河段</w:t>
                  </w:r>
                  <w:r>
                    <w:rPr>
                      <w:rFonts w:hint="eastAsia"/>
                      <w:color w:val="auto"/>
                      <w:szCs w:val="21"/>
                      <w:shd w:val="clear" w:color="auto" w:fill="FFFFFF"/>
                    </w:rPr>
                    <w:t>，不涉及</w:t>
                  </w:r>
                  <w:r>
                    <w:rPr>
                      <w:color w:val="auto"/>
                      <w:szCs w:val="21"/>
                      <w:shd w:val="clear" w:color="auto" w:fill="FFFFFF"/>
                    </w:rPr>
                    <w:t>饮用水水源二级保护区的岸线和河段</w:t>
                  </w:r>
                </w:p>
              </w:tc>
              <w:tc>
                <w:tcPr>
                  <w:tcW w:w="725" w:type="pct"/>
                  <w:tcBorders>
                    <w:top w:val="single" w:color="auto" w:sz="4" w:space="0"/>
                    <w:left w:val="single" w:color="auto" w:sz="4" w:space="0"/>
                    <w:bottom w:val="single" w:color="auto" w:sz="4" w:space="0"/>
                    <w:right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vMerge w:val="continue"/>
                  <w:tcBorders>
                    <w:left w:val="nil"/>
                    <w:right w:val="single" w:color="auto" w:sz="4" w:space="0"/>
                  </w:tcBorders>
                  <w:vAlign w:val="center"/>
                </w:tcPr>
                <w:p>
                  <w:pPr>
                    <w:widowControl/>
                    <w:adjustRightInd w:val="0"/>
                    <w:snapToGrid w:val="0"/>
                    <w:jc w:val="left"/>
                    <w:rPr>
                      <w:color w:val="auto"/>
                      <w:szCs w:val="21"/>
                    </w:rPr>
                  </w:pPr>
                </w:p>
              </w:tc>
              <w:tc>
                <w:tcPr>
                  <w:tcW w:w="2537" w:type="pct"/>
                  <w:tcBorders>
                    <w:top w:val="single" w:color="auto" w:sz="4" w:space="0"/>
                    <w:left w:val="single" w:color="auto" w:sz="4" w:space="0"/>
                    <w:bottom w:val="single" w:color="auto" w:sz="4" w:space="0"/>
                    <w:right w:val="single" w:color="auto" w:sz="4" w:space="0"/>
                  </w:tcBorders>
                </w:tcPr>
                <w:p>
                  <w:pPr>
                    <w:pStyle w:val="19"/>
                    <w:adjustRightInd w:val="0"/>
                    <w:snapToGrid w:val="0"/>
                    <w:spacing w:before="0" w:beforeAutospacing="0" w:after="0" w:afterAutospacing="0"/>
                    <w:rPr>
                      <w:rFonts w:ascii="Times New Roman" w:hAnsi="Times New Roman" w:cs="Times New Roman"/>
                      <w:color w:val="auto"/>
                      <w:sz w:val="21"/>
                      <w:szCs w:val="21"/>
                    </w:rPr>
                  </w:pPr>
                  <w:r>
                    <w:rPr>
                      <w:rFonts w:ascii="Times New Roman" w:hAnsi="Times New Roman" w:cs="Times New Roman"/>
                      <w:color w:val="auto"/>
                      <w:sz w:val="21"/>
                      <w:szCs w:val="21"/>
                      <w:shd w:val="clear" w:color="auto" w:fill="FFFFFF"/>
                    </w:rPr>
                    <w:t>长江干流岸线3公里范围内和重要支流岸线1公里范围内新建、改建、扩建尾矿库、冶炼渣库和磷石膏库（以提升安全、生态环境保护水平为目的的改建除外）。</w:t>
                  </w:r>
                </w:p>
              </w:tc>
              <w:tc>
                <w:tcPr>
                  <w:tcW w:w="1160" w:type="pct"/>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rPr>
                  </w:pPr>
                  <w:r>
                    <w:rPr>
                      <w:rFonts w:hint="eastAsia"/>
                      <w:color w:val="auto"/>
                      <w:szCs w:val="21"/>
                    </w:rPr>
                    <w:t>本项目不属于</w:t>
                  </w:r>
                  <w:r>
                    <w:rPr>
                      <w:color w:val="auto"/>
                      <w:szCs w:val="21"/>
                      <w:shd w:val="clear" w:color="auto" w:fill="FFFFFF"/>
                    </w:rPr>
                    <w:t>尾矿库、冶炼渣库和磷石膏库</w:t>
                  </w:r>
                  <w:r>
                    <w:rPr>
                      <w:rFonts w:hint="eastAsia"/>
                      <w:color w:val="auto"/>
                      <w:szCs w:val="21"/>
                      <w:shd w:val="clear" w:color="auto" w:fill="FFFFFF"/>
                    </w:rPr>
                    <w:t>项目</w:t>
                  </w:r>
                </w:p>
              </w:tc>
              <w:tc>
                <w:tcPr>
                  <w:tcW w:w="725" w:type="pct"/>
                  <w:tcBorders>
                    <w:top w:val="single" w:color="auto" w:sz="4" w:space="0"/>
                    <w:left w:val="single" w:color="auto" w:sz="4" w:space="0"/>
                    <w:bottom w:val="single" w:color="auto" w:sz="4" w:space="0"/>
                    <w:right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vMerge w:val="continue"/>
                  <w:tcBorders>
                    <w:left w:val="nil"/>
                    <w:right w:val="single" w:color="auto" w:sz="4" w:space="0"/>
                  </w:tcBorders>
                  <w:vAlign w:val="center"/>
                </w:tcPr>
                <w:p>
                  <w:pPr>
                    <w:widowControl/>
                    <w:adjustRightInd w:val="0"/>
                    <w:snapToGrid w:val="0"/>
                    <w:jc w:val="left"/>
                    <w:rPr>
                      <w:color w:val="auto"/>
                      <w:szCs w:val="21"/>
                    </w:rPr>
                  </w:pPr>
                </w:p>
              </w:tc>
              <w:tc>
                <w:tcPr>
                  <w:tcW w:w="2537" w:type="pct"/>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rPr>
                  </w:pPr>
                  <w:r>
                    <w:rPr>
                      <w:color w:val="auto"/>
                      <w:szCs w:val="21"/>
                      <w:shd w:val="clear" w:color="auto" w:fill="FFFFFF"/>
                    </w:rPr>
                    <w:t>在风景名胜区核心景区的岸线和河段范围内投资建设与风景名胜资源保护无关的项目。</w:t>
                  </w:r>
                </w:p>
              </w:tc>
              <w:tc>
                <w:tcPr>
                  <w:tcW w:w="1160" w:type="pct"/>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rPr>
                  </w:pPr>
                  <w:r>
                    <w:rPr>
                      <w:rFonts w:hint="eastAsia"/>
                      <w:color w:val="auto"/>
                      <w:szCs w:val="21"/>
                    </w:rPr>
                    <w:t>本项目不涉及</w:t>
                  </w:r>
                  <w:r>
                    <w:rPr>
                      <w:rFonts w:hint="eastAsia"/>
                      <w:color w:val="auto"/>
                      <w:szCs w:val="21"/>
                      <w:shd w:val="clear" w:color="auto" w:fill="FFFFFF"/>
                    </w:rPr>
                    <w:t>风景名胜区</w:t>
                  </w:r>
                  <w:r>
                    <w:rPr>
                      <w:color w:val="auto"/>
                      <w:szCs w:val="21"/>
                      <w:shd w:val="clear" w:color="auto" w:fill="FFFFFF"/>
                    </w:rPr>
                    <w:t>核心景区的岸线和河段</w:t>
                  </w:r>
                </w:p>
              </w:tc>
              <w:tc>
                <w:tcPr>
                  <w:tcW w:w="725" w:type="pct"/>
                  <w:tcBorders>
                    <w:top w:val="single" w:color="auto" w:sz="4" w:space="0"/>
                    <w:left w:val="single" w:color="auto" w:sz="4" w:space="0"/>
                    <w:bottom w:val="single" w:color="auto" w:sz="4" w:space="0"/>
                    <w:right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vMerge w:val="continue"/>
                  <w:tcBorders>
                    <w:left w:val="nil"/>
                    <w:right w:val="single" w:color="auto" w:sz="4" w:space="0"/>
                  </w:tcBorders>
                  <w:vAlign w:val="center"/>
                </w:tcPr>
                <w:p>
                  <w:pPr>
                    <w:widowControl/>
                    <w:adjustRightInd w:val="0"/>
                    <w:snapToGrid w:val="0"/>
                    <w:jc w:val="left"/>
                    <w:rPr>
                      <w:color w:val="auto"/>
                      <w:szCs w:val="21"/>
                    </w:rPr>
                  </w:pPr>
                </w:p>
              </w:tc>
              <w:tc>
                <w:tcPr>
                  <w:tcW w:w="2537" w:type="pct"/>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rPr>
                  </w:pPr>
                  <w:r>
                    <w:rPr>
                      <w:color w:val="auto"/>
                      <w:szCs w:val="21"/>
                      <w:shd w:val="clear" w:color="auto" w:fill="FFFFFF"/>
                    </w:rPr>
                    <w:t>在国家湿地公园的岸线和河段范围内挖沙、采矿，以及任何不符合主体功能定位的投资建设项目</w:t>
                  </w:r>
                </w:p>
              </w:tc>
              <w:tc>
                <w:tcPr>
                  <w:tcW w:w="1160" w:type="pct"/>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rPr>
                  </w:pPr>
                  <w:r>
                    <w:rPr>
                      <w:rFonts w:hint="eastAsia"/>
                      <w:color w:val="auto"/>
                      <w:szCs w:val="21"/>
                    </w:rPr>
                    <w:t>本项目不涉及</w:t>
                  </w:r>
                  <w:r>
                    <w:rPr>
                      <w:color w:val="auto"/>
                      <w:szCs w:val="21"/>
                      <w:shd w:val="clear" w:color="auto" w:fill="FFFFFF"/>
                    </w:rPr>
                    <w:t>国家湿地公园的岸线和河段范围</w:t>
                  </w:r>
                </w:p>
              </w:tc>
              <w:tc>
                <w:tcPr>
                  <w:tcW w:w="725" w:type="pct"/>
                  <w:tcBorders>
                    <w:top w:val="single" w:color="auto" w:sz="4" w:space="0"/>
                    <w:left w:val="single" w:color="auto" w:sz="4" w:space="0"/>
                    <w:bottom w:val="single" w:color="auto" w:sz="4" w:space="0"/>
                    <w:right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vMerge w:val="continue"/>
                  <w:tcBorders>
                    <w:left w:val="nil"/>
                    <w:right w:val="single" w:color="auto" w:sz="4" w:space="0"/>
                  </w:tcBorders>
                  <w:vAlign w:val="center"/>
                </w:tcPr>
                <w:p>
                  <w:pPr>
                    <w:widowControl/>
                    <w:adjustRightInd w:val="0"/>
                    <w:snapToGrid w:val="0"/>
                    <w:jc w:val="left"/>
                    <w:rPr>
                      <w:color w:val="auto"/>
                      <w:szCs w:val="21"/>
                    </w:rPr>
                  </w:pPr>
                </w:p>
              </w:tc>
              <w:tc>
                <w:tcPr>
                  <w:tcW w:w="2537" w:type="pct"/>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rPr>
                  </w:pPr>
                  <w:r>
                    <w:rPr>
                      <w:color w:val="auto"/>
                      <w:szCs w:val="21"/>
                      <w:shd w:val="clear" w:color="auto" w:fill="FFFFFF"/>
                    </w:rPr>
                    <w:t>在《长江岸线保护和开发利用总体规划》划定的岸线保护区和保留区内投资建设除事关公共安全及公众利益的防洪护岸、河道治理、供水、生态环境保护、航道整治、国家重要基础设施以外的项目。</w:t>
                  </w:r>
                </w:p>
              </w:tc>
              <w:tc>
                <w:tcPr>
                  <w:tcW w:w="1160" w:type="pct"/>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rPr>
                  </w:pPr>
                  <w:r>
                    <w:rPr>
                      <w:rFonts w:hint="eastAsia"/>
                      <w:color w:val="auto"/>
                      <w:szCs w:val="21"/>
                    </w:rPr>
                    <w:t>本项目不涉及</w:t>
                  </w:r>
                  <w:r>
                    <w:rPr>
                      <w:color w:val="auto"/>
                      <w:szCs w:val="21"/>
                      <w:shd w:val="clear" w:color="auto" w:fill="FFFFFF"/>
                    </w:rPr>
                    <w:t>长江岸线保护和开发利用总体规划》划定的岸线保护区和保留区</w:t>
                  </w:r>
                </w:p>
              </w:tc>
              <w:tc>
                <w:tcPr>
                  <w:tcW w:w="725" w:type="pct"/>
                  <w:tcBorders>
                    <w:top w:val="single" w:color="auto" w:sz="4" w:space="0"/>
                    <w:left w:val="single" w:color="auto" w:sz="4" w:space="0"/>
                    <w:bottom w:val="single" w:color="auto" w:sz="4" w:space="0"/>
                    <w:right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vMerge w:val="continue"/>
                  <w:tcBorders>
                    <w:left w:val="nil"/>
                    <w:right w:val="single" w:color="auto" w:sz="4" w:space="0"/>
                  </w:tcBorders>
                  <w:vAlign w:val="center"/>
                </w:tcPr>
                <w:p>
                  <w:pPr>
                    <w:widowControl/>
                    <w:adjustRightInd w:val="0"/>
                    <w:snapToGrid w:val="0"/>
                    <w:jc w:val="left"/>
                    <w:rPr>
                      <w:color w:val="auto"/>
                      <w:szCs w:val="21"/>
                    </w:rPr>
                  </w:pPr>
                </w:p>
              </w:tc>
              <w:tc>
                <w:tcPr>
                  <w:tcW w:w="2537" w:type="pct"/>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rPr>
                  </w:pPr>
                  <w:r>
                    <w:rPr>
                      <w:color w:val="auto"/>
                      <w:szCs w:val="21"/>
                      <w:shd w:val="clear" w:color="auto" w:fill="FFFFFF"/>
                    </w:rPr>
                    <w:t>在《全国重要江河湖泊水功能区划》划定的河段及湖泊保护区、保留区内投资建设不利于水资源及自然生态保护的项目</w:t>
                  </w:r>
                </w:p>
              </w:tc>
              <w:tc>
                <w:tcPr>
                  <w:tcW w:w="1160" w:type="pct"/>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rPr>
                  </w:pPr>
                  <w:r>
                    <w:rPr>
                      <w:rFonts w:hint="eastAsia"/>
                      <w:color w:val="auto"/>
                      <w:szCs w:val="21"/>
                    </w:rPr>
                    <w:t>本项目不涉及</w:t>
                  </w:r>
                  <w:r>
                    <w:rPr>
                      <w:color w:val="auto"/>
                      <w:szCs w:val="21"/>
                      <w:shd w:val="clear" w:color="auto" w:fill="FFFFFF"/>
                    </w:rPr>
                    <w:t>《全国重要江河湖泊水功能区划》划定的河段及湖泊保护区、保留区</w:t>
                  </w:r>
                </w:p>
              </w:tc>
              <w:tc>
                <w:tcPr>
                  <w:tcW w:w="725" w:type="pct"/>
                  <w:tcBorders>
                    <w:top w:val="single" w:color="auto" w:sz="4" w:space="0"/>
                    <w:left w:val="single" w:color="auto" w:sz="4" w:space="0"/>
                    <w:bottom w:val="single" w:color="auto" w:sz="4" w:space="0"/>
                    <w:right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tcBorders>
                    <w:left w:val="nil"/>
                    <w:right w:val="single" w:color="auto" w:sz="4" w:space="0"/>
                  </w:tcBorders>
                  <w:vAlign w:val="center"/>
                </w:tcPr>
                <w:p>
                  <w:pPr>
                    <w:adjustRightInd w:val="0"/>
                    <w:snapToGrid w:val="0"/>
                    <w:jc w:val="center"/>
                    <w:rPr>
                      <w:color w:val="auto"/>
                      <w:szCs w:val="21"/>
                    </w:rPr>
                  </w:pPr>
                  <w:r>
                    <w:rPr>
                      <w:color w:val="auto"/>
                      <w:szCs w:val="21"/>
                    </w:rPr>
                    <w:t>区域</w:t>
                  </w:r>
                </w:p>
              </w:tc>
              <w:tc>
                <w:tcPr>
                  <w:tcW w:w="2537"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jc w:val="center"/>
                    <w:rPr>
                      <w:color w:val="auto"/>
                      <w:szCs w:val="21"/>
                    </w:rPr>
                  </w:pPr>
                  <w:r>
                    <w:rPr>
                      <w:color w:val="auto"/>
                      <w:szCs w:val="21"/>
                    </w:rPr>
                    <w:t>限制准入项目</w:t>
                  </w:r>
                </w:p>
              </w:tc>
              <w:tc>
                <w:tcPr>
                  <w:tcW w:w="116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color w:val="auto"/>
                      <w:szCs w:val="21"/>
                    </w:rPr>
                    <w:t>项目情况</w:t>
                  </w:r>
                </w:p>
              </w:tc>
              <w:tc>
                <w:tcPr>
                  <w:tcW w:w="725" w:type="pct"/>
                  <w:tcBorders>
                    <w:top w:val="single" w:color="auto" w:sz="4" w:space="0"/>
                    <w:left w:val="single" w:color="auto" w:sz="4" w:space="0"/>
                    <w:bottom w:val="single" w:color="auto" w:sz="4" w:space="0"/>
                    <w:right w:val="nil"/>
                  </w:tcBorders>
                  <w:vAlign w:val="center"/>
                </w:tcPr>
                <w:p>
                  <w:pPr>
                    <w:adjustRightInd w:val="0"/>
                    <w:snapToGrid w:val="0"/>
                    <w:jc w:val="center"/>
                    <w:rPr>
                      <w:color w:val="auto"/>
                      <w:szCs w:val="21"/>
                    </w:rPr>
                  </w:pPr>
                  <w:r>
                    <w:rPr>
                      <w:color w:val="auto"/>
                      <w:szCs w:val="21"/>
                    </w:rPr>
                    <w:t>符合性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vMerge w:val="restart"/>
                  <w:tcBorders>
                    <w:left w:val="nil"/>
                    <w:right w:val="single" w:color="auto" w:sz="4" w:space="0"/>
                  </w:tcBorders>
                  <w:vAlign w:val="center"/>
                </w:tcPr>
                <w:p>
                  <w:pPr>
                    <w:widowControl/>
                    <w:adjustRightInd w:val="0"/>
                    <w:snapToGrid w:val="0"/>
                    <w:jc w:val="left"/>
                    <w:rPr>
                      <w:color w:val="auto"/>
                      <w:szCs w:val="21"/>
                    </w:rPr>
                  </w:pPr>
                  <w:r>
                    <w:rPr>
                      <w:color w:val="auto"/>
                      <w:szCs w:val="21"/>
                      <w:shd w:val="clear" w:color="auto" w:fill="FFFFFF"/>
                    </w:rPr>
                    <w:t>全市范围</w:t>
                  </w:r>
                </w:p>
              </w:tc>
              <w:tc>
                <w:tcPr>
                  <w:tcW w:w="2537" w:type="pct"/>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rPr>
                  </w:pPr>
                  <w:r>
                    <w:rPr>
                      <w:color w:val="auto"/>
                      <w:szCs w:val="21"/>
                      <w:shd w:val="clear" w:color="auto" w:fill="FFFFFF"/>
                    </w:rPr>
                    <w:t>新建、扩建不符合国家产能置换要求的严重过剩产能行业的项目。新建、扩建不符合要求的高耗能高排放项目。</w:t>
                  </w:r>
                </w:p>
              </w:tc>
              <w:tc>
                <w:tcPr>
                  <w:tcW w:w="1160" w:type="pct"/>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rPr>
                  </w:pPr>
                  <w:r>
                    <w:rPr>
                      <w:rFonts w:hint="eastAsia"/>
                      <w:color w:val="auto"/>
                      <w:szCs w:val="21"/>
                    </w:rPr>
                    <w:t>本项目不属于产能过剩项目，不属于高耗能高排放项目</w:t>
                  </w:r>
                </w:p>
              </w:tc>
              <w:tc>
                <w:tcPr>
                  <w:tcW w:w="725" w:type="pct"/>
                  <w:tcBorders>
                    <w:top w:val="single" w:color="auto" w:sz="4" w:space="0"/>
                    <w:left w:val="single" w:color="auto" w:sz="4" w:space="0"/>
                    <w:bottom w:val="single" w:color="auto" w:sz="4" w:space="0"/>
                    <w:right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vMerge w:val="continue"/>
                  <w:tcBorders>
                    <w:left w:val="nil"/>
                    <w:right w:val="single" w:color="auto" w:sz="4" w:space="0"/>
                  </w:tcBorders>
                  <w:vAlign w:val="center"/>
                </w:tcPr>
                <w:p>
                  <w:pPr>
                    <w:widowControl/>
                    <w:adjustRightInd w:val="0"/>
                    <w:snapToGrid w:val="0"/>
                    <w:jc w:val="left"/>
                    <w:rPr>
                      <w:color w:val="auto"/>
                      <w:szCs w:val="21"/>
                    </w:rPr>
                  </w:pPr>
                </w:p>
              </w:tc>
              <w:tc>
                <w:tcPr>
                  <w:tcW w:w="2537" w:type="pct"/>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rPr>
                  </w:pPr>
                  <w:r>
                    <w:rPr>
                      <w:color w:val="auto"/>
                      <w:szCs w:val="21"/>
                      <w:shd w:val="clear" w:color="auto" w:fill="FFFFFF"/>
                    </w:rPr>
                    <w:t>新建、扩建不符合国家石化、现代煤化工等产业布局规划的项目</w:t>
                  </w:r>
                </w:p>
              </w:tc>
              <w:tc>
                <w:tcPr>
                  <w:tcW w:w="1160" w:type="pct"/>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rPr>
                  </w:pPr>
                  <w:r>
                    <w:rPr>
                      <w:rFonts w:hint="eastAsia"/>
                      <w:color w:val="auto"/>
                      <w:szCs w:val="21"/>
                    </w:rPr>
                    <w:t>本项目不属于</w:t>
                  </w:r>
                  <w:r>
                    <w:rPr>
                      <w:color w:val="auto"/>
                      <w:szCs w:val="21"/>
                      <w:shd w:val="clear" w:color="auto" w:fill="FFFFFF"/>
                    </w:rPr>
                    <w:t>石化、现代煤化工等产业布局规划的项目</w:t>
                  </w:r>
                </w:p>
              </w:tc>
              <w:tc>
                <w:tcPr>
                  <w:tcW w:w="725" w:type="pct"/>
                  <w:tcBorders>
                    <w:top w:val="single" w:color="auto" w:sz="4" w:space="0"/>
                    <w:left w:val="single" w:color="auto" w:sz="4" w:space="0"/>
                    <w:bottom w:val="single" w:color="auto" w:sz="4" w:space="0"/>
                    <w:right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vMerge w:val="continue"/>
                  <w:tcBorders>
                    <w:left w:val="nil"/>
                    <w:right w:val="single" w:color="auto" w:sz="4" w:space="0"/>
                  </w:tcBorders>
                  <w:vAlign w:val="center"/>
                </w:tcPr>
                <w:p>
                  <w:pPr>
                    <w:widowControl/>
                    <w:adjustRightInd w:val="0"/>
                    <w:snapToGrid w:val="0"/>
                    <w:jc w:val="left"/>
                    <w:rPr>
                      <w:color w:val="auto"/>
                      <w:szCs w:val="21"/>
                    </w:rPr>
                  </w:pPr>
                </w:p>
              </w:tc>
              <w:tc>
                <w:tcPr>
                  <w:tcW w:w="2537" w:type="pct"/>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rPr>
                  </w:pPr>
                  <w:r>
                    <w:rPr>
                      <w:color w:val="auto"/>
                      <w:szCs w:val="21"/>
                      <w:shd w:val="clear" w:color="auto" w:fill="FFFFFF"/>
                    </w:rPr>
                    <w:t>在合规园区外新建、扩建钢铁、石化、化工、焦化、建材、有色、制浆造纸等高污染项目。</w:t>
                  </w:r>
                </w:p>
              </w:tc>
              <w:tc>
                <w:tcPr>
                  <w:tcW w:w="1160" w:type="pct"/>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rPr>
                  </w:pPr>
                  <w:r>
                    <w:rPr>
                      <w:rFonts w:hint="eastAsia"/>
                      <w:color w:val="auto"/>
                      <w:szCs w:val="21"/>
                    </w:rPr>
                    <w:t>本项目不属于</w:t>
                  </w:r>
                  <w:r>
                    <w:rPr>
                      <w:color w:val="auto"/>
                      <w:szCs w:val="21"/>
                      <w:shd w:val="clear" w:color="auto" w:fill="FFFFFF"/>
                    </w:rPr>
                    <w:t>钢铁、石化、化工、焦化、建材、有色、制浆造纸等高污染项目。</w:t>
                  </w:r>
                </w:p>
              </w:tc>
              <w:tc>
                <w:tcPr>
                  <w:tcW w:w="725" w:type="pct"/>
                  <w:tcBorders>
                    <w:top w:val="single" w:color="auto" w:sz="4" w:space="0"/>
                    <w:left w:val="single" w:color="auto" w:sz="4" w:space="0"/>
                    <w:bottom w:val="single" w:color="auto" w:sz="4" w:space="0"/>
                    <w:right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vMerge w:val="continue"/>
                  <w:tcBorders>
                    <w:left w:val="nil"/>
                    <w:right w:val="single" w:color="auto" w:sz="4" w:space="0"/>
                  </w:tcBorders>
                  <w:vAlign w:val="center"/>
                </w:tcPr>
                <w:p>
                  <w:pPr>
                    <w:widowControl/>
                    <w:adjustRightInd w:val="0"/>
                    <w:snapToGrid w:val="0"/>
                    <w:jc w:val="left"/>
                    <w:rPr>
                      <w:color w:val="auto"/>
                      <w:szCs w:val="21"/>
                    </w:rPr>
                  </w:pPr>
                </w:p>
              </w:tc>
              <w:tc>
                <w:tcPr>
                  <w:tcW w:w="2537" w:type="pct"/>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rPr>
                  </w:pPr>
                  <w:r>
                    <w:rPr>
                      <w:color w:val="auto"/>
                      <w:szCs w:val="21"/>
                      <w:shd w:val="clear" w:color="auto" w:fill="FFFFFF"/>
                    </w:rPr>
                    <w:t>《汽车产业投资管理规定》（国家发展和改革委员会令第22号）明确禁止建设的汽车投资项目。</w:t>
                  </w:r>
                </w:p>
              </w:tc>
              <w:tc>
                <w:tcPr>
                  <w:tcW w:w="1160" w:type="pct"/>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rPr>
                  </w:pPr>
                  <w:r>
                    <w:rPr>
                      <w:rFonts w:hint="eastAsia"/>
                      <w:color w:val="auto"/>
                      <w:szCs w:val="21"/>
                    </w:rPr>
                    <w:t>本项目不属于</w:t>
                  </w:r>
                  <w:r>
                    <w:rPr>
                      <w:color w:val="auto"/>
                      <w:szCs w:val="21"/>
                      <w:shd w:val="clear" w:color="auto" w:fill="FFFFFF"/>
                    </w:rPr>
                    <w:t>汽车投资</w:t>
                  </w:r>
                  <w:r>
                    <w:rPr>
                      <w:rFonts w:hint="eastAsia"/>
                      <w:color w:val="auto"/>
                      <w:szCs w:val="21"/>
                      <w:shd w:val="clear" w:color="auto" w:fill="FFFFFF"/>
                    </w:rPr>
                    <w:t>项目</w:t>
                  </w:r>
                </w:p>
              </w:tc>
              <w:tc>
                <w:tcPr>
                  <w:tcW w:w="725" w:type="pct"/>
                  <w:tcBorders>
                    <w:top w:val="single" w:color="auto" w:sz="4" w:space="0"/>
                    <w:left w:val="single" w:color="auto" w:sz="4" w:space="0"/>
                    <w:bottom w:val="single" w:color="auto" w:sz="4" w:space="0"/>
                    <w:right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vMerge w:val="restart"/>
                  <w:tcBorders>
                    <w:left w:val="nil"/>
                    <w:right w:val="single" w:color="auto" w:sz="4" w:space="0"/>
                  </w:tcBorders>
                  <w:vAlign w:val="center"/>
                </w:tcPr>
                <w:p>
                  <w:pPr>
                    <w:widowControl/>
                    <w:adjustRightInd w:val="0"/>
                    <w:snapToGrid w:val="0"/>
                    <w:jc w:val="left"/>
                    <w:rPr>
                      <w:color w:val="auto"/>
                      <w:szCs w:val="21"/>
                    </w:rPr>
                  </w:pPr>
                  <w:r>
                    <w:rPr>
                      <w:color w:val="auto"/>
                      <w:szCs w:val="21"/>
                      <w:shd w:val="clear" w:color="auto" w:fill="FFFFFF"/>
                    </w:rPr>
                    <w:t>重点区域范围</w:t>
                  </w:r>
                </w:p>
              </w:tc>
              <w:tc>
                <w:tcPr>
                  <w:tcW w:w="2537" w:type="pct"/>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rPr>
                  </w:pPr>
                  <w:r>
                    <w:rPr>
                      <w:color w:val="auto"/>
                      <w:szCs w:val="21"/>
                      <w:shd w:val="clear" w:color="auto" w:fill="FFFFFF"/>
                    </w:rPr>
                    <w:t>长江干支流、重要湖泊岸线1公里范围内新建、扩建化工园区和化工项目，长江、嘉陵江、乌江岸线1公里范围内布局新建纸浆制造、印染等存在环境风险的项目。</w:t>
                  </w:r>
                </w:p>
              </w:tc>
              <w:tc>
                <w:tcPr>
                  <w:tcW w:w="1160" w:type="pct"/>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rPr>
                  </w:pPr>
                  <w:r>
                    <w:rPr>
                      <w:rFonts w:hint="eastAsia"/>
                      <w:color w:val="auto"/>
                      <w:szCs w:val="21"/>
                    </w:rPr>
                    <w:t>本项目不属于</w:t>
                  </w:r>
                  <w:r>
                    <w:rPr>
                      <w:color w:val="auto"/>
                      <w:szCs w:val="21"/>
                      <w:shd w:val="clear" w:color="auto" w:fill="FFFFFF"/>
                    </w:rPr>
                    <w:t>纸浆制造、印染等存在环境风险的项目</w:t>
                  </w:r>
                </w:p>
              </w:tc>
              <w:tc>
                <w:tcPr>
                  <w:tcW w:w="725" w:type="pct"/>
                  <w:tcBorders>
                    <w:top w:val="single" w:color="auto" w:sz="4" w:space="0"/>
                    <w:left w:val="single" w:color="auto" w:sz="4" w:space="0"/>
                    <w:bottom w:val="single" w:color="auto" w:sz="4" w:space="0"/>
                    <w:right w:val="nil"/>
                  </w:tcBorders>
                  <w:vAlign w:val="center"/>
                </w:tcPr>
                <w:p>
                  <w:pPr>
                    <w:adjustRightInd w:val="0"/>
                    <w:snapToGrid w:val="0"/>
                    <w:jc w:val="center"/>
                    <w:rPr>
                      <w:color w:val="auto"/>
                      <w:szCs w:val="21"/>
                    </w:rPr>
                  </w:pPr>
                  <w:r>
                    <w:rPr>
                      <w:color w:val="auto"/>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vMerge w:val="continue"/>
                  <w:tcBorders>
                    <w:left w:val="nil"/>
                    <w:right w:val="single" w:color="auto" w:sz="4" w:space="0"/>
                  </w:tcBorders>
                  <w:vAlign w:val="center"/>
                </w:tcPr>
                <w:p>
                  <w:pPr>
                    <w:widowControl/>
                    <w:adjustRightInd w:val="0"/>
                    <w:snapToGrid w:val="0"/>
                    <w:jc w:val="left"/>
                    <w:rPr>
                      <w:color w:val="auto"/>
                      <w:szCs w:val="21"/>
                    </w:rPr>
                  </w:pPr>
                </w:p>
              </w:tc>
              <w:tc>
                <w:tcPr>
                  <w:tcW w:w="2537" w:type="pct"/>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rPr>
                  </w:pPr>
                  <w:r>
                    <w:rPr>
                      <w:color w:val="auto"/>
                      <w:szCs w:val="21"/>
                      <w:shd w:val="clear" w:color="auto" w:fill="FFFFFF"/>
                    </w:rPr>
                    <w:t>在水产种质资源保护区的岸线和河段范围内新建围湖造田等投资建设项目。</w:t>
                  </w:r>
                </w:p>
              </w:tc>
              <w:tc>
                <w:tcPr>
                  <w:tcW w:w="1160" w:type="pct"/>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rPr>
                  </w:pPr>
                  <w:r>
                    <w:rPr>
                      <w:rFonts w:hint="eastAsia"/>
                      <w:color w:val="auto"/>
                      <w:szCs w:val="21"/>
                    </w:rPr>
                    <w:t>本项目不属于</w:t>
                  </w:r>
                  <w:r>
                    <w:rPr>
                      <w:color w:val="auto"/>
                      <w:szCs w:val="21"/>
                      <w:shd w:val="clear" w:color="auto" w:fill="FFFFFF"/>
                    </w:rPr>
                    <w:t>围湖造田等投资建设项目</w:t>
                  </w:r>
                </w:p>
              </w:tc>
              <w:tc>
                <w:tcPr>
                  <w:tcW w:w="725" w:type="pct"/>
                  <w:tcBorders>
                    <w:top w:val="single" w:color="auto" w:sz="4" w:space="0"/>
                    <w:left w:val="single" w:color="auto" w:sz="4" w:space="0"/>
                    <w:bottom w:val="single" w:color="auto" w:sz="4" w:space="0"/>
                    <w:right w:val="nil"/>
                  </w:tcBorders>
                  <w:vAlign w:val="center"/>
                </w:tcPr>
                <w:p>
                  <w:pPr>
                    <w:adjustRightInd w:val="0"/>
                    <w:snapToGrid w:val="0"/>
                    <w:jc w:val="center"/>
                    <w:rPr>
                      <w:color w:val="auto"/>
                      <w:szCs w:val="21"/>
                    </w:rPr>
                  </w:pPr>
                  <w:r>
                    <w:rPr>
                      <w:color w:val="auto"/>
                      <w:szCs w:val="21"/>
                    </w:rPr>
                    <w:t>符合</w:t>
                  </w:r>
                </w:p>
              </w:tc>
            </w:tr>
          </w:tbl>
          <w:p>
            <w:pPr>
              <w:pStyle w:val="11"/>
              <w:adjustRightInd w:val="0"/>
              <w:snapToGrid w:val="0"/>
              <w:spacing w:after="0" w:line="360" w:lineRule="auto"/>
              <w:ind w:left="0" w:leftChars="0" w:firstLine="480" w:firstLineChars="200"/>
              <w:rPr>
                <w:color w:val="auto"/>
                <w:sz w:val="24"/>
              </w:rPr>
            </w:pPr>
            <w:r>
              <w:rPr>
                <w:color w:val="auto"/>
                <w:sz w:val="24"/>
              </w:rPr>
              <w:t>由表1.7分析可知：本项目符合《重庆市产业投资准入工作手册》（渝发改投资[2022]1436号）的要求。</w:t>
            </w:r>
          </w:p>
          <w:p>
            <w:pPr>
              <w:pStyle w:val="11"/>
              <w:adjustRightInd w:val="0"/>
              <w:snapToGrid w:val="0"/>
              <w:spacing w:after="0" w:line="360" w:lineRule="auto"/>
              <w:ind w:left="0" w:leftChars="0" w:firstLine="480" w:firstLineChars="200"/>
              <w:rPr>
                <w:color w:val="auto"/>
                <w:sz w:val="24"/>
              </w:rPr>
            </w:pPr>
          </w:p>
          <w:p>
            <w:pPr>
              <w:pStyle w:val="11"/>
              <w:adjustRightInd w:val="0"/>
              <w:snapToGrid w:val="0"/>
              <w:spacing w:after="0" w:line="360" w:lineRule="auto"/>
              <w:ind w:left="0" w:leftChars="0" w:firstLine="480" w:firstLineChars="200"/>
              <w:rPr>
                <w:color w:val="auto"/>
                <w:sz w:val="24"/>
              </w:rPr>
            </w:pPr>
          </w:p>
          <w:p>
            <w:pPr>
              <w:pStyle w:val="12"/>
              <w:rPr>
                <w:b w:val="0"/>
                <w:bCs w:val="0"/>
                <w:color w:val="auto"/>
                <w:sz w:val="24"/>
                <w:szCs w:val="24"/>
              </w:rPr>
            </w:pPr>
          </w:p>
          <w:p>
            <w:pPr>
              <w:rPr>
                <w:color w:val="auto"/>
                <w:sz w:val="24"/>
              </w:rPr>
            </w:pPr>
          </w:p>
          <w:p>
            <w:pPr>
              <w:pStyle w:val="2"/>
              <w:rPr>
                <w:color w:val="auto"/>
              </w:rPr>
            </w:pPr>
          </w:p>
          <w:p>
            <w:pPr>
              <w:pStyle w:val="11"/>
              <w:adjustRightInd w:val="0"/>
              <w:snapToGrid w:val="0"/>
              <w:spacing w:after="0" w:line="360" w:lineRule="auto"/>
              <w:ind w:left="0" w:leftChars="0" w:firstLine="480" w:firstLineChars="200"/>
              <w:rPr>
                <w:color w:val="auto"/>
                <w:sz w:val="24"/>
              </w:rPr>
            </w:pPr>
          </w:p>
          <w:p>
            <w:pPr>
              <w:pStyle w:val="11"/>
              <w:adjustRightInd w:val="0"/>
              <w:snapToGrid w:val="0"/>
              <w:spacing w:after="0" w:line="360" w:lineRule="auto"/>
              <w:ind w:left="0" w:leftChars="0"/>
              <w:rPr>
                <w:color w:val="auto"/>
                <w:sz w:val="24"/>
              </w:rPr>
            </w:pPr>
          </w:p>
        </w:tc>
      </w:tr>
    </w:tbl>
    <w:p>
      <w:pPr>
        <w:spacing w:line="360" w:lineRule="auto"/>
        <w:outlineLvl w:val="0"/>
        <w:rPr>
          <w:rFonts w:eastAsia="黑体"/>
          <w:color w:val="auto"/>
          <w:sz w:val="30"/>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p>
      <w:pPr>
        <w:pStyle w:val="19"/>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二、建设项目工程分析</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2"/>
        <w:gridCol w:w="85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02" w:type="dxa"/>
            <w:vAlign w:val="center"/>
          </w:tcPr>
          <w:p>
            <w:pPr>
              <w:pStyle w:val="19"/>
              <w:adjustRightInd w:val="0"/>
              <w:snapToGrid w:val="0"/>
              <w:spacing w:before="0" w:beforeAutospacing="0" w:after="0" w:afterAutospacing="0"/>
              <w:jc w:val="center"/>
              <w:rPr>
                <w:rFonts w:ascii="Times New Roman" w:hAnsi="Times New Roman" w:cs="Times New Roman"/>
                <w:color w:val="auto"/>
                <w:sz w:val="21"/>
                <w:szCs w:val="21"/>
              </w:rPr>
            </w:pPr>
          </w:p>
          <w:p>
            <w:pPr>
              <w:pStyle w:val="19"/>
              <w:adjustRightInd w:val="0"/>
              <w:snapToGrid w:val="0"/>
              <w:spacing w:before="0" w:beforeAutospacing="0" w:after="0" w:afterAutospacing="0"/>
              <w:jc w:val="center"/>
              <w:rPr>
                <w:rFonts w:ascii="Times New Roman" w:hAnsi="Times New Roman" w:cs="Times New Roman"/>
                <w:color w:val="auto"/>
                <w:sz w:val="21"/>
                <w:szCs w:val="21"/>
              </w:rPr>
            </w:pPr>
          </w:p>
        </w:tc>
        <w:tc>
          <w:tcPr>
            <w:tcW w:w="8582" w:type="dxa"/>
          </w:tcPr>
          <w:p>
            <w:pPr>
              <w:adjustRightInd w:val="0"/>
              <w:snapToGrid w:val="0"/>
              <w:spacing w:line="360" w:lineRule="auto"/>
              <w:rPr>
                <w:rFonts w:ascii="宋体" w:hAnsi="宋体" w:cs="宋体"/>
                <w:b/>
                <w:bCs/>
                <w:color w:val="auto"/>
                <w:sz w:val="24"/>
              </w:rPr>
            </w:pPr>
            <w:r>
              <w:rPr>
                <w:rFonts w:hint="eastAsia" w:ascii="宋体" w:hAnsi="宋体" w:cs="宋体"/>
                <w:b/>
                <w:bCs/>
                <w:color w:val="auto"/>
                <w:sz w:val="24"/>
              </w:rPr>
              <w:t>项目由来</w:t>
            </w:r>
          </w:p>
          <w:p>
            <w:pPr>
              <w:adjustRightInd w:val="0"/>
              <w:snapToGrid w:val="0"/>
              <w:spacing w:line="360" w:lineRule="auto"/>
              <w:ind w:firstLine="480"/>
              <w:rPr>
                <w:color w:val="auto"/>
                <w:kern w:val="0"/>
                <w:sz w:val="24"/>
                <w:highlight w:val="none"/>
              </w:rPr>
            </w:pPr>
            <w:r>
              <w:rPr>
                <w:rFonts w:hint="eastAsia"/>
                <w:color w:val="auto"/>
                <w:spacing w:val="8"/>
                <w:sz w:val="24"/>
                <w:highlight w:val="none"/>
                <w:shd w:val="clear" w:color="auto" w:fill="FFFFFF"/>
              </w:rPr>
              <w:t>重庆英洛维科技有限公司</w:t>
            </w:r>
            <w:r>
              <w:rPr>
                <w:color w:val="auto"/>
                <w:kern w:val="0"/>
                <w:sz w:val="24"/>
                <w:highlight w:val="none"/>
              </w:rPr>
              <w:t>是一家专业</w:t>
            </w:r>
            <w:r>
              <w:rPr>
                <w:rFonts w:hint="eastAsia"/>
                <w:color w:val="auto"/>
                <w:kern w:val="0"/>
                <w:sz w:val="24"/>
                <w:highlight w:val="none"/>
              </w:rPr>
              <w:t>生产汽车内饰材料及零部件</w:t>
            </w:r>
            <w:r>
              <w:rPr>
                <w:color w:val="auto"/>
                <w:kern w:val="0"/>
                <w:sz w:val="24"/>
                <w:highlight w:val="none"/>
              </w:rPr>
              <w:t>的企业。</w:t>
            </w:r>
            <w:r>
              <w:rPr>
                <w:rFonts w:hint="eastAsia"/>
                <w:color w:val="auto"/>
                <w:kern w:val="0"/>
                <w:sz w:val="24"/>
                <w:highlight w:val="none"/>
                <w:lang w:eastAsia="zh-CN"/>
              </w:rPr>
              <w:t>该企业于</w:t>
            </w:r>
            <w:r>
              <w:rPr>
                <w:rFonts w:hint="eastAsia"/>
                <w:color w:val="auto"/>
                <w:kern w:val="0"/>
                <w:sz w:val="24"/>
                <w:highlight w:val="none"/>
                <w:lang w:val="en-US" w:eastAsia="zh-CN"/>
              </w:rPr>
              <w:t>2018年7月在</w:t>
            </w:r>
            <w:r>
              <w:rPr>
                <w:rFonts w:hint="eastAsia"/>
                <w:color w:val="auto"/>
                <w:spacing w:val="8"/>
                <w:sz w:val="24"/>
                <w:highlight w:val="none"/>
                <w:shd w:val="clear" w:color="auto" w:fill="FFFFFF"/>
              </w:rPr>
              <w:t>重庆市铜梁区东城街道祝英南路7号</w:t>
            </w:r>
            <w:r>
              <w:rPr>
                <w:rFonts w:hint="eastAsia"/>
                <w:color w:val="auto"/>
                <w:spacing w:val="8"/>
                <w:sz w:val="24"/>
                <w:highlight w:val="none"/>
                <w:shd w:val="clear" w:color="auto" w:fill="FFFFFF"/>
                <w:lang w:eastAsia="zh-CN"/>
              </w:rPr>
              <w:t>投资建设</w:t>
            </w:r>
            <w:r>
              <w:rPr>
                <w:rFonts w:hint="eastAsia"/>
                <w:color w:val="auto"/>
                <w:sz w:val="24"/>
                <w:highlight w:val="none"/>
              </w:rPr>
              <w:t>汽车内饰材料及零部件生产加工项目</w:t>
            </w:r>
            <w:r>
              <w:rPr>
                <w:rFonts w:hint="eastAsia"/>
                <w:color w:val="auto"/>
                <w:sz w:val="24"/>
                <w:highlight w:val="none"/>
                <w:lang w:eastAsia="zh-CN"/>
              </w:rPr>
              <w:t>；</w:t>
            </w:r>
            <w:r>
              <w:rPr>
                <w:rFonts w:hint="eastAsia"/>
                <w:color w:val="auto"/>
                <w:sz w:val="24"/>
                <w:highlight w:val="none"/>
                <w:lang w:val="en-US" w:eastAsia="zh-CN"/>
              </w:rPr>
              <w:t>2021年11月该企业利用现有生产厂房投资建设</w:t>
            </w:r>
            <w:r>
              <w:rPr>
                <w:color w:val="auto"/>
                <w:spacing w:val="8"/>
                <w:sz w:val="24"/>
                <w:highlight w:val="none"/>
                <w:shd w:val="clear" w:color="auto" w:fill="FFFFFF"/>
              </w:rPr>
              <w:t>年产汽车零部件800万件及汽车纤维材料8000吨扩建项目</w:t>
            </w:r>
            <w:r>
              <w:rPr>
                <w:rFonts w:hint="eastAsia"/>
                <w:color w:val="auto"/>
                <w:spacing w:val="8"/>
                <w:sz w:val="24"/>
                <w:highlight w:val="none"/>
                <w:shd w:val="clear" w:color="auto" w:fill="FFFFFF"/>
                <w:lang w:eastAsia="zh-CN"/>
              </w:rPr>
              <w:t>。为满足市场需求，扩大生产规模，</w:t>
            </w:r>
            <w:r>
              <w:rPr>
                <w:color w:val="auto"/>
                <w:kern w:val="0"/>
                <w:sz w:val="24"/>
                <w:highlight w:val="none"/>
              </w:rPr>
              <w:t>该企业</w:t>
            </w:r>
            <w:r>
              <w:rPr>
                <w:rFonts w:hint="eastAsia"/>
                <w:color w:val="auto"/>
                <w:kern w:val="0"/>
                <w:sz w:val="24"/>
                <w:highlight w:val="none"/>
              </w:rPr>
              <w:t>利用现有生产厂房</w:t>
            </w:r>
            <w:r>
              <w:rPr>
                <w:color w:val="auto"/>
                <w:kern w:val="0"/>
                <w:sz w:val="24"/>
                <w:highlight w:val="none"/>
              </w:rPr>
              <w:t>投资</w:t>
            </w:r>
            <w:r>
              <w:rPr>
                <w:rFonts w:hint="eastAsia"/>
                <w:color w:val="auto"/>
                <w:kern w:val="0"/>
                <w:sz w:val="24"/>
                <w:highlight w:val="none"/>
              </w:rPr>
              <w:t>10</w:t>
            </w:r>
            <w:r>
              <w:rPr>
                <w:color w:val="auto"/>
                <w:kern w:val="0"/>
                <w:sz w:val="24"/>
                <w:highlight w:val="none"/>
              </w:rPr>
              <w:t>00万元新建“</w:t>
            </w:r>
            <w:r>
              <w:rPr>
                <w:rFonts w:hint="eastAsia"/>
                <w:color w:val="auto"/>
                <w:sz w:val="24"/>
                <w:highlight w:val="none"/>
              </w:rPr>
              <w:t>年产拉幅定型无纺布500吨、淋膜无纺布300吨扩建项目</w:t>
            </w:r>
            <w:r>
              <w:rPr>
                <w:color w:val="auto"/>
                <w:kern w:val="0"/>
                <w:sz w:val="24"/>
                <w:highlight w:val="none"/>
              </w:rPr>
              <w:t>”，以下简称“</w:t>
            </w:r>
            <w:r>
              <w:rPr>
                <w:rFonts w:hint="eastAsia"/>
                <w:color w:val="auto"/>
                <w:kern w:val="0"/>
                <w:sz w:val="24"/>
                <w:highlight w:val="none"/>
                <w:lang w:eastAsia="zh-CN"/>
              </w:rPr>
              <w:t>扩建项目</w:t>
            </w:r>
            <w:r>
              <w:rPr>
                <w:color w:val="auto"/>
                <w:kern w:val="0"/>
                <w:sz w:val="24"/>
                <w:highlight w:val="none"/>
              </w:rPr>
              <w:t>”。</w:t>
            </w:r>
          </w:p>
          <w:p>
            <w:pPr>
              <w:widowControl/>
              <w:spacing w:line="360" w:lineRule="auto"/>
              <w:ind w:firstLine="480" w:firstLineChars="200"/>
              <w:jc w:val="left"/>
              <w:rPr>
                <w:b/>
                <w:bCs/>
                <w:color w:val="auto"/>
                <w:sz w:val="24"/>
              </w:rPr>
            </w:pPr>
            <w:r>
              <w:rPr>
                <w:color w:val="auto"/>
                <w:sz w:val="24"/>
                <w:highlight w:val="none"/>
              </w:rPr>
              <w:t>根据《中华人民共和国环境保护法》、《中华人民共和国环境影响评价法》、《建设项目环境保护管理条例》及《建设项目环境影响评价分类管理名录》等法律法规的要求，</w:t>
            </w:r>
            <w:r>
              <w:rPr>
                <w:rFonts w:hint="eastAsia" w:ascii="Times New Roman" w:hAnsi="Times New Roman" w:cs="Times New Roman"/>
                <w:color w:val="auto"/>
                <w:sz w:val="24"/>
                <w:szCs w:val="24"/>
                <w:highlight w:val="none"/>
                <w:lang w:eastAsia="zh-CN"/>
              </w:rPr>
              <w:t>扩建项目</w:t>
            </w:r>
            <w:r>
              <w:rPr>
                <w:color w:val="auto"/>
                <w:sz w:val="24"/>
                <w:highlight w:val="none"/>
              </w:rPr>
              <w:t>属于分类管理名录中“三十三、汽车制造业—71</w:t>
            </w:r>
            <w:r>
              <w:rPr>
                <w:color w:val="auto"/>
                <w:kern w:val="0"/>
                <w:sz w:val="24"/>
                <w:highlight w:val="none"/>
                <w:lang w:bidi="ar"/>
              </w:rPr>
              <w:t>汽车整车制造361；汽车用发动机制造362；改装汽车制造363；低速汽车制造364；电车制造365；汽车身、挂车制造366；</w:t>
            </w:r>
            <w:r>
              <w:rPr>
                <w:b/>
                <w:bCs/>
                <w:color w:val="auto"/>
                <w:kern w:val="0"/>
                <w:sz w:val="24"/>
                <w:highlight w:val="none"/>
                <w:lang w:bidi="ar"/>
              </w:rPr>
              <w:t>汽车零部件及配件制造367</w:t>
            </w:r>
            <w:r>
              <w:rPr>
                <w:color w:val="auto"/>
                <w:sz w:val="24"/>
                <w:highlight w:val="none"/>
              </w:rPr>
              <w:t>—</w:t>
            </w:r>
            <w:r>
              <w:rPr>
                <w:b/>
                <w:bCs/>
                <w:color w:val="auto"/>
                <w:sz w:val="24"/>
                <w:highlight w:val="none"/>
              </w:rPr>
              <w:t>其它（年用非溶剂低VOCs含量涂料10吨以下的除外）</w:t>
            </w:r>
            <w:r>
              <w:rPr>
                <w:color w:val="auto"/>
                <w:sz w:val="24"/>
                <w:highlight w:val="none"/>
              </w:rPr>
              <w:t>”，</w:t>
            </w:r>
            <w:r>
              <w:rPr>
                <w:rFonts w:hint="eastAsia"/>
                <w:color w:val="auto"/>
                <w:sz w:val="24"/>
                <w:highlight w:val="none"/>
                <w:lang w:eastAsia="zh-CN"/>
              </w:rPr>
              <w:t>扩建项目应编制“环境影响报告表”，</w:t>
            </w:r>
            <w:r>
              <w:rPr>
                <w:color w:val="auto"/>
                <w:sz w:val="24"/>
                <w:highlight w:val="none"/>
              </w:rPr>
              <w:t>受</w:t>
            </w:r>
            <w:r>
              <w:rPr>
                <w:rFonts w:hint="eastAsia"/>
                <w:color w:val="auto"/>
                <w:spacing w:val="8"/>
                <w:sz w:val="24"/>
                <w:highlight w:val="none"/>
                <w:shd w:val="clear" w:color="auto" w:fill="FFFFFF"/>
              </w:rPr>
              <w:t>重庆英洛维科技有限公司</w:t>
            </w:r>
            <w:r>
              <w:rPr>
                <w:color w:val="auto"/>
                <w:sz w:val="24"/>
                <w:highlight w:val="none"/>
              </w:rPr>
              <w:t>委托，重庆景临生态环境科技有限公司承担了</w:t>
            </w:r>
            <w:r>
              <w:rPr>
                <w:rFonts w:hint="eastAsia"/>
                <w:color w:val="auto"/>
                <w:sz w:val="24"/>
                <w:highlight w:val="none"/>
                <w:lang w:eastAsia="zh-CN"/>
              </w:rPr>
              <w:t>该项目</w:t>
            </w:r>
            <w:r>
              <w:rPr>
                <w:color w:val="auto"/>
                <w:sz w:val="24"/>
                <w:highlight w:val="none"/>
              </w:rPr>
              <w:t>环评工作</w:t>
            </w:r>
            <w:r>
              <w:rPr>
                <w:rFonts w:hint="eastAsia"/>
                <w:color w:val="auto"/>
                <w:sz w:val="24"/>
                <w:highlight w:val="none"/>
              </w:rPr>
              <w:t>，</w:t>
            </w:r>
            <w:r>
              <w:rPr>
                <w:color w:val="auto"/>
                <w:sz w:val="24"/>
                <w:highlight w:val="none"/>
              </w:rPr>
              <w:t>编制完成了《</w:t>
            </w:r>
            <w:r>
              <w:rPr>
                <w:rFonts w:hint="eastAsia"/>
                <w:color w:val="auto"/>
                <w:sz w:val="24"/>
                <w:highlight w:val="none"/>
              </w:rPr>
              <w:t>年产拉幅定型无纺布500吨、淋膜无纺布300吨扩建项目</w:t>
            </w:r>
            <w:r>
              <w:rPr>
                <w:color w:val="auto"/>
                <w:sz w:val="24"/>
                <w:highlight w:val="none"/>
              </w:rPr>
              <w:t>环境影响报</w:t>
            </w:r>
            <w:r>
              <w:rPr>
                <w:rFonts w:hAnsi="宋体"/>
                <w:color w:val="auto"/>
                <w:sz w:val="24"/>
                <w:highlight w:val="none"/>
              </w:rPr>
              <w:t>告表》，呈</w:t>
            </w:r>
            <w:r>
              <w:rPr>
                <w:rFonts w:hint="eastAsia" w:hAnsi="宋体"/>
                <w:color w:val="auto"/>
                <w:sz w:val="24"/>
                <w:highlight w:val="none"/>
              </w:rPr>
              <w:t>重庆市铜梁区生态环境局</w:t>
            </w:r>
            <w:r>
              <w:rPr>
                <w:rFonts w:hAnsi="宋体"/>
                <w:color w:val="auto"/>
                <w:sz w:val="24"/>
                <w:highlight w:val="none"/>
              </w:rPr>
              <w:t>审批</w:t>
            </w:r>
            <w:r>
              <w:rPr>
                <w:rFonts w:hAnsi="宋体"/>
                <w:color w:val="auto"/>
                <w:sz w:val="24"/>
              </w:rPr>
              <w:t>。</w:t>
            </w:r>
          </w:p>
          <w:p>
            <w:pPr>
              <w:adjustRightInd w:val="0"/>
              <w:snapToGrid w:val="0"/>
              <w:spacing w:line="360" w:lineRule="auto"/>
              <w:rPr>
                <w:b/>
                <w:bCs/>
                <w:color w:val="auto"/>
                <w:sz w:val="24"/>
              </w:rPr>
            </w:pPr>
            <w:r>
              <w:rPr>
                <w:b/>
                <w:bCs/>
                <w:color w:val="auto"/>
                <w:sz w:val="24"/>
              </w:rPr>
              <w:t>项目组成</w:t>
            </w:r>
          </w:p>
          <w:p>
            <w:pPr>
              <w:adjustRightInd w:val="0"/>
              <w:snapToGrid w:val="0"/>
              <w:spacing w:line="360" w:lineRule="auto"/>
              <w:ind w:firstLine="480" w:firstLineChars="200"/>
              <w:jc w:val="left"/>
              <w:rPr>
                <w:iCs/>
                <w:color w:val="auto"/>
                <w:kern w:val="0"/>
                <w:sz w:val="24"/>
              </w:rPr>
            </w:pPr>
            <w:r>
              <w:rPr>
                <w:color w:val="auto"/>
                <w:kern w:val="0"/>
                <w:sz w:val="24"/>
              </w:rPr>
              <w:t>项目名称：</w:t>
            </w:r>
            <w:r>
              <w:rPr>
                <w:rFonts w:hint="eastAsia"/>
                <w:color w:val="auto"/>
                <w:sz w:val="24"/>
              </w:rPr>
              <w:t>年产拉幅定型无纺布500吨、淋膜无纺布300吨扩建项目</w:t>
            </w:r>
          </w:p>
          <w:p>
            <w:pPr>
              <w:adjustRightInd w:val="0"/>
              <w:snapToGrid w:val="0"/>
              <w:spacing w:line="360" w:lineRule="auto"/>
              <w:ind w:firstLine="480" w:firstLineChars="200"/>
              <w:rPr>
                <w:iCs/>
                <w:color w:val="auto"/>
                <w:kern w:val="0"/>
                <w:sz w:val="24"/>
              </w:rPr>
            </w:pPr>
            <w:r>
              <w:rPr>
                <w:iCs/>
                <w:color w:val="auto"/>
                <w:kern w:val="0"/>
                <w:sz w:val="24"/>
              </w:rPr>
              <w:t>建设单位：</w:t>
            </w:r>
            <w:r>
              <w:rPr>
                <w:rFonts w:hint="eastAsia"/>
                <w:color w:val="auto"/>
                <w:spacing w:val="8"/>
                <w:sz w:val="24"/>
                <w:shd w:val="clear" w:color="auto" w:fill="FFFFFF"/>
              </w:rPr>
              <w:t>重庆英洛维科技有限公司</w:t>
            </w:r>
          </w:p>
          <w:p>
            <w:pPr>
              <w:adjustRightInd w:val="0"/>
              <w:snapToGrid w:val="0"/>
              <w:spacing w:line="360" w:lineRule="auto"/>
              <w:ind w:firstLine="480" w:firstLineChars="200"/>
              <w:rPr>
                <w:iCs/>
                <w:color w:val="auto"/>
                <w:kern w:val="0"/>
                <w:sz w:val="24"/>
              </w:rPr>
            </w:pPr>
            <w:r>
              <w:rPr>
                <w:iCs/>
                <w:color w:val="auto"/>
                <w:kern w:val="0"/>
                <w:sz w:val="24"/>
              </w:rPr>
              <w:t>项目性质：</w:t>
            </w:r>
            <w:r>
              <w:rPr>
                <w:rFonts w:hint="eastAsia"/>
                <w:iCs/>
                <w:color w:val="auto"/>
                <w:kern w:val="0"/>
                <w:sz w:val="24"/>
              </w:rPr>
              <w:t>扩建</w:t>
            </w:r>
          </w:p>
          <w:p>
            <w:pPr>
              <w:adjustRightInd w:val="0"/>
              <w:snapToGrid w:val="0"/>
              <w:spacing w:line="360" w:lineRule="auto"/>
              <w:ind w:firstLine="480" w:firstLineChars="200"/>
              <w:rPr>
                <w:color w:val="auto"/>
                <w:kern w:val="0"/>
                <w:sz w:val="24"/>
              </w:rPr>
            </w:pPr>
            <w:r>
              <w:rPr>
                <w:iCs/>
                <w:color w:val="auto"/>
                <w:kern w:val="0"/>
                <w:sz w:val="24"/>
              </w:rPr>
              <w:t>建设地点：</w:t>
            </w:r>
            <w:r>
              <w:rPr>
                <w:rFonts w:hint="eastAsia"/>
                <w:color w:val="auto"/>
                <w:spacing w:val="8"/>
                <w:sz w:val="24"/>
                <w:shd w:val="clear" w:color="auto" w:fill="FFFFFF"/>
              </w:rPr>
              <w:t>重庆市铜梁区东城街道祝英南路7号</w:t>
            </w:r>
          </w:p>
          <w:p>
            <w:pPr>
              <w:adjustRightInd w:val="0"/>
              <w:snapToGrid w:val="0"/>
              <w:spacing w:line="360" w:lineRule="auto"/>
              <w:ind w:firstLine="480" w:firstLineChars="200"/>
              <w:rPr>
                <w:color w:val="auto"/>
                <w:kern w:val="0"/>
                <w:sz w:val="24"/>
              </w:rPr>
            </w:pPr>
            <w:r>
              <w:rPr>
                <w:color w:val="auto"/>
                <w:kern w:val="0"/>
                <w:sz w:val="24"/>
              </w:rPr>
              <w:t>总 投 资：1000万元</w:t>
            </w:r>
          </w:p>
          <w:p>
            <w:pPr>
              <w:adjustRightInd w:val="0"/>
              <w:snapToGrid w:val="0"/>
              <w:spacing w:line="360" w:lineRule="auto"/>
              <w:ind w:firstLine="480" w:firstLineChars="200"/>
              <w:rPr>
                <w:color w:val="auto"/>
                <w:sz w:val="24"/>
              </w:rPr>
            </w:pPr>
            <w:r>
              <w:rPr>
                <w:color w:val="auto"/>
                <w:kern w:val="0"/>
                <w:sz w:val="24"/>
              </w:rPr>
              <w:t>生产规模：拉幅定型无纺布500吨/a</w:t>
            </w:r>
            <w:r>
              <w:rPr>
                <w:color w:val="auto"/>
                <w:sz w:val="24"/>
              </w:rPr>
              <w:t>、淋膜无纺布300吨/a</w:t>
            </w:r>
          </w:p>
          <w:p>
            <w:pPr>
              <w:adjustRightInd w:val="0"/>
              <w:snapToGrid w:val="0"/>
              <w:spacing w:line="360" w:lineRule="auto"/>
              <w:ind w:firstLine="480" w:firstLineChars="200"/>
              <w:rPr>
                <w:color w:val="auto"/>
                <w:kern w:val="0"/>
                <w:sz w:val="24"/>
              </w:rPr>
            </w:pPr>
            <w:r>
              <w:rPr>
                <w:color w:val="auto"/>
                <w:sz w:val="24"/>
              </w:rPr>
              <w:t>劳动定员及工作制度：</w:t>
            </w:r>
            <w:r>
              <w:rPr>
                <w:rFonts w:hint="eastAsia"/>
                <w:color w:val="auto"/>
                <w:sz w:val="24"/>
                <w:lang w:eastAsia="zh-CN"/>
              </w:rPr>
              <w:t>扩建项目</w:t>
            </w:r>
            <w:r>
              <w:rPr>
                <w:color w:val="auto"/>
                <w:sz w:val="24"/>
              </w:rPr>
              <w:t>通过厂区内人员结构调整,</w:t>
            </w:r>
            <w:r>
              <w:rPr>
                <w:rFonts w:hint="eastAsia"/>
                <w:color w:val="auto"/>
                <w:sz w:val="24"/>
              </w:rPr>
              <w:t>仅</w:t>
            </w:r>
            <w:r>
              <w:rPr>
                <w:color w:val="auto"/>
                <w:sz w:val="24"/>
              </w:rPr>
              <w:t>新增劳动定员</w:t>
            </w:r>
            <w:r>
              <w:rPr>
                <w:rFonts w:hint="eastAsia"/>
                <w:color w:val="auto"/>
                <w:sz w:val="24"/>
              </w:rPr>
              <w:t>4人</w:t>
            </w:r>
            <w:r>
              <w:rPr>
                <w:color w:val="auto"/>
                <w:kern w:val="0"/>
                <w:sz w:val="24"/>
              </w:rPr>
              <w:t>；</w:t>
            </w:r>
            <w:r>
              <w:rPr>
                <w:rFonts w:hint="eastAsia" w:ascii="Times New Roman" w:hAnsi="Times New Roman" w:cs="Times New Roman"/>
                <w:color w:val="auto"/>
                <w:sz w:val="24"/>
                <w:szCs w:val="24"/>
                <w:lang w:eastAsia="zh-CN"/>
              </w:rPr>
              <w:t>扩建项目</w:t>
            </w:r>
            <w:r>
              <w:rPr>
                <w:color w:val="auto"/>
                <w:kern w:val="0"/>
                <w:sz w:val="24"/>
              </w:rPr>
              <w:t>实行</w:t>
            </w:r>
            <w:r>
              <w:rPr>
                <w:rFonts w:hint="eastAsia"/>
                <w:color w:val="auto"/>
                <w:kern w:val="0"/>
                <w:sz w:val="24"/>
              </w:rPr>
              <w:t>1</w:t>
            </w:r>
            <w:r>
              <w:rPr>
                <w:color w:val="auto"/>
                <w:kern w:val="0"/>
                <w:sz w:val="24"/>
              </w:rPr>
              <w:t>班制，每班工作时间为8小时，全年工作天数为300天。</w:t>
            </w:r>
          </w:p>
          <w:p>
            <w:pPr>
              <w:pStyle w:val="2"/>
              <w:snapToGrid w:val="0"/>
              <w:ind w:firstLine="480" w:firstLineChars="200"/>
              <w:rPr>
                <w:rFonts w:ascii="Times New Roman" w:cs="Times New Roman"/>
                <w:color w:val="auto"/>
              </w:rPr>
            </w:pPr>
            <w:r>
              <w:rPr>
                <w:rFonts w:ascii="Times New Roman" w:cs="Times New Roman"/>
                <w:color w:val="auto"/>
              </w:rPr>
              <w:t>产品方案</w:t>
            </w:r>
            <w:r>
              <w:rPr>
                <w:rFonts w:hint="eastAsia" w:ascii="Times New Roman" w:cs="Times New Roman"/>
                <w:color w:val="auto"/>
              </w:rPr>
              <w:t>：</w:t>
            </w:r>
            <w:r>
              <w:rPr>
                <w:rFonts w:hint="eastAsia" w:cs="Times New Roman"/>
                <w:color w:val="auto"/>
                <w:highlight w:val="none"/>
                <w:lang w:eastAsia="zh-CN"/>
              </w:rPr>
              <w:t>扩建项目</w:t>
            </w:r>
            <w:r>
              <w:rPr>
                <w:rFonts w:hint="eastAsia" w:ascii="Times New Roman" w:cs="Times New Roman"/>
                <w:color w:val="auto"/>
              </w:rPr>
              <w:t>主要生产</w:t>
            </w:r>
            <w:r>
              <w:rPr>
                <w:rFonts w:hint="eastAsia"/>
                <w:color w:val="auto"/>
              </w:rPr>
              <w:t>拉幅定型无纺布、淋膜无纺布</w:t>
            </w:r>
            <w:r>
              <w:rPr>
                <w:rFonts w:ascii="Times New Roman" w:cs="Times New Roman"/>
                <w:color w:val="auto"/>
              </w:rPr>
              <w:t>，</w:t>
            </w:r>
            <w:r>
              <w:rPr>
                <w:rFonts w:hint="eastAsia" w:ascii="Times New Roman" w:cs="Times New Roman"/>
                <w:color w:val="auto"/>
              </w:rPr>
              <w:t>这两种产品均属于汽车内饰件，</w:t>
            </w:r>
            <w:r>
              <w:rPr>
                <w:rFonts w:ascii="Times New Roman" w:cs="Times New Roman"/>
                <w:color w:val="auto"/>
              </w:rPr>
              <w:t>其产品方案见表2.</w:t>
            </w:r>
            <w:r>
              <w:rPr>
                <w:rFonts w:hint="eastAsia" w:ascii="Times New Roman" w:cs="Times New Roman"/>
                <w:color w:val="auto"/>
              </w:rPr>
              <w:t>1</w:t>
            </w:r>
            <w:r>
              <w:rPr>
                <w:rFonts w:ascii="Times New Roman" w:cs="Times New Roman"/>
                <w:color w:val="auto"/>
              </w:rPr>
              <w:t>。</w:t>
            </w:r>
          </w:p>
          <w:p>
            <w:pPr>
              <w:adjustRightInd w:val="0"/>
              <w:snapToGrid w:val="0"/>
              <w:spacing w:line="360" w:lineRule="auto"/>
              <w:jc w:val="center"/>
              <w:rPr>
                <w:color w:val="auto"/>
                <w:sz w:val="21"/>
                <w:szCs w:val="21"/>
                <w:highlight w:val="none"/>
              </w:rPr>
            </w:pPr>
            <w:r>
              <w:rPr>
                <w:color w:val="auto"/>
                <w:sz w:val="21"/>
                <w:szCs w:val="21"/>
                <w:highlight w:val="none"/>
              </w:rPr>
              <w:t>表2.</w:t>
            </w:r>
            <w:r>
              <w:rPr>
                <w:rFonts w:hint="eastAsia"/>
                <w:color w:val="auto"/>
                <w:sz w:val="21"/>
                <w:szCs w:val="21"/>
                <w:highlight w:val="none"/>
              </w:rPr>
              <w:t>1</w:t>
            </w:r>
            <w:r>
              <w:rPr>
                <w:color w:val="auto"/>
                <w:sz w:val="21"/>
                <w:szCs w:val="21"/>
                <w:highlight w:val="none"/>
              </w:rPr>
              <w:t xml:space="preserve"> </w:t>
            </w:r>
            <w:r>
              <w:rPr>
                <w:rFonts w:hint="eastAsia"/>
                <w:color w:val="auto"/>
                <w:sz w:val="21"/>
                <w:szCs w:val="21"/>
                <w:highlight w:val="none"/>
                <w:lang w:eastAsia="zh-CN"/>
              </w:rPr>
              <w:t>扩建项目</w:t>
            </w:r>
            <w:r>
              <w:rPr>
                <w:color w:val="auto"/>
                <w:sz w:val="21"/>
                <w:szCs w:val="21"/>
                <w:highlight w:val="none"/>
              </w:rPr>
              <w:t>产品方案</w:t>
            </w:r>
          </w:p>
          <w:tbl>
            <w:tblPr>
              <w:tblStyle w:val="22"/>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378"/>
              <w:gridCol w:w="1437"/>
              <w:gridCol w:w="383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24" w:type="pct"/>
                  <w:vAlign w:val="center"/>
                </w:tcPr>
                <w:p>
                  <w:pPr>
                    <w:widowControl/>
                    <w:snapToGrid w:val="0"/>
                    <w:jc w:val="center"/>
                    <w:rPr>
                      <w:color w:val="auto"/>
                      <w:szCs w:val="21"/>
                    </w:rPr>
                  </w:pPr>
                  <w:r>
                    <w:rPr>
                      <w:rFonts w:hint="eastAsia"/>
                      <w:color w:val="auto"/>
                      <w:szCs w:val="21"/>
                    </w:rPr>
                    <w:t>产品类型</w:t>
                  </w:r>
                </w:p>
              </w:tc>
              <w:tc>
                <w:tcPr>
                  <w:tcW w:w="823" w:type="pct"/>
                  <w:vAlign w:val="center"/>
                </w:tcPr>
                <w:p>
                  <w:pPr>
                    <w:widowControl/>
                    <w:snapToGrid w:val="0"/>
                    <w:jc w:val="center"/>
                    <w:rPr>
                      <w:color w:val="auto"/>
                      <w:szCs w:val="21"/>
                    </w:rPr>
                  </w:pPr>
                  <w:r>
                    <w:rPr>
                      <w:rFonts w:hint="eastAsia"/>
                      <w:color w:val="auto"/>
                      <w:szCs w:val="21"/>
                    </w:rPr>
                    <w:t>规格</w:t>
                  </w:r>
                </w:p>
              </w:tc>
              <w:tc>
                <w:tcPr>
                  <w:tcW w:w="859" w:type="pct"/>
                  <w:vAlign w:val="center"/>
                </w:tcPr>
                <w:p>
                  <w:pPr>
                    <w:widowControl/>
                    <w:snapToGrid w:val="0"/>
                    <w:jc w:val="center"/>
                    <w:rPr>
                      <w:color w:val="auto"/>
                      <w:szCs w:val="21"/>
                    </w:rPr>
                  </w:pPr>
                  <w:r>
                    <w:rPr>
                      <w:color w:val="auto"/>
                      <w:szCs w:val="21"/>
                    </w:rPr>
                    <w:t>生产能力</w:t>
                  </w:r>
                </w:p>
              </w:tc>
              <w:tc>
                <w:tcPr>
                  <w:tcW w:w="2292" w:type="pct"/>
                  <w:vAlign w:val="center"/>
                </w:tcPr>
                <w:p>
                  <w:pPr>
                    <w:widowControl/>
                    <w:snapToGrid w:val="0"/>
                    <w:jc w:val="center"/>
                    <w:rPr>
                      <w:color w:val="auto"/>
                      <w:szCs w:val="21"/>
                    </w:rPr>
                  </w:pPr>
                  <w:r>
                    <w:rPr>
                      <w:color w:val="auto"/>
                      <w:szCs w:val="21"/>
                    </w:rPr>
                    <w:t>产品信息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024" w:type="pct"/>
                  <w:vAlign w:val="center"/>
                </w:tcPr>
                <w:p>
                  <w:pPr>
                    <w:pStyle w:val="57"/>
                    <w:spacing w:line="240" w:lineRule="auto"/>
                    <w:rPr>
                      <w:color w:val="auto"/>
                      <w:szCs w:val="21"/>
                    </w:rPr>
                  </w:pPr>
                  <w:r>
                    <w:rPr>
                      <w:color w:val="auto"/>
                      <w:szCs w:val="21"/>
                    </w:rPr>
                    <w:t>拉幅定型无纺布</w:t>
                  </w:r>
                </w:p>
              </w:tc>
              <w:tc>
                <w:tcPr>
                  <w:tcW w:w="823" w:type="pct"/>
                  <w:vAlign w:val="center"/>
                </w:tcPr>
                <w:p>
                  <w:pPr>
                    <w:adjustRightInd w:val="0"/>
                    <w:snapToGrid w:val="0"/>
                    <w:jc w:val="center"/>
                    <w:rPr>
                      <w:color w:val="auto"/>
                      <w:szCs w:val="21"/>
                    </w:rPr>
                  </w:pPr>
                  <w:r>
                    <w:rPr>
                      <w:color w:val="auto"/>
                      <w:szCs w:val="21"/>
                    </w:rPr>
                    <w:t>1.5×50m</w:t>
                  </w:r>
                </w:p>
              </w:tc>
              <w:tc>
                <w:tcPr>
                  <w:tcW w:w="859" w:type="pct"/>
                  <w:vAlign w:val="center"/>
                </w:tcPr>
                <w:p>
                  <w:pPr>
                    <w:pStyle w:val="57"/>
                    <w:spacing w:line="240" w:lineRule="auto"/>
                    <w:rPr>
                      <w:color w:val="auto"/>
                      <w:szCs w:val="21"/>
                      <w:highlight w:val="yellow"/>
                    </w:rPr>
                  </w:pPr>
                  <w:r>
                    <w:rPr>
                      <w:rFonts w:hint="eastAsia"/>
                      <w:color w:val="auto"/>
                      <w:szCs w:val="21"/>
                    </w:rPr>
                    <w:t>10000</w:t>
                  </w:r>
                  <w:r>
                    <w:rPr>
                      <w:color w:val="auto"/>
                      <w:szCs w:val="21"/>
                    </w:rPr>
                    <w:t>卷/a</w:t>
                  </w:r>
                </w:p>
                <w:p>
                  <w:pPr>
                    <w:pStyle w:val="57"/>
                    <w:spacing w:line="240" w:lineRule="auto"/>
                    <w:rPr>
                      <w:color w:val="auto"/>
                      <w:szCs w:val="21"/>
                    </w:rPr>
                  </w:pPr>
                  <w:r>
                    <w:rPr>
                      <w:color w:val="auto"/>
                      <w:szCs w:val="21"/>
                    </w:rPr>
                    <w:t>500t/a</w:t>
                  </w:r>
                </w:p>
              </w:tc>
              <w:tc>
                <w:tcPr>
                  <w:tcW w:w="2292" w:type="pct"/>
                  <w:vAlign w:val="center"/>
                </w:tcPr>
                <w:p>
                  <w:pPr>
                    <w:widowControl/>
                    <w:snapToGrid w:val="0"/>
                    <w:rPr>
                      <w:rFonts w:hint="eastAsia" w:eastAsia="宋体"/>
                      <w:color w:val="auto"/>
                      <w:szCs w:val="21"/>
                      <w:highlight w:val="none"/>
                      <w:lang w:eastAsia="zh-CN"/>
                    </w:rPr>
                  </w:pPr>
                  <w:r>
                    <w:rPr>
                      <w:color w:val="auto"/>
                      <w:szCs w:val="21"/>
                      <w:highlight w:val="none"/>
                    </w:rPr>
                    <w:t>重量：</w:t>
                  </w:r>
                  <w:r>
                    <w:rPr>
                      <w:rFonts w:hint="eastAsia"/>
                      <w:color w:val="auto"/>
                      <w:szCs w:val="21"/>
                      <w:highlight w:val="none"/>
                    </w:rPr>
                    <w:t>50</w:t>
                  </w:r>
                  <w:r>
                    <w:rPr>
                      <w:color w:val="auto"/>
                      <w:szCs w:val="21"/>
                      <w:highlight w:val="none"/>
                    </w:rPr>
                    <w:t>kg/卷；原材料：无纺布、</w:t>
                  </w:r>
                  <w:r>
                    <w:rPr>
                      <w:rFonts w:hint="eastAsia"/>
                      <w:color w:val="auto"/>
                      <w:szCs w:val="21"/>
                      <w:highlight w:val="none"/>
                      <w:lang w:eastAsia="zh-CN"/>
                    </w:rPr>
                    <w:t>水性胶粘剂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024" w:type="pct"/>
                  <w:vAlign w:val="center"/>
                </w:tcPr>
                <w:p>
                  <w:pPr>
                    <w:pStyle w:val="57"/>
                    <w:spacing w:line="240" w:lineRule="auto"/>
                    <w:rPr>
                      <w:color w:val="auto"/>
                      <w:szCs w:val="21"/>
                    </w:rPr>
                  </w:pPr>
                  <w:r>
                    <w:rPr>
                      <w:color w:val="auto"/>
                      <w:szCs w:val="21"/>
                    </w:rPr>
                    <w:t>淋膜无纺布</w:t>
                  </w:r>
                </w:p>
              </w:tc>
              <w:tc>
                <w:tcPr>
                  <w:tcW w:w="823" w:type="pct"/>
                  <w:vAlign w:val="center"/>
                </w:tcPr>
                <w:p>
                  <w:pPr>
                    <w:adjustRightInd w:val="0"/>
                    <w:snapToGrid w:val="0"/>
                    <w:jc w:val="center"/>
                    <w:rPr>
                      <w:color w:val="auto"/>
                      <w:szCs w:val="21"/>
                    </w:rPr>
                  </w:pPr>
                  <w:r>
                    <w:rPr>
                      <w:color w:val="auto"/>
                      <w:szCs w:val="21"/>
                    </w:rPr>
                    <w:t>1.5×50m</w:t>
                  </w:r>
                </w:p>
              </w:tc>
              <w:tc>
                <w:tcPr>
                  <w:tcW w:w="859" w:type="pct"/>
                  <w:vAlign w:val="center"/>
                </w:tcPr>
                <w:p>
                  <w:pPr>
                    <w:pStyle w:val="57"/>
                    <w:spacing w:line="240" w:lineRule="auto"/>
                    <w:rPr>
                      <w:color w:val="auto"/>
                      <w:szCs w:val="21"/>
                    </w:rPr>
                  </w:pPr>
                  <w:r>
                    <w:rPr>
                      <w:color w:val="auto"/>
                      <w:szCs w:val="21"/>
                    </w:rPr>
                    <w:t>5000卷/a</w:t>
                  </w:r>
                </w:p>
                <w:p>
                  <w:pPr>
                    <w:pStyle w:val="57"/>
                    <w:spacing w:line="240" w:lineRule="auto"/>
                    <w:rPr>
                      <w:color w:val="auto"/>
                      <w:szCs w:val="21"/>
                    </w:rPr>
                  </w:pPr>
                  <w:r>
                    <w:rPr>
                      <w:color w:val="auto"/>
                      <w:szCs w:val="21"/>
                    </w:rPr>
                    <w:t>300t/a</w:t>
                  </w:r>
                </w:p>
              </w:tc>
              <w:tc>
                <w:tcPr>
                  <w:tcW w:w="2292" w:type="pct"/>
                  <w:vAlign w:val="center"/>
                </w:tcPr>
                <w:p>
                  <w:pPr>
                    <w:widowControl/>
                    <w:snapToGrid w:val="0"/>
                    <w:rPr>
                      <w:color w:val="auto"/>
                      <w:szCs w:val="21"/>
                      <w:highlight w:val="none"/>
                    </w:rPr>
                  </w:pPr>
                  <w:r>
                    <w:rPr>
                      <w:color w:val="auto"/>
                      <w:szCs w:val="21"/>
                      <w:highlight w:val="none"/>
                    </w:rPr>
                    <w:t>重量：60kg/卷；原材料：无纺布、P</w:t>
                  </w:r>
                  <w:r>
                    <w:rPr>
                      <w:rFonts w:hint="eastAsia"/>
                      <w:color w:val="auto"/>
                      <w:szCs w:val="21"/>
                      <w:highlight w:val="none"/>
                      <w:lang w:val="en-US" w:eastAsia="zh-CN"/>
                    </w:rPr>
                    <w:t>E</w:t>
                  </w:r>
                  <w:r>
                    <w:rPr>
                      <w:color w:val="auto"/>
                      <w:szCs w:val="21"/>
                      <w:highlight w:val="none"/>
                    </w:rPr>
                    <w:t>塑料粒</w:t>
                  </w:r>
                </w:p>
              </w:tc>
            </w:tr>
          </w:tbl>
          <w:p>
            <w:pPr>
              <w:adjustRightInd w:val="0"/>
              <w:snapToGrid w:val="0"/>
              <w:spacing w:line="360" w:lineRule="auto"/>
              <w:ind w:firstLine="480" w:firstLineChars="200"/>
              <w:rPr>
                <w:color w:val="auto"/>
                <w:sz w:val="24"/>
              </w:rPr>
            </w:pPr>
            <w:r>
              <w:rPr>
                <w:color w:val="auto"/>
                <w:sz w:val="24"/>
              </w:rPr>
              <w:t>建设内容：</w:t>
            </w:r>
            <w:r>
              <w:rPr>
                <w:rFonts w:hint="eastAsia"/>
                <w:color w:val="auto"/>
                <w:sz w:val="24"/>
                <w:highlight w:val="none"/>
                <w:lang w:eastAsia="zh-CN"/>
              </w:rPr>
              <w:t>扩建项目</w:t>
            </w:r>
            <w:r>
              <w:rPr>
                <w:rFonts w:hint="eastAsia"/>
                <w:color w:val="auto"/>
                <w:sz w:val="24"/>
              </w:rPr>
              <w:t>利用现有2#厂房，新增2条</w:t>
            </w:r>
            <w:r>
              <w:rPr>
                <w:color w:val="auto"/>
                <w:kern w:val="0"/>
                <w:sz w:val="24"/>
              </w:rPr>
              <w:t>拉幅定型无纺布</w:t>
            </w:r>
            <w:r>
              <w:rPr>
                <w:rFonts w:hint="eastAsia"/>
                <w:color w:val="auto"/>
                <w:kern w:val="0"/>
                <w:sz w:val="24"/>
              </w:rPr>
              <w:t>生产线、2条</w:t>
            </w:r>
            <w:r>
              <w:rPr>
                <w:color w:val="auto"/>
                <w:sz w:val="24"/>
              </w:rPr>
              <w:t>淋膜无纺布</w:t>
            </w:r>
            <w:r>
              <w:rPr>
                <w:rFonts w:hint="eastAsia"/>
                <w:color w:val="auto"/>
                <w:sz w:val="24"/>
              </w:rPr>
              <w:t>生产线，</w:t>
            </w:r>
            <w:r>
              <w:rPr>
                <w:rFonts w:hint="eastAsia"/>
                <w:color w:val="auto"/>
                <w:kern w:val="0"/>
                <w:sz w:val="24"/>
                <w:lang w:eastAsia="zh-CN"/>
              </w:rPr>
              <w:t>扩建项目</w:t>
            </w:r>
            <w:r>
              <w:rPr>
                <w:rFonts w:hint="eastAsia"/>
                <w:color w:val="auto"/>
                <w:kern w:val="0"/>
                <w:sz w:val="24"/>
              </w:rPr>
              <w:t>新增员工食宿依托厂区现有员工食堂、员工宿舍，供水、供电和排水依托</w:t>
            </w:r>
            <w:r>
              <w:rPr>
                <w:rFonts w:hint="eastAsia"/>
                <w:color w:val="auto"/>
                <w:sz w:val="24"/>
              </w:rPr>
              <w:t>厂区</w:t>
            </w:r>
            <w:r>
              <w:rPr>
                <w:rFonts w:hint="eastAsia"/>
                <w:color w:val="auto"/>
                <w:kern w:val="0"/>
                <w:sz w:val="24"/>
              </w:rPr>
              <w:t>现有设施，</w:t>
            </w:r>
            <w:r>
              <w:rPr>
                <w:color w:val="auto"/>
                <w:sz w:val="24"/>
              </w:rPr>
              <w:t>项目组成见表2.2</w:t>
            </w:r>
            <w:r>
              <w:rPr>
                <w:rFonts w:hint="eastAsia"/>
                <w:color w:val="auto"/>
                <w:sz w:val="24"/>
                <w:lang w:eastAsia="zh-CN"/>
              </w:rPr>
              <w:t>，扩建项目依托可行性分析见表</w:t>
            </w:r>
            <w:r>
              <w:rPr>
                <w:rFonts w:hint="eastAsia"/>
                <w:color w:val="auto"/>
                <w:sz w:val="24"/>
                <w:lang w:val="en-US" w:eastAsia="zh-CN"/>
              </w:rPr>
              <w:t>2.3</w:t>
            </w:r>
            <w:r>
              <w:rPr>
                <w:color w:val="auto"/>
                <w:sz w:val="24"/>
              </w:rPr>
              <w:t>。</w:t>
            </w:r>
          </w:p>
          <w:p>
            <w:pPr>
              <w:adjustRightInd w:val="0"/>
              <w:snapToGrid w:val="0"/>
              <w:spacing w:line="360" w:lineRule="auto"/>
              <w:jc w:val="center"/>
              <w:rPr>
                <w:color w:val="auto"/>
                <w:sz w:val="21"/>
                <w:szCs w:val="21"/>
              </w:rPr>
            </w:pPr>
            <w:r>
              <w:rPr>
                <w:color w:val="auto"/>
                <w:sz w:val="21"/>
                <w:szCs w:val="21"/>
              </w:rPr>
              <w:t>表2.</w:t>
            </w:r>
            <w:r>
              <w:rPr>
                <w:rFonts w:hint="eastAsia"/>
                <w:color w:val="auto"/>
                <w:sz w:val="21"/>
                <w:szCs w:val="21"/>
              </w:rPr>
              <w:t>2</w:t>
            </w:r>
            <w:r>
              <w:rPr>
                <w:color w:val="auto"/>
                <w:sz w:val="21"/>
                <w:szCs w:val="21"/>
              </w:rPr>
              <w:t xml:space="preserve"> </w:t>
            </w:r>
            <w:r>
              <w:rPr>
                <w:color w:val="auto"/>
                <w:sz w:val="21"/>
                <w:szCs w:val="21"/>
                <w:highlight w:val="none"/>
              </w:rPr>
              <w:t>项目组成一览表</w:t>
            </w:r>
          </w:p>
          <w:tbl>
            <w:tblPr>
              <w:tblStyle w:val="22"/>
              <w:tblW w:w="5000" w:type="pct"/>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89"/>
              <w:gridCol w:w="694"/>
              <w:gridCol w:w="977"/>
              <w:gridCol w:w="4827"/>
              <w:gridCol w:w="679"/>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0" w:type="pct"/>
                  <w:tcBorders>
                    <w:top w:val="single" w:color="auto" w:sz="6" w:space="0"/>
                    <w:left w:val="nil"/>
                    <w:bottom w:val="single" w:color="auto" w:sz="6" w:space="0"/>
                    <w:right w:val="single" w:color="auto" w:sz="6" w:space="0"/>
                  </w:tcBorders>
                  <w:vAlign w:val="center"/>
                </w:tcPr>
                <w:p>
                  <w:pPr>
                    <w:adjustRightInd w:val="0"/>
                    <w:snapToGrid w:val="0"/>
                    <w:jc w:val="center"/>
                    <w:rPr>
                      <w:color w:val="auto"/>
                    </w:rPr>
                  </w:pPr>
                  <w:r>
                    <w:rPr>
                      <w:color w:val="auto"/>
                    </w:rPr>
                    <w:t>工程类别</w:t>
                  </w:r>
                </w:p>
              </w:tc>
              <w:tc>
                <w:tcPr>
                  <w:tcW w:w="998"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rPr>
                  </w:pPr>
                  <w:r>
                    <w:rPr>
                      <w:color w:val="auto"/>
                    </w:rPr>
                    <w:t>项目</w:t>
                  </w:r>
                </w:p>
              </w:tc>
              <w:tc>
                <w:tcPr>
                  <w:tcW w:w="2884" w:type="pct"/>
                  <w:tcBorders>
                    <w:top w:val="single" w:color="auto" w:sz="6" w:space="0"/>
                    <w:left w:val="single" w:color="auto" w:sz="6" w:space="0"/>
                    <w:bottom w:val="single" w:color="auto" w:sz="6" w:space="0"/>
                    <w:right w:val="single" w:color="auto" w:sz="4" w:space="0"/>
                  </w:tcBorders>
                  <w:vAlign w:val="center"/>
                </w:tcPr>
                <w:p>
                  <w:pPr>
                    <w:adjustRightInd w:val="0"/>
                    <w:snapToGrid w:val="0"/>
                    <w:jc w:val="center"/>
                    <w:rPr>
                      <w:color w:val="auto"/>
                    </w:rPr>
                  </w:pPr>
                  <w:r>
                    <w:rPr>
                      <w:color w:val="auto"/>
                    </w:rPr>
                    <w:t>内容及规模</w:t>
                  </w:r>
                </w:p>
              </w:tc>
              <w:tc>
                <w:tcPr>
                  <w:tcW w:w="406" w:type="pct"/>
                  <w:tcBorders>
                    <w:top w:val="single" w:color="auto" w:sz="6" w:space="0"/>
                    <w:left w:val="single" w:color="auto" w:sz="4" w:space="0"/>
                    <w:bottom w:val="single" w:color="auto" w:sz="6" w:space="0"/>
                    <w:right w:val="nil"/>
                  </w:tcBorders>
                  <w:vAlign w:val="center"/>
                </w:tcPr>
                <w:p>
                  <w:pPr>
                    <w:adjustRightInd w:val="0"/>
                    <w:snapToGrid w:val="0"/>
                    <w:jc w:val="center"/>
                    <w:rPr>
                      <w:color w:val="auto"/>
                    </w:rPr>
                  </w:pPr>
                  <w:r>
                    <w:rPr>
                      <w:rFonts w:hint="eastAsia"/>
                      <w:color w:val="auto"/>
                    </w:rPr>
                    <w:t>备注</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710" w:type="pct"/>
                  <w:vMerge w:val="restart"/>
                  <w:tcBorders>
                    <w:top w:val="single" w:color="auto" w:sz="6" w:space="0"/>
                    <w:left w:val="nil"/>
                    <w:right w:val="single" w:color="auto" w:sz="6" w:space="0"/>
                  </w:tcBorders>
                  <w:vAlign w:val="center"/>
                </w:tcPr>
                <w:p>
                  <w:pPr>
                    <w:adjustRightInd w:val="0"/>
                    <w:snapToGrid w:val="0"/>
                    <w:jc w:val="center"/>
                    <w:rPr>
                      <w:color w:val="auto"/>
                    </w:rPr>
                  </w:pPr>
                  <w:r>
                    <w:rPr>
                      <w:rFonts w:hint="eastAsia"/>
                      <w:color w:val="auto"/>
                    </w:rPr>
                    <w:t>主体工程</w:t>
                  </w:r>
                </w:p>
              </w:tc>
              <w:tc>
                <w:tcPr>
                  <w:tcW w:w="998"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Cs w:val="21"/>
                    </w:rPr>
                  </w:pPr>
                  <w:r>
                    <w:rPr>
                      <w:color w:val="auto"/>
                      <w:kern w:val="0"/>
                      <w:szCs w:val="21"/>
                    </w:rPr>
                    <w:t>拉幅定型无纺布生产线</w:t>
                  </w:r>
                </w:p>
              </w:tc>
              <w:tc>
                <w:tcPr>
                  <w:tcW w:w="2884" w:type="pct"/>
                  <w:tcBorders>
                    <w:top w:val="single" w:color="auto" w:sz="6" w:space="0"/>
                    <w:left w:val="single" w:color="auto" w:sz="6" w:space="0"/>
                    <w:bottom w:val="single" w:color="auto" w:sz="6" w:space="0"/>
                    <w:right w:val="single" w:color="auto" w:sz="4" w:space="0"/>
                  </w:tcBorders>
                  <w:vAlign w:val="center"/>
                </w:tcPr>
                <w:p>
                  <w:pPr>
                    <w:adjustRightInd w:val="0"/>
                    <w:snapToGrid w:val="0"/>
                    <w:rPr>
                      <w:color w:val="auto"/>
                      <w:szCs w:val="21"/>
                      <w:highlight w:val="yellow"/>
                    </w:rPr>
                  </w:pPr>
                  <w:r>
                    <w:rPr>
                      <w:rFonts w:hint="eastAsia"/>
                      <w:color w:val="auto"/>
                      <w:szCs w:val="21"/>
                    </w:rPr>
                    <w:t>2条</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highlight w:val="none"/>
                    </w:rPr>
                    <w:t>生产能力为</w:t>
                  </w:r>
                  <w:r>
                    <w:rPr>
                      <w:rFonts w:hint="default" w:ascii="Times New Roman" w:hAnsi="Times New Roman" w:eastAsia="宋体" w:cs="Times New Roman"/>
                      <w:color w:val="auto"/>
                      <w:szCs w:val="21"/>
                      <w:highlight w:val="none"/>
                      <w:lang w:val="en-US" w:eastAsia="zh-CN"/>
                    </w:rPr>
                    <w:t>5</w:t>
                  </w:r>
                  <w:r>
                    <w:rPr>
                      <w:rFonts w:hint="default" w:ascii="Times New Roman" w:hAnsi="Times New Roman" w:eastAsia="宋体" w:cs="Times New Roman"/>
                      <w:color w:val="auto"/>
                      <w:szCs w:val="21"/>
                      <w:highlight w:val="none"/>
                    </w:rPr>
                    <w:t>000卷/a·</w:t>
                  </w:r>
                  <w:r>
                    <w:rPr>
                      <w:rFonts w:hint="default" w:ascii="Times New Roman" w:hAnsi="Times New Roman" w:eastAsia="宋体" w:cs="Times New Roman"/>
                      <w:color w:val="auto"/>
                      <w:szCs w:val="21"/>
                      <w:highlight w:val="none"/>
                      <w:lang w:eastAsia="zh-CN"/>
                    </w:rPr>
                    <w:t>条</w:t>
                  </w:r>
                  <w:r>
                    <w:rPr>
                      <w:rFonts w:hint="default" w:ascii="Times New Roman" w:hAnsi="Times New Roman" w:eastAsia="宋体" w:cs="Times New Roman"/>
                      <w:color w:val="auto"/>
                      <w:szCs w:val="21"/>
                      <w:highlight w:val="none"/>
                    </w:rPr>
                    <w:t>（500t/a·</w:t>
                  </w:r>
                  <w:r>
                    <w:rPr>
                      <w:rFonts w:hint="default" w:ascii="Times New Roman" w:hAnsi="Times New Roman" w:eastAsia="宋体" w:cs="Times New Roman"/>
                      <w:color w:val="auto"/>
                      <w:szCs w:val="21"/>
                      <w:highlight w:val="none"/>
                      <w:lang w:eastAsia="zh-CN"/>
                    </w:rPr>
                    <w:t>条</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rPr>
                    <w:t>传送带</w:t>
                  </w:r>
                  <w:r>
                    <w:rPr>
                      <w:rFonts w:hint="default" w:ascii="Times New Roman" w:hAnsi="Times New Roman" w:eastAsia="宋体" w:cs="Times New Roman"/>
                      <w:color w:val="auto"/>
                    </w:rPr>
                    <w:t>运行速度4m/min，传输带长度50m，烘烤</w:t>
                  </w:r>
                  <w:r>
                    <w:rPr>
                      <w:rFonts w:hint="eastAsia"/>
                      <w:color w:val="auto"/>
                    </w:rPr>
                    <w:t>段传输带长度25m。主要工序包括：开卷、涂胶、烘干、收卷。</w:t>
                  </w:r>
                </w:p>
              </w:tc>
              <w:tc>
                <w:tcPr>
                  <w:tcW w:w="406" w:type="pct"/>
                  <w:tcBorders>
                    <w:top w:val="single" w:color="auto" w:sz="6" w:space="0"/>
                    <w:left w:val="single" w:color="auto" w:sz="4" w:space="0"/>
                    <w:bottom w:val="single" w:color="auto" w:sz="6" w:space="0"/>
                    <w:right w:val="nil"/>
                  </w:tcBorders>
                  <w:vAlign w:val="center"/>
                </w:tcPr>
                <w:p>
                  <w:pPr>
                    <w:adjustRightInd w:val="0"/>
                    <w:snapToGrid w:val="0"/>
                    <w:jc w:val="center"/>
                    <w:rPr>
                      <w:color w:val="auto"/>
                      <w:szCs w:val="21"/>
                    </w:rPr>
                  </w:pPr>
                  <w:r>
                    <w:rPr>
                      <w:rFonts w:hint="eastAsia"/>
                      <w:color w:val="auto"/>
                      <w:szCs w:val="21"/>
                    </w:rPr>
                    <w:t>新增</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0" w:type="pct"/>
                  <w:vMerge w:val="continue"/>
                  <w:tcBorders>
                    <w:left w:val="nil"/>
                    <w:right w:val="single" w:color="auto" w:sz="6" w:space="0"/>
                  </w:tcBorders>
                  <w:vAlign w:val="center"/>
                </w:tcPr>
                <w:p>
                  <w:pPr>
                    <w:adjustRightInd w:val="0"/>
                    <w:snapToGrid w:val="0"/>
                    <w:jc w:val="center"/>
                    <w:rPr>
                      <w:color w:val="auto"/>
                    </w:rPr>
                  </w:pPr>
                </w:p>
              </w:tc>
              <w:tc>
                <w:tcPr>
                  <w:tcW w:w="998"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Cs w:val="21"/>
                    </w:rPr>
                  </w:pPr>
                  <w:r>
                    <w:rPr>
                      <w:color w:val="auto"/>
                      <w:szCs w:val="21"/>
                    </w:rPr>
                    <w:t>淋膜无纺布</w:t>
                  </w:r>
                  <w:r>
                    <w:rPr>
                      <w:rFonts w:hint="eastAsia"/>
                      <w:color w:val="auto"/>
                      <w:szCs w:val="21"/>
                    </w:rPr>
                    <w:t>生产线</w:t>
                  </w:r>
                </w:p>
              </w:tc>
              <w:tc>
                <w:tcPr>
                  <w:tcW w:w="2884" w:type="pct"/>
                  <w:tcBorders>
                    <w:top w:val="single" w:color="auto" w:sz="6" w:space="0"/>
                    <w:left w:val="single" w:color="auto" w:sz="6" w:space="0"/>
                    <w:bottom w:val="single" w:color="auto" w:sz="6" w:space="0"/>
                    <w:right w:val="single" w:color="auto" w:sz="4" w:space="0"/>
                  </w:tcBorders>
                  <w:vAlign w:val="center"/>
                </w:tcPr>
                <w:p>
                  <w:pPr>
                    <w:adjustRightInd w:val="0"/>
                    <w:snapToGrid w:val="0"/>
                    <w:rPr>
                      <w:color w:val="auto"/>
                      <w:szCs w:val="21"/>
                      <w:highlight w:val="yellow"/>
                    </w:rPr>
                  </w:pPr>
                  <w:r>
                    <w:rPr>
                      <w:rFonts w:hint="eastAsia"/>
                      <w:color w:val="auto"/>
                      <w:szCs w:val="21"/>
                      <w:highlight w:val="none"/>
                    </w:rPr>
                    <w:t>2条，生产能力为</w:t>
                  </w:r>
                  <w:r>
                    <w:rPr>
                      <w:rFonts w:hint="eastAsia"/>
                      <w:color w:val="auto"/>
                      <w:szCs w:val="21"/>
                      <w:highlight w:val="none"/>
                      <w:lang w:val="en-US" w:eastAsia="zh-CN"/>
                    </w:rPr>
                    <w:t>25</w:t>
                  </w:r>
                  <w:r>
                    <w:rPr>
                      <w:rFonts w:hint="eastAsia"/>
                      <w:color w:val="auto"/>
                      <w:szCs w:val="21"/>
                      <w:highlight w:val="none"/>
                    </w:rPr>
                    <w:t>00卷/a</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条</w:t>
                  </w:r>
                  <w:r>
                    <w:rPr>
                      <w:rFonts w:hint="eastAsia"/>
                      <w:color w:val="auto"/>
                      <w:szCs w:val="21"/>
                      <w:highlight w:val="none"/>
                    </w:rPr>
                    <w:t>（</w:t>
                  </w:r>
                  <w:r>
                    <w:rPr>
                      <w:rFonts w:hint="eastAsia"/>
                      <w:color w:val="auto"/>
                      <w:szCs w:val="21"/>
                      <w:highlight w:val="none"/>
                      <w:lang w:val="en-US" w:eastAsia="zh-CN"/>
                    </w:rPr>
                    <w:t>15</w:t>
                  </w:r>
                  <w:r>
                    <w:rPr>
                      <w:rFonts w:hint="eastAsia"/>
                      <w:color w:val="auto"/>
                      <w:szCs w:val="21"/>
                      <w:highlight w:val="none"/>
                    </w:rPr>
                    <w:t>0t/a</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Cs w:val="21"/>
                      <w:highlight w:val="none"/>
                      <w:lang w:eastAsia="zh-CN"/>
                    </w:rPr>
                    <w:t>条</w:t>
                  </w:r>
                  <w:r>
                    <w:rPr>
                      <w:rFonts w:hint="eastAsia"/>
                      <w:color w:val="auto"/>
                      <w:szCs w:val="21"/>
                      <w:highlight w:val="none"/>
                    </w:rPr>
                    <w:t>），</w:t>
                  </w:r>
                  <w:r>
                    <w:rPr>
                      <w:rFonts w:hint="eastAsia"/>
                      <w:color w:val="auto"/>
                      <w:szCs w:val="21"/>
                    </w:rPr>
                    <w:t>传送</w:t>
                  </w:r>
                  <w:r>
                    <w:rPr>
                      <w:rFonts w:hint="eastAsia"/>
                      <w:color w:val="auto"/>
                    </w:rPr>
                    <w:t>速度2m/min，。主要工序包括：开卷、热融、淋膜、冷却、收卷。</w:t>
                  </w:r>
                </w:p>
              </w:tc>
              <w:tc>
                <w:tcPr>
                  <w:tcW w:w="406" w:type="pct"/>
                  <w:tcBorders>
                    <w:top w:val="single" w:color="auto" w:sz="6" w:space="0"/>
                    <w:left w:val="single" w:color="auto" w:sz="4" w:space="0"/>
                    <w:bottom w:val="single" w:color="auto" w:sz="6" w:space="0"/>
                    <w:right w:val="nil"/>
                  </w:tcBorders>
                  <w:vAlign w:val="center"/>
                </w:tcPr>
                <w:p>
                  <w:pPr>
                    <w:adjustRightInd w:val="0"/>
                    <w:snapToGrid w:val="0"/>
                    <w:jc w:val="center"/>
                    <w:rPr>
                      <w:color w:val="auto"/>
                      <w:szCs w:val="21"/>
                    </w:rPr>
                  </w:pPr>
                  <w:r>
                    <w:rPr>
                      <w:rFonts w:hint="eastAsia"/>
                      <w:color w:val="auto"/>
                      <w:szCs w:val="21"/>
                    </w:rPr>
                    <w:t>新增</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9" w:hRule="atLeast"/>
                <w:jc w:val="center"/>
              </w:trPr>
              <w:tc>
                <w:tcPr>
                  <w:tcW w:w="710" w:type="pct"/>
                  <w:vMerge w:val="restart"/>
                  <w:tcBorders>
                    <w:top w:val="single" w:color="auto" w:sz="6" w:space="0"/>
                    <w:left w:val="nil"/>
                    <w:right w:val="single" w:color="auto" w:sz="6" w:space="0"/>
                  </w:tcBorders>
                  <w:vAlign w:val="center"/>
                </w:tcPr>
                <w:p>
                  <w:pPr>
                    <w:adjustRightInd w:val="0"/>
                    <w:snapToGrid w:val="0"/>
                    <w:jc w:val="center"/>
                    <w:rPr>
                      <w:color w:val="auto"/>
                    </w:rPr>
                  </w:pPr>
                  <w:r>
                    <w:rPr>
                      <w:color w:val="auto"/>
                    </w:rPr>
                    <w:t>储运工程</w:t>
                  </w:r>
                </w:p>
              </w:tc>
              <w:tc>
                <w:tcPr>
                  <w:tcW w:w="998"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rPr>
                  </w:pPr>
                  <w:r>
                    <w:rPr>
                      <w:color w:val="auto"/>
                    </w:rPr>
                    <w:t>成品</w:t>
                  </w:r>
                  <w:r>
                    <w:rPr>
                      <w:rFonts w:hint="eastAsia"/>
                      <w:color w:val="auto"/>
                    </w:rPr>
                    <w:t>堆放</w:t>
                  </w:r>
                  <w:r>
                    <w:rPr>
                      <w:color w:val="auto"/>
                    </w:rPr>
                    <w:t>区</w:t>
                  </w:r>
                </w:p>
              </w:tc>
              <w:tc>
                <w:tcPr>
                  <w:tcW w:w="2884" w:type="pct"/>
                  <w:tcBorders>
                    <w:top w:val="single" w:color="auto" w:sz="6" w:space="0"/>
                    <w:left w:val="single" w:color="auto" w:sz="6" w:space="0"/>
                    <w:bottom w:val="single" w:color="auto" w:sz="6" w:space="0"/>
                    <w:right w:val="single" w:color="auto" w:sz="4" w:space="0"/>
                  </w:tcBorders>
                  <w:vAlign w:val="center"/>
                </w:tcPr>
                <w:p>
                  <w:pPr>
                    <w:widowControl/>
                    <w:adjustRightInd w:val="0"/>
                    <w:snapToGrid w:val="0"/>
                    <w:rPr>
                      <w:color w:val="auto"/>
                      <w:highlight w:val="yellow"/>
                    </w:rPr>
                  </w:pPr>
                  <w:r>
                    <w:rPr>
                      <w:rFonts w:hint="eastAsia"/>
                      <w:color w:val="auto"/>
                    </w:rPr>
                    <w:t>依托现有成品堆放区，建筑面积约450m</w:t>
                  </w:r>
                  <w:r>
                    <w:rPr>
                      <w:rFonts w:hint="eastAsia"/>
                      <w:color w:val="auto"/>
                      <w:vertAlign w:val="superscript"/>
                    </w:rPr>
                    <w:t>2</w:t>
                  </w:r>
                  <w:r>
                    <w:rPr>
                      <w:rFonts w:hint="eastAsia"/>
                      <w:color w:val="auto"/>
                    </w:rPr>
                    <w:t>，设置在2#厂房的西北部，贮存无纺布、成品拉幅定型无纺布、淋膜无纺布。</w:t>
                  </w:r>
                </w:p>
              </w:tc>
              <w:tc>
                <w:tcPr>
                  <w:tcW w:w="406" w:type="pct"/>
                  <w:tcBorders>
                    <w:top w:val="single" w:color="auto" w:sz="6" w:space="0"/>
                    <w:left w:val="single" w:color="auto" w:sz="4" w:space="0"/>
                    <w:bottom w:val="single" w:color="auto" w:sz="6" w:space="0"/>
                    <w:right w:val="nil"/>
                  </w:tcBorders>
                  <w:vAlign w:val="center"/>
                </w:tcPr>
                <w:p>
                  <w:pPr>
                    <w:widowControl/>
                    <w:adjustRightInd w:val="0"/>
                    <w:snapToGrid w:val="0"/>
                    <w:jc w:val="center"/>
                    <w:rPr>
                      <w:color w:val="auto"/>
                      <w:highlight w:val="yellow"/>
                    </w:rPr>
                  </w:pPr>
                  <w:r>
                    <w:rPr>
                      <w:rFonts w:hint="eastAsia"/>
                      <w:color w:val="auto"/>
                      <w:szCs w:val="21"/>
                    </w:rPr>
                    <w:t>依托</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710" w:type="pct"/>
                  <w:vMerge w:val="continue"/>
                  <w:tcBorders>
                    <w:left w:val="nil"/>
                    <w:right w:val="single" w:color="auto" w:sz="6" w:space="0"/>
                  </w:tcBorders>
                  <w:vAlign w:val="center"/>
                </w:tcPr>
                <w:p>
                  <w:pPr>
                    <w:widowControl/>
                    <w:jc w:val="left"/>
                    <w:rPr>
                      <w:color w:val="auto"/>
                    </w:rPr>
                  </w:pPr>
                </w:p>
              </w:tc>
              <w:tc>
                <w:tcPr>
                  <w:tcW w:w="998"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rPr>
                  </w:pPr>
                  <w:r>
                    <w:rPr>
                      <w:color w:val="auto"/>
                    </w:rPr>
                    <w:t>原材料</w:t>
                  </w:r>
                  <w:r>
                    <w:rPr>
                      <w:rFonts w:hint="eastAsia"/>
                      <w:color w:val="auto"/>
                    </w:rPr>
                    <w:t>堆放</w:t>
                  </w:r>
                  <w:r>
                    <w:rPr>
                      <w:color w:val="auto"/>
                    </w:rPr>
                    <w:t>区</w:t>
                  </w:r>
                </w:p>
              </w:tc>
              <w:tc>
                <w:tcPr>
                  <w:tcW w:w="2884" w:type="pct"/>
                  <w:tcBorders>
                    <w:top w:val="single" w:color="auto" w:sz="6" w:space="0"/>
                    <w:left w:val="single" w:color="auto" w:sz="6" w:space="0"/>
                    <w:bottom w:val="single" w:color="auto" w:sz="6" w:space="0"/>
                    <w:right w:val="single" w:color="auto" w:sz="4" w:space="0"/>
                  </w:tcBorders>
                  <w:vAlign w:val="center"/>
                </w:tcPr>
                <w:p>
                  <w:pPr>
                    <w:widowControl/>
                    <w:adjustRightInd w:val="0"/>
                    <w:snapToGrid w:val="0"/>
                    <w:rPr>
                      <w:color w:val="auto"/>
                      <w:highlight w:val="yellow"/>
                    </w:rPr>
                  </w:pPr>
                  <w:r>
                    <w:rPr>
                      <w:rFonts w:hint="eastAsia"/>
                      <w:color w:val="auto"/>
                    </w:rPr>
                    <w:t>依托现有原材料堆放区，建筑面积约450m</w:t>
                  </w:r>
                  <w:r>
                    <w:rPr>
                      <w:rFonts w:hint="eastAsia"/>
                      <w:color w:val="auto"/>
                      <w:vertAlign w:val="superscript"/>
                    </w:rPr>
                    <w:t>2</w:t>
                  </w:r>
                  <w:r>
                    <w:rPr>
                      <w:rFonts w:hint="eastAsia"/>
                      <w:color w:val="auto"/>
                    </w:rPr>
                    <w:t>，设置在2#厂房的西北部，贮存P</w:t>
                  </w:r>
                  <w:r>
                    <w:rPr>
                      <w:rFonts w:hint="eastAsia"/>
                      <w:color w:val="auto"/>
                      <w:lang w:val="en-US" w:eastAsia="zh-CN"/>
                    </w:rPr>
                    <w:t>E</w:t>
                  </w:r>
                  <w:r>
                    <w:rPr>
                      <w:rFonts w:hint="eastAsia"/>
                      <w:color w:val="auto"/>
                    </w:rPr>
                    <w:t>塑料粒、胶粘剂等</w:t>
                  </w:r>
                </w:p>
              </w:tc>
              <w:tc>
                <w:tcPr>
                  <w:tcW w:w="406" w:type="pct"/>
                  <w:tcBorders>
                    <w:top w:val="single" w:color="auto" w:sz="6" w:space="0"/>
                    <w:left w:val="single" w:color="auto" w:sz="4" w:space="0"/>
                    <w:bottom w:val="single" w:color="auto" w:sz="6" w:space="0"/>
                    <w:right w:val="nil"/>
                  </w:tcBorders>
                  <w:vAlign w:val="center"/>
                </w:tcPr>
                <w:p>
                  <w:pPr>
                    <w:widowControl/>
                    <w:adjustRightInd w:val="0"/>
                    <w:snapToGrid w:val="0"/>
                    <w:jc w:val="center"/>
                    <w:rPr>
                      <w:color w:val="auto"/>
                      <w:highlight w:val="yellow"/>
                    </w:rPr>
                  </w:pPr>
                  <w:r>
                    <w:rPr>
                      <w:rFonts w:hint="eastAsia"/>
                      <w:color w:val="auto"/>
                      <w:szCs w:val="21"/>
                    </w:rPr>
                    <w:t>依托</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0" w:type="pct"/>
                  <w:tcBorders>
                    <w:top w:val="single" w:color="auto" w:sz="4" w:space="0"/>
                    <w:left w:val="nil"/>
                    <w:right w:val="single" w:color="auto" w:sz="6" w:space="0"/>
                  </w:tcBorders>
                  <w:vAlign w:val="center"/>
                </w:tcPr>
                <w:p>
                  <w:pPr>
                    <w:adjustRightInd w:val="0"/>
                    <w:snapToGrid w:val="0"/>
                    <w:jc w:val="center"/>
                    <w:rPr>
                      <w:color w:val="auto"/>
                    </w:rPr>
                  </w:pPr>
                  <w:r>
                    <w:rPr>
                      <w:color w:val="auto"/>
                    </w:rPr>
                    <w:t>辅助工程</w:t>
                  </w:r>
                </w:p>
              </w:tc>
              <w:tc>
                <w:tcPr>
                  <w:tcW w:w="998" w:type="pct"/>
                  <w:gridSpan w:val="2"/>
                  <w:tcBorders>
                    <w:top w:val="single" w:color="auto" w:sz="4" w:space="0"/>
                    <w:left w:val="single" w:color="auto" w:sz="6" w:space="0"/>
                    <w:right w:val="single" w:color="auto" w:sz="6" w:space="0"/>
                  </w:tcBorders>
                  <w:vAlign w:val="center"/>
                </w:tcPr>
                <w:p>
                  <w:pPr>
                    <w:adjustRightInd w:val="0"/>
                    <w:snapToGrid w:val="0"/>
                    <w:jc w:val="center"/>
                    <w:rPr>
                      <w:color w:val="auto"/>
                    </w:rPr>
                  </w:pPr>
                  <w:r>
                    <w:rPr>
                      <w:color w:val="auto"/>
                    </w:rPr>
                    <w:t>综合楼</w:t>
                  </w:r>
                </w:p>
              </w:tc>
              <w:tc>
                <w:tcPr>
                  <w:tcW w:w="2884" w:type="pct"/>
                  <w:tcBorders>
                    <w:top w:val="single" w:color="auto" w:sz="6" w:space="0"/>
                    <w:left w:val="single" w:color="auto" w:sz="6" w:space="0"/>
                    <w:right w:val="single" w:color="auto" w:sz="4" w:space="0"/>
                  </w:tcBorders>
                  <w:vAlign w:val="center"/>
                </w:tcPr>
                <w:p>
                  <w:pPr>
                    <w:adjustRightInd w:val="0"/>
                    <w:snapToGrid w:val="0"/>
                    <w:rPr>
                      <w:color w:val="auto"/>
                    </w:rPr>
                  </w:pPr>
                  <w:r>
                    <w:rPr>
                      <w:rFonts w:hint="eastAsia"/>
                      <w:color w:val="auto"/>
                      <w:szCs w:val="21"/>
                    </w:rPr>
                    <w:t>高3层，其中1F设置为员工食堂、展览大厅、检验区；2F设置为行政办公室；3F设置为员工宿舍</w:t>
                  </w:r>
                </w:p>
              </w:tc>
              <w:tc>
                <w:tcPr>
                  <w:tcW w:w="406" w:type="pct"/>
                  <w:tcBorders>
                    <w:top w:val="single" w:color="auto" w:sz="6" w:space="0"/>
                    <w:left w:val="single" w:color="auto" w:sz="4" w:space="0"/>
                    <w:bottom w:val="single" w:color="auto" w:sz="6" w:space="0"/>
                    <w:right w:val="nil"/>
                  </w:tcBorders>
                  <w:vAlign w:val="center"/>
                </w:tcPr>
                <w:p>
                  <w:pPr>
                    <w:adjustRightInd w:val="0"/>
                    <w:snapToGrid w:val="0"/>
                    <w:jc w:val="center"/>
                    <w:rPr>
                      <w:color w:val="auto"/>
                      <w:szCs w:val="21"/>
                      <w:highlight w:val="yellow"/>
                    </w:rPr>
                  </w:pPr>
                  <w:r>
                    <w:rPr>
                      <w:rFonts w:hint="eastAsia"/>
                      <w:color w:val="auto"/>
                      <w:szCs w:val="21"/>
                    </w:rPr>
                    <w:t>依托</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710" w:type="pct"/>
                  <w:vMerge w:val="restart"/>
                  <w:tcBorders>
                    <w:top w:val="single" w:color="auto" w:sz="6" w:space="0"/>
                    <w:left w:val="nil"/>
                    <w:bottom w:val="single" w:color="auto" w:sz="6" w:space="0"/>
                    <w:right w:val="single" w:color="auto" w:sz="6" w:space="0"/>
                  </w:tcBorders>
                  <w:vAlign w:val="center"/>
                </w:tcPr>
                <w:p>
                  <w:pPr>
                    <w:widowControl/>
                    <w:jc w:val="center"/>
                    <w:rPr>
                      <w:color w:val="auto"/>
                    </w:rPr>
                  </w:pPr>
                  <w:r>
                    <w:rPr>
                      <w:color w:val="auto"/>
                      <w:highlight w:val="none"/>
                    </w:rPr>
                    <w:t>公用工程</w:t>
                  </w:r>
                </w:p>
              </w:tc>
              <w:tc>
                <w:tcPr>
                  <w:tcW w:w="998"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rPr>
                  </w:pPr>
                  <w:r>
                    <w:rPr>
                      <w:color w:val="auto"/>
                    </w:rPr>
                    <w:t>给水</w:t>
                  </w:r>
                </w:p>
              </w:tc>
              <w:tc>
                <w:tcPr>
                  <w:tcW w:w="2884" w:type="pct"/>
                  <w:tcBorders>
                    <w:top w:val="single" w:color="auto" w:sz="6" w:space="0"/>
                    <w:left w:val="single" w:color="auto" w:sz="6" w:space="0"/>
                    <w:bottom w:val="single" w:color="auto" w:sz="6" w:space="0"/>
                    <w:right w:val="single" w:color="auto" w:sz="4" w:space="0"/>
                  </w:tcBorders>
                  <w:vAlign w:val="center"/>
                </w:tcPr>
                <w:p>
                  <w:pPr>
                    <w:adjustRightInd w:val="0"/>
                    <w:snapToGrid w:val="0"/>
                    <w:rPr>
                      <w:color w:val="auto"/>
                    </w:rPr>
                  </w:pPr>
                  <w:r>
                    <w:rPr>
                      <w:rFonts w:hint="eastAsia"/>
                      <w:color w:val="auto"/>
                    </w:rPr>
                    <w:t>依托厂区现有给水管网，由厂区东南面市政供水管网接入</w:t>
                  </w:r>
                </w:p>
              </w:tc>
              <w:tc>
                <w:tcPr>
                  <w:tcW w:w="406" w:type="pct"/>
                  <w:tcBorders>
                    <w:top w:val="single" w:color="auto" w:sz="6" w:space="0"/>
                    <w:left w:val="single" w:color="auto" w:sz="4" w:space="0"/>
                    <w:bottom w:val="single" w:color="auto" w:sz="6" w:space="0"/>
                    <w:right w:val="nil"/>
                  </w:tcBorders>
                  <w:vAlign w:val="center"/>
                </w:tcPr>
                <w:p>
                  <w:pPr>
                    <w:adjustRightInd w:val="0"/>
                    <w:snapToGrid w:val="0"/>
                    <w:jc w:val="center"/>
                    <w:rPr>
                      <w:color w:val="auto"/>
                    </w:rPr>
                  </w:pPr>
                  <w:r>
                    <w:rPr>
                      <w:rFonts w:hint="eastAsia"/>
                      <w:color w:val="auto"/>
                    </w:rPr>
                    <w:t>依托</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710" w:type="pct"/>
                  <w:vMerge w:val="continue"/>
                  <w:tcBorders>
                    <w:left w:val="nil"/>
                    <w:right w:val="single" w:color="auto" w:sz="6" w:space="0"/>
                  </w:tcBorders>
                  <w:vAlign w:val="center"/>
                </w:tcPr>
                <w:p>
                  <w:pPr>
                    <w:widowControl/>
                    <w:jc w:val="center"/>
                    <w:rPr>
                      <w:color w:val="auto"/>
                    </w:rPr>
                  </w:pPr>
                </w:p>
              </w:tc>
              <w:tc>
                <w:tcPr>
                  <w:tcW w:w="1671" w:type="dxa"/>
                  <w:gridSpan w:val="2"/>
                  <w:tcBorders>
                    <w:top w:val="single" w:color="auto" w:sz="6" w:space="0"/>
                    <w:left w:val="single" w:color="auto" w:sz="6" w:space="0"/>
                    <w:bottom w:val="single" w:color="auto" w:sz="6" w:space="0"/>
                    <w:right w:val="single" w:color="auto" w:sz="6" w:space="0"/>
                  </w:tcBorders>
                  <w:vAlign w:val="center"/>
                </w:tcPr>
                <w:p>
                  <w:pPr>
                    <w:jc w:val="center"/>
                    <w:rPr>
                      <w:color w:val="auto"/>
                    </w:rPr>
                  </w:pPr>
                  <w:r>
                    <w:rPr>
                      <w:rFonts w:hint="eastAsia"/>
                      <w:color w:val="auto"/>
                      <w:szCs w:val="21"/>
                    </w:rPr>
                    <w:t>冷却水循环系统</w:t>
                  </w:r>
                </w:p>
              </w:tc>
              <w:tc>
                <w:tcPr>
                  <w:tcW w:w="4827" w:type="dxa"/>
                  <w:tcBorders>
                    <w:top w:val="single" w:color="auto" w:sz="6" w:space="0"/>
                    <w:left w:val="single" w:color="auto" w:sz="6" w:space="0"/>
                    <w:bottom w:val="single" w:color="auto" w:sz="6" w:space="0"/>
                    <w:right w:val="single" w:color="auto" w:sz="4" w:space="0"/>
                  </w:tcBorders>
                  <w:vAlign w:val="center"/>
                </w:tcPr>
                <w:p>
                  <w:pPr>
                    <w:rPr>
                      <w:rFonts w:hint="eastAsia"/>
                      <w:color w:val="auto"/>
                    </w:rPr>
                  </w:pPr>
                  <w:r>
                    <w:rPr>
                      <w:rFonts w:hint="eastAsia"/>
                      <w:color w:val="auto"/>
                      <w:szCs w:val="21"/>
                    </w:rPr>
                    <w:t>厂房北侧设配备1套</w:t>
                  </w:r>
                  <w:r>
                    <w:rPr>
                      <w:rFonts w:hint="eastAsia"/>
                      <w:color w:val="auto"/>
                      <w:kern w:val="0"/>
                      <w:szCs w:val="21"/>
                    </w:rPr>
                    <w:t>冷却塔</w:t>
                  </w:r>
                  <w:r>
                    <w:rPr>
                      <w:rFonts w:hint="eastAsia"/>
                      <w:color w:val="auto"/>
                      <w:szCs w:val="21"/>
                    </w:rPr>
                    <w:t>，循环水池容积为80m</w:t>
                  </w:r>
                  <w:r>
                    <w:rPr>
                      <w:rFonts w:hint="eastAsia"/>
                      <w:color w:val="auto"/>
                      <w:szCs w:val="21"/>
                      <w:vertAlign w:val="superscript"/>
                    </w:rPr>
                    <w:t>3</w:t>
                  </w:r>
                </w:p>
              </w:tc>
              <w:tc>
                <w:tcPr>
                  <w:tcW w:w="406" w:type="pct"/>
                  <w:tcBorders>
                    <w:top w:val="single" w:color="auto" w:sz="6" w:space="0"/>
                    <w:left w:val="single" w:color="auto" w:sz="4" w:space="0"/>
                    <w:bottom w:val="single" w:color="auto" w:sz="6" w:space="0"/>
                    <w:right w:val="nil"/>
                  </w:tcBorders>
                  <w:vAlign w:val="center"/>
                </w:tcPr>
                <w:p>
                  <w:pPr>
                    <w:adjustRightInd w:val="0"/>
                    <w:snapToGrid w:val="0"/>
                    <w:jc w:val="center"/>
                    <w:rPr>
                      <w:rFonts w:hint="eastAsia" w:eastAsia="宋体"/>
                      <w:color w:val="auto"/>
                      <w:lang w:eastAsia="zh-CN"/>
                    </w:rPr>
                  </w:pPr>
                  <w:r>
                    <w:rPr>
                      <w:rFonts w:hint="eastAsia"/>
                      <w:color w:val="auto"/>
                      <w:lang w:eastAsia="zh-CN"/>
                    </w:rPr>
                    <w:t>新增</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710" w:type="pct"/>
                  <w:vMerge w:val="continue"/>
                  <w:tcBorders>
                    <w:top w:val="single" w:color="auto" w:sz="6" w:space="0"/>
                    <w:left w:val="nil"/>
                    <w:bottom w:val="single" w:color="auto" w:sz="6" w:space="0"/>
                    <w:right w:val="single" w:color="auto" w:sz="6" w:space="0"/>
                  </w:tcBorders>
                  <w:vAlign w:val="center"/>
                </w:tcPr>
                <w:p>
                  <w:pPr>
                    <w:widowControl/>
                    <w:jc w:val="left"/>
                    <w:rPr>
                      <w:color w:val="auto"/>
                    </w:rPr>
                  </w:pPr>
                </w:p>
              </w:tc>
              <w:tc>
                <w:tcPr>
                  <w:tcW w:w="998"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rPr>
                  </w:pPr>
                  <w:r>
                    <w:rPr>
                      <w:color w:val="auto"/>
                    </w:rPr>
                    <w:t>排水</w:t>
                  </w:r>
                </w:p>
              </w:tc>
              <w:tc>
                <w:tcPr>
                  <w:tcW w:w="2884" w:type="pct"/>
                  <w:tcBorders>
                    <w:top w:val="single" w:color="auto" w:sz="6" w:space="0"/>
                    <w:left w:val="single" w:color="auto" w:sz="6" w:space="0"/>
                    <w:bottom w:val="single" w:color="auto" w:sz="6" w:space="0"/>
                    <w:right w:val="single" w:color="auto" w:sz="4" w:space="0"/>
                  </w:tcBorders>
                  <w:vAlign w:val="center"/>
                </w:tcPr>
                <w:p>
                  <w:pPr>
                    <w:adjustRightInd w:val="0"/>
                    <w:snapToGrid w:val="0"/>
                    <w:rPr>
                      <w:color w:val="auto"/>
                    </w:rPr>
                  </w:pPr>
                  <w:r>
                    <w:rPr>
                      <w:color w:val="auto"/>
                    </w:rPr>
                    <w:t>依托厂区现有排水管网，采用雨、污分流，雨水</w:t>
                  </w:r>
                  <w:r>
                    <w:rPr>
                      <w:rFonts w:hint="eastAsia"/>
                      <w:color w:val="auto"/>
                    </w:rPr>
                    <w:t>接入厂区东南角</w:t>
                  </w:r>
                  <w:r>
                    <w:rPr>
                      <w:color w:val="auto"/>
                    </w:rPr>
                    <w:t>市政雨水管网，废水</w:t>
                  </w:r>
                  <w:r>
                    <w:rPr>
                      <w:rFonts w:hint="eastAsia"/>
                      <w:color w:val="auto"/>
                    </w:rPr>
                    <w:t>经处理后</w:t>
                  </w:r>
                  <w:r>
                    <w:rPr>
                      <w:color w:val="auto"/>
                    </w:rPr>
                    <w:t>接入</w:t>
                  </w:r>
                  <w:r>
                    <w:rPr>
                      <w:rFonts w:hint="eastAsia"/>
                      <w:color w:val="auto"/>
                    </w:rPr>
                    <w:t>厂区东南角的</w:t>
                  </w:r>
                  <w:r>
                    <w:rPr>
                      <w:color w:val="auto"/>
                    </w:rPr>
                    <w:t>市政污水管网，经</w:t>
                  </w:r>
                  <w:r>
                    <w:rPr>
                      <w:rFonts w:hint="eastAsia"/>
                      <w:color w:val="auto"/>
                    </w:rPr>
                    <w:t>蒲吕</w:t>
                  </w:r>
                  <w:r>
                    <w:rPr>
                      <w:color w:val="auto"/>
                    </w:rPr>
                    <w:t>污水处理厂深度处理达标后排入</w:t>
                  </w:r>
                  <w:r>
                    <w:rPr>
                      <w:rFonts w:hint="eastAsia"/>
                      <w:color w:val="auto"/>
                    </w:rPr>
                    <w:t>小安溪</w:t>
                  </w:r>
                </w:p>
              </w:tc>
              <w:tc>
                <w:tcPr>
                  <w:tcW w:w="406" w:type="pct"/>
                  <w:tcBorders>
                    <w:top w:val="single" w:color="auto" w:sz="6" w:space="0"/>
                    <w:left w:val="single" w:color="auto" w:sz="4" w:space="0"/>
                    <w:bottom w:val="single" w:color="auto" w:sz="6" w:space="0"/>
                    <w:right w:val="nil"/>
                  </w:tcBorders>
                  <w:vAlign w:val="center"/>
                </w:tcPr>
                <w:p>
                  <w:pPr>
                    <w:adjustRightInd w:val="0"/>
                    <w:snapToGrid w:val="0"/>
                    <w:jc w:val="center"/>
                    <w:rPr>
                      <w:color w:val="auto"/>
                    </w:rPr>
                  </w:pPr>
                  <w:r>
                    <w:rPr>
                      <w:rFonts w:hint="eastAsia"/>
                      <w:color w:val="auto"/>
                    </w:rPr>
                    <w:t>依托</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710" w:type="pct"/>
                  <w:vMerge w:val="continue"/>
                  <w:tcBorders>
                    <w:top w:val="single" w:color="auto" w:sz="6" w:space="0"/>
                    <w:left w:val="nil"/>
                    <w:bottom w:val="single" w:color="auto" w:sz="6" w:space="0"/>
                    <w:right w:val="single" w:color="auto" w:sz="6" w:space="0"/>
                  </w:tcBorders>
                  <w:vAlign w:val="center"/>
                </w:tcPr>
                <w:p>
                  <w:pPr>
                    <w:widowControl/>
                    <w:jc w:val="left"/>
                    <w:rPr>
                      <w:color w:val="auto"/>
                    </w:rPr>
                  </w:pPr>
                </w:p>
              </w:tc>
              <w:tc>
                <w:tcPr>
                  <w:tcW w:w="998"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rPr>
                  </w:pPr>
                  <w:r>
                    <w:rPr>
                      <w:color w:val="auto"/>
                    </w:rPr>
                    <w:t>供气</w:t>
                  </w:r>
                </w:p>
              </w:tc>
              <w:tc>
                <w:tcPr>
                  <w:tcW w:w="2884" w:type="pct"/>
                  <w:tcBorders>
                    <w:top w:val="single" w:color="auto" w:sz="6" w:space="0"/>
                    <w:left w:val="single" w:color="auto" w:sz="6" w:space="0"/>
                    <w:bottom w:val="single" w:color="auto" w:sz="6" w:space="0"/>
                    <w:right w:val="single" w:color="auto" w:sz="4" w:space="0"/>
                  </w:tcBorders>
                  <w:vAlign w:val="center"/>
                </w:tcPr>
                <w:p>
                  <w:pPr>
                    <w:adjustRightInd w:val="0"/>
                    <w:snapToGrid w:val="0"/>
                    <w:rPr>
                      <w:color w:val="auto"/>
                    </w:rPr>
                  </w:pPr>
                  <w:r>
                    <w:rPr>
                      <w:rFonts w:hint="eastAsia"/>
                      <w:color w:val="auto"/>
                    </w:rPr>
                    <w:t>依托厂区现有供气管网</w:t>
                  </w:r>
                  <w:r>
                    <w:rPr>
                      <w:color w:val="auto"/>
                    </w:rPr>
                    <w:t>，由</w:t>
                  </w:r>
                  <w:r>
                    <w:rPr>
                      <w:rFonts w:hint="eastAsia"/>
                      <w:color w:val="auto"/>
                    </w:rPr>
                    <w:t>厂区东南面天然气</w:t>
                  </w:r>
                  <w:r>
                    <w:rPr>
                      <w:color w:val="auto"/>
                    </w:rPr>
                    <w:t>供气管网接入</w:t>
                  </w:r>
                </w:p>
              </w:tc>
              <w:tc>
                <w:tcPr>
                  <w:tcW w:w="406" w:type="pct"/>
                  <w:tcBorders>
                    <w:top w:val="single" w:color="auto" w:sz="6" w:space="0"/>
                    <w:left w:val="single" w:color="auto" w:sz="4" w:space="0"/>
                    <w:bottom w:val="single" w:color="auto" w:sz="6" w:space="0"/>
                    <w:right w:val="nil"/>
                  </w:tcBorders>
                  <w:vAlign w:val="center"/>
                </w:tcPr>
                <w:p>
                  <w:pPr>
                    <w:adjustRightInd w:val="0"/>
                    <w:snapToGrid w:val="0"/>
                    <w:jc w:val="center"/>
                    <w:rPr>
                      <w:color w:val="auto"/>
                    </w:rPr>
                  </w:pPr>
                  <w:r>
                    <w:rPr>
                      <w:rFonts w:hint="eastAsia"/>
                      <w:color w:val="auto"/>
                    </w:rPr>
                    <w:t>依托</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710" w:type="pct"/>
                  <w:vMerge w:val="continue"/>
                  <w:tcBorders>
                    <w:top w:val="single" w:color="auto" w:sz="6" w:space="0"/>
                    <w:left w:val="nil"/>
                    <w:bottom w:val="single" w:color="auto" w:sz="6" w:space="0"/>
                    <w:right w:val="single" w:color="auto" w:sz="6" w:space="0"/>
                  </w:tcBorders>
                  <w:vAlign w:val="center"/>
                </w:tcPr>
                <w:p>
                  <w:pPr>
                    <w:widowControl/>
                    <w:jc w:val="left"/>
                    <w:rPr>
                      <w:color w:val="auto"/>
                    </w:rPr>
                  </w:pPr>
                </w:p>
              </w:tc>
              <w:tc>
                <w:tcPr>
                  <w:tcW w:w="998"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rPr>
                  </w:pPr>
                  <w:r>
                    <w:rPr>
                      <w:color w:val="auto"/>
                    </w:rPr>
                    <w:t>供配电</w:t>
                  </w:r>
                </w:p>
              </w:tc>
              <w:tc>
                <w:tcPr>
                  <w:tcW w:w="2884" w:type="pct"/>
                  <w:tcBorders>
                    <w:top w:val="single" w:color="auto" w:sz="6" w:space="0"/>
                    <w:left w:val="single" w:color="auto" w:sz="6" w:space="0"/>
                    <w:bottom w:val="single" w:color="auto" w:sz="6" w:space="0"/>
                    <w:right w:val="single" w:color="auto" w:sz="4" w:space="0"/>
                  </w:tcBorders>
                  <w:vAlign w:val="center"/>
                </w:tcPr>
                <w:p>
                  <w:pPr>
                    <w:tabs>
                      <w:tab w:val="center" w:pos="2250"/>
                    </w:tabs>
                    <w:adjustRightInd w:val="0"/>
                    <w:snapToGrid w:val="0"/>
                    <w:rPr>
                      <w:color w:val="auto"/>
                    </w:rPr>
                  </w:pPr>
                  <w:r>
                    <w:rPr>
                      <w:color w:val="auto"/>
                    </w:rPr>
                    <w:t>依托厂区现有供电网络</w:t>
                  </w:r>
                  <w:r>
                    <w:rPr>
                      <w:rFonts w:hint="eastAsia"/>
                      <w:color w:val="auto"/>
                    </w:rPr>
                    <w:tab/>
                  </w:r>
                  <w:r>
                    <w:rPr>
                      <w:color w:val="auto"/>
                    </w:rPr>
                    <w:t>，由</w:t>
                  </w:r>
                  <w:r>
                    <w:rPr>
                      <w:rFonts w:hint="eastAsia"/>
                      <w:color w:val="auto"/>
                    </w:rPr>
                    <w:t>厂区东南面市政供电网络</w:t>
                  </w:r>
                  <w:r>
                    <w:rPr>
                      <w:color w:val="auto"/>
                    </w:rPr>
                    <w:t>接入</w:t>
                  </w:r>
                </w:p>
              </w:tc>
              <w:tc>
                <w:tcPr>
                  <w:tcW w:w="406" w:type="pct"/>
                  <w:tcBorders>
                    <w:top w:val="single" w:color="auto" w:sz="6" w:space="0"/>
                    <w:left w:val="single" w:color="auto" w:sz="4" w:space="0"/>
                    <w:bottom w:val="single" w:color="auto" w:sz="6" w:space="0"/>
                    <w:right w:val="nil"/>
                  </w:tcBorders>
                  <w:vAlign w:val="center"/>
                </w:tcPr>
                <w:p>
                  <w:pPr>
                    <w:adjustRightInd w:val="0"/>
                    <w:snapToGrid w:val="0"/>
                    <w:jc w:val="center"/>
                    <w:rPr>
                      <w:color w:val="auto"/>
                    </w:rPr>
                  </w:pPr>
                  <w:r>
                    <w:rPr>
                      <w:rFonts w:hint="eastAsia"/>
                      <w:color w:val="auto"/>
                    </w:rPr>
                    <w:t>依托</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0" w:type="pct"/>
                  <w:vMerge w:val="restart"/>
                  <w:tcBorders>
                    <w:top w:val="single" w:color="auto" w:sz="6" w:space="0"/>
                    <w:left w:val="nil"/>
                    <w:right w:val="single" w:color="auto" w:sz="6" w:space="0"/>
                  </w:tcBorders>
                  <w:vAlign w:val="center"/>
                </w:tcPr>
                <w:p>
                  <w:pPr>
                    <w:widowControl/>
                    <w:jc w:val="center"/>
                    <w:rPr>
                      <w:color w:val="auto"/>
                    </w:rPr>
                  </w:pPr>
                  <w:r>
                    <w:rPr>
                      <w:color w:val="auto"/>
                    </w:rPr>
                    <w:t>环保工程</w:t>
                  </w:r>
                </w:p>
              </w:tc>
              <w:tc>
                <w:tcPr>
                  <w:tcW w:w="998"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rPr>
                  </w:pPr>
                  <w:r>
                    <w:rPr>
                      <w:color w:val="auto"/>
                    </w:rPr>
                    <w:t>废气处理</w:t>
                  </w:r>
                </w:p>
              </w:tc>
              <w:tc>
                <w:tcPr>
                  <w:tcW w:w="2884" w:type="pct"/>
                  <w:tcBorders>
                    <w:top w:val="single" w:color="auto" w:sz="6" w:space="0"/>
                    <w:left w:val="single" w:color="auto" w:sz="6" w:space="0"/>
                    <w:bottom w:val="single" w:color="auto" w:sz="6" w:space="0"/>
                    <w:right w:val="single" w:color="auto" w:sz="4" w:space="0"/>
                  </w:tcBorders>
                  <w:vAlign w:val="center"/>
                </w:tcPr>
                <w:p>
                  <w:pPr>
                    <w:adjustRightInd w:val="0"/>
                    <w:snapToGrid w:val="0"/>
                    <w:rPr>
                      <w:color w:val="auto"/>
                    </w:rPr>
                  </w:pPr>
                  <w:r>
                    <w:rPr>
                      <w:rFonts w:hint="eastAsia"/>
                      <w:color w:val="auto"/>
                    </w:rPr>
                    <w:t>涂胶、烘干工序产生的挥发性有机物经集气罩收集后采</w:t>
                  </w:r>
                  <w:r>
                    <w:rPr>
                      <w:rFonts w:hint="eastAsia"/>
                      <w:color w:val="auto"/>
                      <w:highlight w:val="none"/>
                    </w:rPr>
                    <w:t>用“</w:t>
                  </w:r>
                  <w:r>
                    <w:rPr>
                      <w:rFonts w:hint="eastAsia"/>
                      <w:color w:val="auto"/>
                      <w:highlight w:val="none"/>
                      <w:lang w:val="en-US" w:eastAsia="zh-CN"/>
                    </w:rPr>
                    <w:t>UV光解+</w:t>
                  </w:r>
                  <w:r>
                    <w:rPr>
                      <w:rFonts w:hint="eastAsia"/>
                      <w:color w:val="auto"/>
                      <w:highlight w:val="none"/>
                    </w:rPr>
                    <w:t>二级活性炭吸附”处理后，最后引至15m高的3#排气筒排放；淋膜、冷却工序产生的挥发性有机物经集气罩收集后采用“</w:t>
                  </w:r>
                  <w:r>
                    <w:rPr>
                      <w:rFonts w:hint="eastAsia"/>
                      <w:color w:val="auto"/>
                      <w:highlight w:val="none"/>
                      <w:lang w:val="en-US" w:eastAsia="zh-CN"/>
                    </w:rPr>
                    <w:t>UV光解+</w:t>
                  </w:r>
                  <w:r>
                    <w:rPr>
                      <w:rFonts w:hint="eastAsia"/>
                      <w:color w:val="auto"/>
                      <w:highlight w:val="none"/>
                    </w:rPr>
                    <w:t>二级活性炭吸附”处理后，最后引至15m高的4#排气筒排放</w:t>
                  </w:r>
                </w:p>
              </w:tc>
              <w:tc>
                <w:tcPr>
                  <w:tcW w:w="406" w:type="pct"/>
                  <w:tcBorders>
                    <w:top w:val="single" w:color="auto" w:sz="6" w:space="0"/>
                    <w:left w:val="single" w:color="auto" w:sz="4" w:space="0"/>
                    <w:bottom w:val="single" w:color="auto" w:sz="6" w:space="0"/>
                    <w:right w:val="nil"/>
                  </w:tcBorders>
                  <w:vAlign w:val="center"/>
                </w:tcPr>
                <w:p>
                  <w:pPr>
                    <w:adjustRightInd w:val="0"/>
                    <w:snapToGrid w:val="0"/>
                    <w:jc w:val="center"/>
                    <w:rPr>
                      <w:color w:val="auto"/>
                    </w:rPr>
                  </w:pPr>
                  <w:r>
                    <w:rPr>
                      <w:rFonts w:hint="eastAsia"/>
                      <w:color w:val="auto"/>
                      <w:szCs w:val="21"/>
                    </w:rPr>
                    <w:t>新增</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710" w:type="pct"/>
                  <w:vMerge w:val="continue"/>
                  <w:tcBorders>
                    <w:left w:val="nil"/>
                    <w:right w:val="single" w:color="auto" w:sz="6" w:space="0"/>
                  </w:tcBorders>
                  <w:vAlign w:val="center"/>
                </w:tcPr>
                <w:p>
                  <w:pPr>
                    <w:widowControl/>
                    <w:jc w:val="left"/>
                    <w:rPr>
                      <w:color w:val="auto"/>
                    </w:rPr>
                  </w:pPr>
                </w:p>
              </w:tc>
              <w:tc>
                <w:tcPr>
                  <w:tcW w:w="998"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rPr>
                  </w:pPr>
                  <w:r>
                    <w:rPr>
                      <w:color w:val="auto"/>
                    </w:rPr>
                    <w:t>废水处理</w:t>
                  </w:r>
                </w:p>
              </w:tc>
              <w:tc>
                <w:tcPr>
                  <w:tcW w:w="2884" w:type="pct"/>
                  <w:tcBorders>
                    <w:top w:val="single" w:color="auto" w:sz="6" w:space="0"/>
                    <w:left w:val="single" w:color="auto" w:sz="6" w:space="0"/>
                    <w:bottom w:val="single" w:color="auto" w:sz="6" w:space="0"/>
                    <w:right w:val="single" w:color="auto" w:sz="4" w:space="0"/>
                  </w:tcBorders>
                  <w:vAlign w:val="center"/>
                </w:tcPr>
                <w:p>
                  <w:pPr>
                    <w:adjustRightInd w:val="0"/>
                    <w:snapToGrid w:val="0"/>
                    <w:rPr>
                      <w:color w:val="auto"/>
                    </w:rPr>
                  </w:pPr>
                  <w:r>
                    <w:rPr>
                      <w:rFonts w:hint="eastAsia"/>
                      <w:color w:val="auto"/>
                    </w:rPr>
                    <w:t>员工食堂建有处理能力为2m</w:t>
                  </w:r>
                  <w:r>
                    <w:rPr>
                      <w:rFonts w:hint="eastAsia"/>
                      <w:color w:val="auto"/>
                      <w:vertAlign w:val="superscript"/>
                    </w:rPr>
                    <w:t>3</w:t>
                  </w:r>
                  <w:r>
                    <w:rPr>
                      <w:rFonts w:hint="eastAsia"/>
                      <w:color w:val="auto"/>
                    </w:rPr>
                    <w:t>/d的隔油池、厂区东南角建有处理能力为20m</w:t>
                  </w:r>
                  <w:r>
                    <w:rPr>
                      <w:rFonts w:hint="eastAsia"/>
                      <w:color w:val="auto"/>
                      <w:vertAlign w:val="superscript"/>
                    </w:rPr>
                    <w:t>3</w:t>
                  </w:r>
                  <w:r>
                    <w:rPr>
                      <w:rFonts w:hint="eastAsia"/>
                      <w:color w:val="auto"/>
                    </w:rPr>
                    <w:t>/d的生化池，食堂废水经隔油处理后与生活污水进入生化池处理达三级标准后排入市政污水管网，经东城污水处理厂深度处理达一级B标后排入淮远河。</w:t>
                  </w:r>
                </w:p>
              </w:tc>
              <w:tc>
                <w:tcPr>
                  <w:tcW w:w="406" w:type="pct"/>
                  <w:tcBorders>
                    <w:top w:val="single" w:color="auto" w:sz="6" w:space="0"/>
                    <w:left w:val="single" w:color="auto" w:sz="4" w:space="0"/>
                    <w:bottom w:val="single" w:color="auto" w:sz="6" w:space="0"/>
                    <w:right w:val="nil"/>
                  </w:tcBorders>
                  <w:vAlign w:val="center"/>
                </w:tcPr>
                <w:p>
                  <w:pPr>
                    <w:adjustRightInd w:val="0"/>
                    <w:snapToGrid w:val="0"/>
                    <w:jc w:val="center"/>
                    <w:rPr>
                      <w:color w:val="auto"/>
                    </w:rPr>
                  </w:pPr>
                  <w:r>
                    <w:rPr>
                      <w:rFonts w:hint="eastAsia"/>
                      <w:color w:val="auto"/>
                    </w:rPr>
                    <w:t>依托</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710" w:type="pct"/>
                  <w:vMerge w:val="continue"/>
                  <w:tcBorders>
                    <w:left w:val="nil"/>
                    <w:right w:val="single" w:color="auto" w:sz="6" w:space="0"/>
                  </w:tcBorders>
                  <w:vAlign w:val="center"/>
                </w:tcPr>
                <w:p>
                  <w:pPr>
                    <w:widowControl/>
                    <w:jc w:val="left"/>
                    <w:rPr>
                      <w:color w:val="auto"/>
                    </w:rPr>
                  </w:pPr>
                </w:p>
              </w:tc>
              <w:tc>
                <w:tcPr>
                  <w:tcW w:w="414" w:type="pct"/>
                  <w:vMerge w:val="restart"/>
                  <w:tcBorders>
                    <w:top w:val="single" w:color="auto" w:sz="6" w:space="0"/>
                    <w:left w:val="single" w:color="auto" w:sz="6" w:space="0"/>
                    <w:right w:val="single" w:color="auto" w:sz="4" w:space="0"/>
                  </w:tcBorders>
                  <w:vAlign w:val="center"/>
                </w:tcPr>
                <w:p>
                  <w:pPr>
                    <w:adjustRightInd w:val="0"/>
                    <w:snapToGrid w:val="0"/>
                    <w:jc w:val="center"/>
                    <w:rPr>
                      <w:color w:val="auto"/>
                    </w:rPr>
                  </w:pPr>
                  <w:r>
                    <w:rPr>
                      <w:color w:val="auto"/>
                    </w:rPr>
                    <w:t>固废</w:t>
                  </w:r>
                </w:p>
                <w:p>
                  <w:pPr>
                    <w:adjustRightInd w:val="0"/>
                    <w:snapToGrid w:val="0"/>
                    <w:jc w:val="center"/>
                    <w:rPr>
                      <w:color w:val="auto"/>
                    </w:rPr>
                  </w:pPr>
                  <w:r>
                    <w:rPr>
                      <w:color w:val="auto"/>
                    </w:rPr>
                    <w:t>处理</w:t>
                  </w:r>
                </w:p>
              </w:tc>
              <w:tc>
                <w:tcPr>
                  <w:tcW w:w="583" w:type="pct"/>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color w:val="auto"/>
                    </w:rPr>
                  </w:pPr>
                  <w:r>
                    <w:rPr>
                      <w:color w:val="auto"/>
                    </w:rPr>
                    <w:t>危险</w:t>
                  </w:r>
                </w:p>
                <w:p>
                  <w:pPr>
                    <w:adjustRightInd w:val="0"/>
                    <w:snapToGrid w:val="0"/>
                    <w:jc w:val="center"/>
                    <w:rPr>
                      <w:color w:val="auto"/>
                    </w:rPr>
                  </w:pPr>
                  <w:r>
                    <w:rPr>
                      <w:color w:val="auto"/>
                    </w:rPr>
                    <w:t>废物</w:t>
                  </w:r>
                </w:p>
              </w:tc>
              <w:tc>
                <w:tcPr>
                  <w:tcW w:w="2884" w:type="pct"/>
                  <w:tcBorders>
                    <w:top w:val="single" w:color="auto" w:sz="6" w:space="0"/>
                    <w:left w:val="single" w:color="auto" w:sz="6" w:space="0"/>
                    <w:bottom w:val="single" w:color="auto" w:sz="6" w:space="0"/>
                    <w:right w:val="single" w:color="auto" w:sz="4" w:space="0"/>
                  </w:tcBorders>
                  <w:vAlign w:val="center"/>
                </w:tcPr>
                <w:p>
                  <w:pPr>
                    <w:adjustRightInd w:val="0"/>
                    <w:snapToGrid w:val="0"/>
                    <w:rPr>
                      <w:color w:val="auto"/>
                    </w:rPr>
                  </w:pPr>
                  <w:r>
                    <w:rPr>
                      <w:rFonts w:hint="eastAsia"/>
                      <w:color w:val="auto"/>
                    </w:rPr>
                    <w:t>2#</w:t>
                  </w:r>
                  <w:r>
                    <w:rPr>
                      <w:color w:val="auto"/>
                    </w:rPr>
                    <w:t>厂房</w:t>
                  </w:r>
                  <w:r>
                    <w:rPr>
                      <w:rFonts w:hint="eastAsia"/>
                      <w:color w:val="auto"/>
                    </w:rPr>
                    <w:t>东北侧</w:t>
                  </w:r>
                  <w:r>
                    <w:rPr>
                      <w:color w:val="auto"/>
                    </w:rPr>
                    <w:t>设置1个面积为</w:t>
                  </w:r>
                  <w:r>
                    <w:rPr>
                      <w:rFonts w:hint="eastAsia"/>
                      <w:color w:val="auto"/>
                    </w:rPr>
                    <w:t>10</w:t>
                  </w:r>
                  <w:r>
                    <w:rPr>
                      <w:color w:val="auto"/>
                    </w:rPr>
                    <w:t>m</w:t>
                  </w:r>
                  <w:r>
                    <w:rPr>
                      <w:color w:val="auto"/>
                      <w:vertAlign w:val="superscript"/>
                    </w:rPr>
                    <w:t>2</w:t>
                  </w:r>
                  <w:r>
                    <w:rPr>
                      <w:color w:val="auto"/>
                    </w:rPr>
                    <w:t>危险废物暂存间，其地面及裙角进行防腐、防渗处理，并设置</w:t>
                  </w:r>
                  <w:r>
                    <w:rPr>
                      <w:rFonts w:hint="eastAsia"/>
                      <w:color w:val="auto"/>
                      <w:lang w:eastAsia="zh-CN"/>
                    </w:rPr>
                    <w:t>围挡</w:t>
                  </w:r>
                  <w:r>
                    <w:rPr>
                      <w:color w:val="auto"/>
                    </w:rPr>
                    <w:t>，</w:t>
                  </w:r>
                  <w:r>
                    <w:rPr>
                      <w:rFonts w:hint="eastAsia"/>
                      <w:color w:val="auto"/>
                    </w:rPr>
                    <w:t>危险废物</w:t>
                  </w:r>
                  <w:r>
                    <w:rPr>
                      <w:color w:val="auto"/>
                    </w:rPr>
                    <w:t>经分类暂存后定期交有危险废物处理制造单位处置。</w:t>
                  </w:r>
                </w:p>
              </w:tc>
              <w:tc>
                <w:tcPr>
                  <w:tcW w:w="406" w:type="pct"/>
                  <w:tcBorders>
                    <w:top w:val="single" w:color="auto" w:sz="6" w:space="0"/>
                    <w:left w:val="single" w:color="auto" w:sz="4" w:space="0"/>
                    <w:bottom w:val="single" w:color="auto" w:sz="6" w:space="0"/>
                    <w:right w:val="nil"/>
                  </w:tcBorders>
                  <w:vAlign w:val="center"/>
                </w:tcPr>
                <w:p>
                  <w:pPr>
                    <w:adjustRightInd w:val="0"/>
                    <w:snapToGrid w:val="0"/>
                    <w:jc w:val="center"/>
                    <w:rPr>
                      <w:color w:val="auto"/>
                    </w:rPr>
                  </w:pPr>
                  <w:r>
                    <w:rPr>
                      <w:rFonts w:hint="eastAsia"/>
                      <w:color w:val="auto"/>
                    </w:rPr>
                    <w:t>依托</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710" w:type="pct"/>
                  <w:vMerge w:val="continue"/>
                  <w:tcBorders>
                    <w:left w:val="nil"/>
                    <w:right w:val="single" w:color="auto" w:sz="6" w:space="0"/>
                  </w:tcBorders>
                  <w:vAlign w:val="center"/>
                </w:tcPr>
                <w:p>
                  <w:pPr>
                    <w:widowControl/>
                    <w:jc w:val="left"/>
                    <w:rPr>
                      <w:color w:val="auto"/>
                    </w:rPr>
                  </w:pPr>
                </w:p>
              </w:tc>
              <w:tc>
                <w:tcPr>
                  <w:tcW w:w="414" w:type="pct"/>
                  <w:vMerge w:val="continue"/>
                  <w:tcBorders>
                    <w:left w:val="single" w:color="auto" w:sz="6" w:space="0"/>
                    <w:bottom w:val="single" w:color="auto" w:sz="6" w:space="0"/>
                    <w:right w:val="single" w:color="auto" w:sz="4" w:space="0"/>
                  </w:tcBorders>
                  <w:vAlign w:val="center"/>
                </w:tcPr>
                <w:p>
                  <w:pPr>
                    <w:adjustRightInd w:val="0"/>
                    <w:snapToGrid w:val="0"/>
                    <w:jc w:val="center"/>
                    <w:rPr>
                      <w:color w:val="auto"/>
                    </w:rPr>
                  </w:pPr>
                </w:p>
              </w:tc>
              <w:tc>
                <w:tcPr>
                  <w:tcW w:w="583" w:type="pct"/>
                  <w:tcBorders>
                    <w:top w:val="single" w:color="auto" w:sz="6" w:space="0"/>
                    <w:left w:val="single" w:color="auto" w:sz="4" w:space="0"/>
                    <w:bottom w:val="single" w:color="auto" w:sz="6" w:space="0"/>
                    <w:right w:val="single" w:color="auto" w:sz="6" w:space="0"/>
                  </w:tcBorders>
                  <w:vAlign w:val="center"/>
                </w:tcPr>
                <w:p>
                  <w:pPr>
                    <w:adjustRightInd w:val="0"/>
                    <w:snapToGrid w:val="0"/>
                    <w:jc w:val="center"/>
                    <w:rPr>
                      <w:color w:val="auto"/>
                    </w:rPr>
                  </w:pPr>
                  <w:r>
                    <w:rPr>
                      <w:color w:val="auto"/>
                    </w:rPr>
                    <w:t>一般工业固废</w:t>
                  </w:r>
                </w:p>
              </w:tc>
              <w:tc>
                <w:tcPr>
                  <w:tcW w:w="2884" w:type="pct"/>
                  <w:tcBorders>
                    <w:top w:val="single" w:color="auto" w:sz="6" w:space="0"/>
                    <w:left w:val="single" w:color="auto" w:sz="6" w:space="0"/>
                    <w:bottom w:val="single" w:color="auto" w:sz="6" w:space="0"/>
                    <w:right w:val="single" w:color="auto" w:sz="4" w:space="0"/>
                  </w:tcBorders>
                  <w:vAlign w:val="center"/>
                </w:tcPr>
                <w:p>
                  <w:pPr>
                    <w:adjustRightInd w:val="0"/>
                    <w:snapToGrid w:val="0"/>
                    <w:rPr>
                      <w:color w:val="auto"/>
                    </w:rPr>
                  </w:pPr>
                  <w:r>
                    <w:rPr>
                      <w:rFonts w:hint="eastAsia"/>
                      <w:color w:val="auto"/>
                    </w:rPr>
                    <w:t>2#</w:t>
                  </w:r>
                  <w:r>
                    <w:rPr>
                      <w:color w:val="auto"/>
                    </w:rPr>
                    <w:t>厂房</w:t>
                  </w:r>
                  <w:r>
                    <w:rPr>
                      <w:rFonts w:hint="eastAsia"/>
                      <w:color w:val="auto"/>
                    </w:rPr>
                    <w:t>东南部</w:t>
                  </w:r>
                  <w:r>
                    <w:rPr>
                      <w:color w:val="auto"/>
                    </w:rPr>
                    <w:t>设置1个面积为</w:t>
                  </w:r>
                  <w:r>
                    <w:rPr>
                      <w:rFonts w:hint="eastAsia"/>
                      <w:color w:val="auto"/>
                    </w:rPr>
                    <w:t>10</w:t>
                  </w:r>
                  <w:r>
                    <w:rPr>
                      <w:color w:val="auto"/>
                    </w:rPr>
                    <w:t>m</w:t>
                  </w:r>
                  <w:r>
                    <w:rPr>
                      <w:color w:val="auto"/>
                      <w:vertAlign w:val="superscript"/>
                    </w:rPr>
                    <w:t>2</w:t>
                  </w:r>
                  <w:r>
                    <w:rPr>
                      <w:rFonts w:hint="eastAsia"/>
                      <w:color w:val="auto"/>
                    </w:rPr>
                    <w:t>一般工业固废暂存间</w:t>
                  </w:r>
                  <w:r>
                    <w:rPr>
                      <w:color w:val="auto"/>
                    </w:rPr>
                    <w:t>，</w:t>
                  </w:r>
                  <w:r>
                    <w:rPr>
                      <w:rFonts w:hint="eastAsia"/>
                      <w:color w:val="auto"/>
                    </w:rPr>
                    <w:t>一般工业固废分类收集后交废品回收公司处置。</w:t>
                  </w:r>
                </w:p>
              </w:tc>
              <w:tc>
                <w:tcPr>
                  <w:tcW w:w="406" w:type="pct"/>
                  <w:tcBorders>
                    <w:top w:val="single" w:color="auto" w:sz="6" w:space="0"/>
                    <w:left w:val="single" w:color="auto" w:sz="4" w:space="0"/>
                    <w:bottom w:val="single" w:color="auto" w:sz="6" w:space="0"/>
                    <w:right w:val="nil"/>
                  </w:tcBorders>
                  <w:vAlign w:val="center"/>
                </w:tcPr>
                <w:p>
                  <w:pPr>
                    <w:adjustRightInd w:val="0"/>
                    <w:snapToGrid w:val="0"/>
                    <w:jc w:val="center"/>
                    <w:rPr>
                      <w:color w:val="auto"/>
                    </w:rPr>
                  </w:pPr>
                  <w:r>
                    <w:rPr>
                      <w:rFonts w:hint="eastAsia"/>
                      <w:color w:val="auto"/>
                    </w:rPr>
                    <w:t>依托</w:t>
                  </w:r>
                </w:p>
              </w:tc>
            </w:tr>
          </w:tbl>
          <w:p>
            <w:pPr>
              <w:pStyle w:val="2"/>
              <w:jc w:val="center"/>
              <w:rPr>
                <w:rFonts w:hint="default" w:ascii="Times New Roman" w:eastAsia="宋体" w:cs="Times New Roman"/>
                <w:b/>
                <w:bCs/>
                <w:color w:val="auto"/>
                <w:sz w:val="21"/>
                <w:szCs w:val="21"/>
                <w:lang w:val="en-US" w:eastAsia="zh-CN"/>
              </w:rPr>
            </w:pPr>
            <w:r>
              <w:rPr>
                <w:rFonts w:hint="eastAsia" w:ascii="Times New Roman" w:cs="Times New Roman"/>
                <w:b w:val="0"/>
                <w:bCs w:val="0"/>
                <w:color w:val="auto"/>
                <w:sz w:val="21"/>
                <w:szCs w:val="21"/>
                <w:lang w:eastAsia="zh-CN"/>
              </w:rPr>
              <w:t>表</w:t>
            </w:r>
            <w:r>
              <w:rPr>
                <w:rFonts w:hint="eastAsia" w:ascii="Times New Roman" w:cs="Times New Roman"/>
                <w:b w:val="0"/>
                <w:bCs w:val="0"/>
                <w:color w:val="auto"/>
                <w:sz w:val="21"/>
                <w:szCs w:val="21"/>
                <w:lang w:val="en-US" w:eastAsia="zh-CN"/>
              </w:rPr>
              <w:t>2.3 扩建项目依托可行性分析一览表</w:t>
            </w:r>
          </w:p>
          <w:tbl>
            <w:tblPr>
              <w:tblStyle w:val="23"/>
              <w:tblW w:w="8366"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768"/>
              <w:gridCol w:w="4757"/>
              <w:gridCol w:w="104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4"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eastAsia="宋体" w:cs="Times New Roman"/>
                      <w:b w:val="0"/>
                      <w:bCs w:val="0"/>
                      <w:color w:val="auto"/>
                      <w:sz w:val="21"/>
                      <w:szCs w:val="21"/>
                      <w:vertAlign w:val="baseline"/>
                      <w:lang w:eastAsia="zh-CN"/>
                    </w:rPr>
                  </w:pPr>
                  <w:r>
                    <w:rPr>
                      <w:rFonts w:hint="eastAsia" w:ascii="Times New Roman" w:cs="Times New Roman"/>
                      <w:b w:val="0"/>
                      <w:bCs w:val="0"/>
                      <w:color w:val="auto"/>
                      <w:sz w:val="21"/>
                      <w:szCs w:val="21"/>
                      <w:vertAlign w:val="baseline"/>
                      <w:lang w:eastAsia="zh-CN"/>
                    </w:rPr>
                    <w:t>序号</w:t>
                  </w:r>
                </w:p>
              </w:tc>
              <w:tc>
                <w:tcPr>
                  <w:tcW w:w="1768"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eastAsia="宋体" w:cs="Times New Roman"/>
                      <w:b w:val="0"/>
                      <w:bCs w:val="0"/>
                      <w:color w:val="auto"/>
                      <w:sz w:val="21"/>
                      <w:szCs w:val="21"/>
                      <w:vertAlign w:val="baseline"/>
                      <w:lang w:eastAsia="zh-CN"/>
                    </w:rPr>
                  </w:pPr>
                  <w:r>
                    <w:rPr>
                      <w:rFonts w:hint="eastAsia" w:ascii="Times New Roman" w:cs="Times New Roman"/>
                      <w:b w:val="0"/>
                      <w:bCs w:val="0"/>
                      <w:color w:val="auto"/>
                      <w:sz w:val="21"/>
                      <w:szCs w:val="21"/>
                      <w:vertAlign w:val="baseline"/>
                      <w:lang w:eastAsia="zh-CN"/>
                    </w:rPr>
                    <w:t>依托内容</w:t>
                  </w:r>
                </w:p>
              </w:tc>
              <w:tc>
                <w:tcPr>
                  <w:tcW w:w="4757"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eastAsia="宋体" w:cs="Times New Roman"/>
                      <w:b w:val="0"/>
                      <w:bCs w:val="0"/>
                      <w:color w:val="auto"/>
                      <w:sz w:val="21"/>
                      <w:szCs w:val="21"/>
                      <w:vertAlign w:val="baseline"/>
                      <w:lang w:eastAsia="zh-CN"/>
                    </w:rPr>
                  </w:pPr>
                  <w:r>
                    <w:rPr>
                      <w:rFonts w:hint="eastAsia" w:ascii="Times New Roman" w:cs="Times New Roman"/>
                      <w:b w:val="0"/>
                      <w:bCs w:val="0"/>
                      <w:color w:val="auto"/>
                      <w:sz w:val="21"/>
                      <w:szCs w:val="21"/>
                      <w:vertAlign w:val="baseline"/>
                      <w:lang w:eastAsia="zh-CN"/>
                    </w:rPr>
                    <w:t>依托情况分析</w:t>
                  </w:r>
                </w:p>
              </w:tc>
              <w:tc>
                <w:tcPr>
                  <w:tcW w:w="1047"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eastAsia="宋体" w:cs="Times New Roman"/>
                      <w:b w:val="0"/>
                      <w:bCs w:val="0"/>
                      <w:color w:val="auto"/>
                      <w:sz w:val="21"/>
                      <w:szCs w:val="21"/>
                      <w:vertAlign w:val="baseline"/>
                      <w:lang w:eastAsia="zh-CN"/>
                    </w:rPr>
                  </w:pPr>
                  <w:r>
                    <w:rPr>
                      <w:rFonts w:hint="eastAsia" w:ascii="Times New Roman" w:cs="Times New Roman"/>
                      <w:b w:val="0"/>
                      <w:bCs w:val="0"/>
                      <w:color w:val="auto"/>
                      <w:sz w:val="21"/>
                      <w:szCs w:val="21"/>
                      <w:vertAlign w:val="baseline"/>
                      <w:lang w:eastAsia="zh-CN"/>
                    </w:rPr>
                    <w:t>可行性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4"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eastAsia="宋体" w:cs="Times New Roman"/>
                      <w:b w:val="0"/>
                      <w:bCs w:val="0"/>
                      <w:color w:val="auto"/>
                      <w:sz w:val="21"/>
                      <w:szCs w:val="21"/>
                      <w:vertAlign w:val="baseline"/>
                      <w:lang w:val="en-US" w:eastAsia="zh-CN"/>
                    </w:rPr>
                  </w:pPr>
                  <w:r>
                    <w:rPr>
                      <w:rFonts w:hint="eastAsia" w:ascii="Times New Roman" w:cs="Times New Roman"/>
                      <w:b w:val="0"/>
                      <w:bCs w:val="0"/>
                      <w:color w:val="auto"/>
                      <w:sz w:val="21"/>
                      <w:szCs w:val="21"/>
                      <w:vertAlign w:val="baseline"/>
                      <w:lang w:val="en-US" w:eastAsia="zh-CN"/>
                    </w:rPr>
                    <w:t>1</w:t>
                  </w:r>
                </w:p>
              </w:tc>
              <w:tc>
                <w:tcPr>
                  <w:tcW w:w="1768"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eastAsia="宋体" w:cs="Times New Roman"/>
                      <w:b w:val="0"/>
                      <w:bCs w:val="0"/>
                      <w:color w:val="auto"/>
                      <w:sz w:val="21"/>
                      <w:szCs w:val="21"/>
                      <w:vertAlign w:val="baseline"/>
                      <w:lang w:eastAsia="zh-CN"/>
                    </w:rPr>
                  </w:pPr>
                  <w:r>
                    <w:rPr>
                      <w:rFonts w:hint="eastAsia" w:ascii="Times New Roman" w:cs="Times New Roman"/>
                      <w:b w:val="0"/>
                      <w:bCs w:val="0"/>
                      <w:color w:val="auto"/>
                      <w:sz w:val="21"/>
                      <w:szCs w:val="21"/>
                      <w:vertAlign w:val="baseline"/>
                      <w:lang w:eastAsia="zh-CN"/>
                    </w:rPr>
                    <w:t>污水处理设施</w:t>
                  </w:r>
                </w:p>
              </w:tc>
              <w:tc>
                <w:tcPr>
                  <w:tcW w:w="4757"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cs="Times New Roman"/>
                      <w:b w:val="0"/>
                      <w:bCs w:val="0"/>
                      <w:color w:val="auto"/>
                      <w:sz w:val="21"/>
                      <w:szCs w:val="21"/>
                      <w:vertAlign w:val="baseline"/>
                    </w:rPr>
                  </w:pPr>
                  <w:r>
                    <w:rPr>
                      <w:rFonts w:hint="default" w:ascii="Times New Roman" w:hAnsi="Times New Roman" w:cs="Times New Roman"/>
                      <w:color w:val="auto"/>
                      <w:sz w:val="21"/>
                      <w:szCs w:val="21"/>
                      <w:lang w:val="en-US" w:eastAsia="zh-CN"/>
                    </w:rPr>
                    <w:t>厂区排放管网已完善，依托生化池设计处理规模20m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/d，剩余处理能力约11m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/d，扩建项目废水排放量为0.7</w:t>
                  </w:r>
                  <w:r>
                    <w:rPr>
                      <w:rFonts w:hint="eastAsia"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/d，符合要求。该生化池已通过竣工环境保护验收，能保证达标排放。</w:t>
                  </w:r>
                </w:p>
              </w:tc>
              <w:tc>
                <w:tcPr>
                  <w:tcW w:w="1047"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eastAsia="宋体" w:cs="Times New Roman"/>
                      <w:b w:val="0"/>
                      <w:bCs w:val="0"/>
                      <w:color w:val="auto"/>
                      <w:sz w:val="21"/>
                      <w:szCs w:val="21"/>
                      <w:vertAlign w:val="baseline"/>
                      <w:lang w:eastAsia="zh-CN"/>
                    </w:rPr>
                  </w:pPr>
                  <w:r>
                    <w:rPr>
                      <w:rFonts w:hint="eastAsia" w:ascii="Times New Roman" w:cs="Times New Roman"/>
                      <w:b w:val="0"/>
                      <w:bCs w:val="0"/>
                      <w:color w:val="auto"/>
                      <w:sz w:val="21"/>
                      <w:szCs w:val="21"/>
                      <w:vertAlign w:val="baseline"/>
                      <w:lang w:eastAsia="zh-CN"/>
                    </w:rPr>
                    <w:t>可行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4"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eastAsia="宋体" w:cs="Times New Roman"/>
                      <w:b w:val="0"/>
                      <w:bCs w:val="0"/>
                      <w:color w:val="auto"/>
                      <w:sz w:val="21"/>
                      <w:szCs w:val="21"/>
                      <w:vertAlign w:val="baseline"/>
                      <w:lang w:val="en-US" w:eastAsia="zh-CN"/>
                    </w:rPr>
                  </w:pPr>
                  <w:r>
                    <w:rPr>
                      <w:rFonts w:hint="eastAsia" w:ascii="Times New Roman" w:cs="Times New Roman"/>
                      <w:b w:val="0"/>
                      <w:bCs w:val="0"/>
                      <w:color w:val="auto"/>
                      <w:sz w:val="21"/>
                      <w:szCs w:val="21"/>
                      <w:vertAlign w:val="baseline"/>
                      <w:lang w:val="en-US" w:eastAsia="zh-CN"/>
                    </w:rPr>
                    <w:t>2</w:t>
                  </w:r>
                </w:p>
              </w:tc>
              <w:tc>
                <w:tcPr>
                  <w:tcW w:w="1768"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eastAsia="宋体" w:cs="Times New Roman"/>
                      <w:b w:val="0"/>
                      <w:bCs w:val="0"/>
                      <w:color w:val="auto"/>
                      <w:sz w:val="21"/>
                      <w:szCs w:val="21"/>
                      <w:vertAlign w:val="baseline"/>
                      <w:lang w:eastAsia="zh-CN"/>
                    </w:rPr>
                  </w:pPr>
                  <w:r>
                    <w:rPr>
                      <w:rFonts w:hint="eastAsia" w:ascii="Times New Roman" w:cs="Times New Roman"/>
                      <w:b w:val="0"/>
                      <w:bCs w:val="0"/>
                      <w:color w:val="auto"/>
                      <w:sz w:val="21"/>
                      <w:szCs w:val="21"/>
                      <w:vertAlign w:val="baseline"/>
                      <w:lang w:eastAsia="zh-CN"/>
                    </w:rPr>
                    <w:t>危废暂存间</w:t>
                  </w:r>
                </w:p>
              </w:tc>
              <w:tc>
                <w:tcPr>
                  <w:tcW w:w="4757"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ascii="Times New Roman" w:cs="Times New Roman"/>
                      <w:b w:val="0"/>
                      <w:bCs w:val="0"/>
                      <w:color w:val="auto"/>
                      <w:sz w:val="21"/>
                      <w:szCs w:val="21"/>
                      <w:vertAlign w:val="baseline"/>
                    </w:rPr>
                  </w:pPr>
                  <w:r>
                    <w:rPr>
                      <w:rFonts w:hint="default" w:ascii="Times New Roman" w:hAnsi="Times New Roman" w:cs="Times New Roman"/>
                      <w:color w:val="auto"/>
                      <w:sz w:val="21"/>
                      <w:szCs w:val="21"/>
                    </w:rPr>
                    <w:t>2#厂房东北侧设置1个面积为10m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rPr>
                    <w:t>危险废物暂存间，其地面及裙角进行防腐、防渗处理，并设置</w:t>
                  </w:r>
                  <w:r>
                    <w:rPr>
                      <w:rFonts w:hint="eastAsia"/>
                      <w:color w:val="auto"/>
                      <w:sz w:val="21"/>
                      <w:szCs w:val="21"/>
                      <w:lang w:eastAsia="zh-CN"/>
                    </w:rPr>
                    <w:t>围挡</w:t>
                  </w:r>
                  <w:r>
                    <w:rPr>
                      <w:rFonts w:hint="default" w:ascii="Times New Roman" w:hAnsi="Times New Roman" w:cs="Times New Roman"/>
                      <w:color w:val="auto"/>
                      <w:sz w:val="21"/>
                      <w:szCs w:val="21"/>
                    </w:rPr>
                    <w:t>，危险废物经分类暂存后定期交有危险废物处理制造单位处置</w:t>
                  </w:r>
                  <w:r>
                    <w:rPr>
                      <w:rFonts w:hint="default" w:ascii="Times New Roman" w:hAnsi="Times New Roman" w:cs="Times New Roman"/>
                      <w:color w:val="auto"/>
                      <w:sz w:val="21"/>
                      <w:szCs w:val="21"/>
                      <w:lang w:eastAsia="zh-CN"/>
                    </w:rPr>
                    <w:t>，满足相关环保要求</w:t>
                  </w:r>
                  <w:r>
                    <w:rPr>
                      <w:rFonts w:hint="default" w:ascii="Times New Roman" w:hAnsi="Times New Roman" w:cs="Times New Roman"/>
                      <w:color w:val="auto"/>
                      <w:sz w:val="21"/>
                      <w:szCs w:val="21"/>
                    </w:rPr>
                    <w:t>。</w:t>
                  </w:r>
                </w:p>
              </w:tc>
              <w:tc>
                <w:tcPr>
                  <w:tcW w:w="1047"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ascii="Times New Roman" w:cs="Times New Roman"/>
                      <w:b w:val="0"/>
                      <w:bCs w:val="0"/>
                      <w:color w:val="auto"/>
                      <w:sz w:val="21"/>
                      <w:szCs w:val="21"/>
                      <w:vertAlign w:val="baseline"/>
                    </w:rPr>
                  </w:pPr>
                  <w:r>
                    <w:rPr>
                      <w:rFonts w:hint="eastAsia" w:ascii="Times New Roman" w:cs="Times New Roman"/>
                      <w:b w:val="0"/>
                      <w:bCs w:val="0"/>
                      <w:color w:val="auto"/>
                      <w:sz w:val="21"/>
                      <w:szCs w:val="21"/>
                      <w:vertAlign w:val="baseline"/>
                      <w:lang w:eastAsia="zh-CN"/>
                    </w:rPr>
                    <w:t>可行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4"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cs="Times New Roman"/>
                      <w:b w:val="0"/>
                      <w:bCs w:val="0"/>
                      <w:color w:val="auto"/>
                      <w:sz w:val="21"/>
                      <w:szCs w:val="21"/>
                      <w:vertAlign w:val="baseline"/>
                      <w:lang w:val="en-US" w:eastAsia="zh-CN"/>
                    </w:rPr>
                  </w:pPr>
                  <w:r>
                    <w:rPr>
                      <w:rFonts w:hint="eastAsia" w:ascii="Times New Roman" w:cs="Times New Roman"/>
                      <w:b w:val="0"/>
                      <w:bCs w:val="0"/>
                      <w:color w:val="auto"/>
                      <w:sz w:val="21"/>
                      <w:szCs w:val="21"/>
                      <w:vertAlign w:val="baseline"/>
                      <w:lang w:val="en-US" w:eastAsia="zh-CN"/>
                    </w:rPr>
                    <w:t>3</w:t>
                  </w:r>
                </w:p>
              </w:tc>
              <w:tc>
                <w:tcPr>
                  <w:tcW w:w="1768"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cs="Times New Roman"/>
                      <w:b w:val="0"/>
                      <w:bCs w:val="0"/>
                      <w:color w:val="auto"/>
                      <w:sz w:val="21"/>
                      <w:szCs w:val="21"/>
                      <w:vertAlign w:val="baseline"/>
                      <w:lang w:eastAsia="zh-CN"/>
                    </w:rPr>
                  </w:pPr>
                  <w:r>
                    <w:rPr>
                      <w:rFonts w:hint="eastAsia" w:ascii="Times New Roman" w:cs="Times New Roman"/>
                      <w:b w:val="0"/>
                      <w:bCs w:val="0"/>
                      <w:color w:val="auto"/>
                      <w:sz w:val="21"/>
                      <w:szCs w:val="21"/>
                      <w:vertAlign w:val="baseline"/>
                      <w:lang w:eastAsia="zh-CN"/>
                    </w:rPr>
                    <w:t>一般固废暂存间</w:t>
                  </w:r>
                </w:p>
              </w:tc>
              <w:tc>
                <w:tcPr>
                  <w:tcW w:w="4757"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2#厂房东南部设置1个面积为10m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rPr>
                    <w:t>一般工业固废暂存间，一般工业固废分类收集后交废品回收公司处置</w:t>
                  </w:r>
                  <w:r>
                    <w:rPr>
                      <w:rFonts w:hint="default" w:ascii="Times New Roman" w:hAnsi="Times New Roman" w:cs="Times New Roman"/>
                      <w:color w:val="auto"/>
                      <w:sz w:val="21"/>
                      <w:szCs w:val="21"/>
                      <w:lang w:eastAsia="zh-CN"/>
                    </w:rPr>
                    <w:t>，满足相关环保要求</w:t>
                  </w:r>
                  <w:r>
                    <w:rPr>
                      <w:rFonts w:hint="default" w:ascii="Times New Roman" w:hAnsi="Times New Roman" w:cs="Times New Roman"/>
                      <w:color w:val="auto"/>
                      <w:sz w:val="21"/>
                      <w:szCs w:val="21"/>
                    </w:rPr>
                    <w:t>。</w:t>
                  </w:r>
                </w:p>
              </w:tc>
              <w:tc>
                <w:tcPr>
                  <w:tcW w:w="1047" w:type="dxa"/>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cs="Times New Roman"/>
                      <w:b w:val="0"/>
                      <w:bCs w:val="0"/>
                      <w:color w:val="auto"/>
                      <w:sz w:val="21"/>
                      <w:szCs w:val="21"/>
                      <w:vertAlign w:val="baseline"/>
                      <w:lang w:eastAsia="zh-CN"/>
                    </w:rPr>
                  </w:pPr>
                  <w:r>
                    <w:rPr>
                      <w:rFonts w:hint="eastAsia" w:ascii="Times New Roman" w:cs="Times New Roman"/>
                      <w:b w:val="0"/>
                      <w:bCs w:val="0"/>
                      <w:color w:val="auto"/>
                      <w:sz w:val="21"/>
                      <w:szCs w:val="21"/>
                      <w:vertAlign w:val="baseline"/>
                      <w:lang w:eastAsia="zh-CN"/>
                    </w:rPr>
                    <w:t>可行</w:t>
                  </w:r>
                </w:p>
              </w:tc>
            </w:tr>
          </w:tbl>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Times New Roman" w:eastAsia="宋体" w:cs="Times New Roman"/>
                <w:b w:val="0"/>
                <w:bCs w:val="0"/>
                <w:color w:val="auto"/>
                <w:lang w:eastAsia="zh-CN"/>
              </w:rPr>
            </w:pPr>
            <w:r>
              <w:rPr>
                <w:rFonts w:hint="eastAsia" w:ascii="Times New Roman" w:cs="Times New Roman"/>
                <w:b w:val="0"/>
                <w:bCs w:val="0"/>
                <w:color w:val="auto"/>
                <w:lang w:eastAsia="zh-CN"/>
              </w:rPr>
              <w:t>由上表分析可知，扩建项目主要依托设施能够满足扩建项目的需求。</w:t>
            </w:r>
          </w:p>
          <w:p>
            <w:pPr>
              <w:pStyle w:val="2"/>
              <w:rPr>
                <w:rFonts w:ascii="Times New Roman" w:cs="Times New Roman"/>
                <w:b/>
                <w:bCs/>
                <w:color w:val="auto"/>
              </w:rPr>
            </w:pPr>
            <w:r>
              <w:rPr>
                <w:rFonts w:ascii="Times New Roman" w:cs="Times New Roman"/>
                <w:b/>
                <w:bCs/>
                <w:color w:val="auto"/>
              </w:rPr>
              <w:t>生产单元、主要工艺、主要生产设施及设施参数</w:t>
            </w:r>
          </w:p>
          <w:p>
            <w:pPr>
              <w:pStyle w:val="3"/>
              <w:snapToGrid/>
              <w:ind w:firstLine="480" w:firstLineChars="200"/>
              <w:rPr>
                <w:rFonts w:hint="eastAsia" w:ascii="Times New Roman" w:hAnsi="Times New Roman" w:eastAsia="宋体" w:cs="Times New Roman"/>
                <w:color w:val="auto"/>
                <w:lang w:eastAsia="zh-CN"/>
              </w:rPr>
            </w:pPr>
            <w:r>
              <w:rPr>
                <w:rFonts w:hint="eastAsia" w:ascii="Times New Roman" w:hAnsi="Times New Roman" w:cs="Times New Roman"/>
                <w:color w:val="auto"/>
                <w:highlight w:val="none"/>
                <w:lang w:eastAsia="zh-CN"/>
              </w:rPr>
              <w:t>扩建项目</w:t>
            </w:r>
            <w:r>
              <w:rPr>
                <w:rFonts w:ascii="Times New Roman" w:hAnsi="Times New Roman" w:cs="Times New Roman"/>
                <w:color w:val="auto"/>
                <w:highlight w:val="none"/>
              </w:rPr>
              <w:t>主</w:t>
            </w:r>
            <w:r>
              <w:rPr>
                <w:rFonts w:ascii="Times New Roman" w:hAnsi="Times New Roman" w:cs="Times New Roman"/>
                <w:color w:val="auto"/>
              </w:rPr>
              <w:t>要生产设备见表2.</w:t>
            </w:r>
            <w:r>
              <w:rPr>
                <w:rFonts w:hint="eastAsia" w:ascii="Times New Roman" w:hAnsi="Times New Roman" w:cs="Times New Roman"/>
                <w:color w:val="auto"/>
                <w:lang w:val="en-US" w:eastAsia="zh-CN"/>
              </w:rPr>
              <w:t>4</w:t>
            </w:r>
            <w:r>
              <w:rPr>
                <w:rFonts w:ascii="Times New Roman" w:hAnsi="Times New Roman" w:cs="Times New Roman"/>
                <w:color w:val="auto"/>
              </w:rPr>
              <w:t>、生产节拍与产生匹配性分析见表2.</w:t>
            </w:r>
            <w:r>
              <w:rPr>
                <w:rFonts w:hint="eastAsia" w:ascii="Times New Roman" w:hAnsi="Times New Roman" w:cs="Times New Roman"/>
                <w:color w:val="auto"/>
                <w:lang w:val="en-US" w:eastAsia="zh-CN"/>
              </w:rPr>
              <w:t>5。</w:t>
            </w:r>
          </w:p>
          <w:p>
            <w:pPr>
              <w:pStyle w:val="2"/>
              <w:jc w:val="center"/>
              <w:rPr>
                <w:color w:val="auto"/>
                <w:sz w:val="21"/>
                <w:szCs w:val="21"/>
              </w:rPr>
            </w:pPr>
            <w:r>
              <w:rPr>
                <w:rFonts w:ascii="Times New Roman" w:cs="Times New Roman"/>
                <w:color w:val="auto"/>
                <w:sz w:val="21"/>
                <w:szCs w:val="21"/>
              </w:rPr>
              <w:t>表2.</w:t>
            </w:r>
            <w:r>
              <w:rPr>
                <w:rFonts w:hint="eastAsia" w:ascii="Times New Roman" w:cs="Times New Roman"/>
                <w:color w:val="auto"/>
                <w:sz w:val="21"/>
                <w:szCs w:val="21"/>
                <w:lang w:val="en-US" w:eastAsia="zh-CN"/>
              </w:rPr>
              <w:t>4</w:t>
            </w:r>
            <w:r>
              <w:rPr>
                <w:rFonts w:ascii="Times New Roman" w:cs="Times New Roman"/>
                <w:color w:val="auto"/>
                <w:sz w:val="21"/>
                <w:szCs w:val="21"/>
              </w:rPr>
              <w:t xml:space="preserve"> 生产单元</w:t>
            </w:r>
            <w:r>
              <w:rPr>
                <w:color w:val="auto"/>
                <w:sz w:val="21"/>
                <w:szCs w:val="21"/>
              </w:rPr>
              <w:t>、主要工艺、主要生产设施及设施参数</w:t>
            </w:r>
          </w:p>
          <w:tbl>
            <w:tblPr>
              <w:tblStyle w:val="23"/>
              <w:tblW w:w="4997"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500"/>
              <w:gridCol w:w="1584"/>
              <w:gridCol w:w="2488"/>
              <w:gridCol w:w="644"/>
              <w:gridCol w:w="64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pc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生产单元</w:t>
                  </w:r>
                </w:p>
              </w:tc>
              <w:tc>
                <w:tcPr>
                  <w:tcW w:w="897" w:type="pc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主要工艺</w:t>
                  </w:r>
                </w:p>
              </w:tc>
              <w:tc>
                <w:tcPr>
                  <w:tcW w:w="947" w:type="pc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设施名称</w:t>
                  </w:r>
                </w:p>
              </w:tc>
              <w:tc>
                <w:tcPr>
                  <w:tcW w:w="1487" w:type="pc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lang w:eastAsia="zh-CN"/>
                    </w:rPr>
                    <w:t>单条生产线</w:t>
                  </w:r>
                  <w:r>
                    <w:rPr>
                      <w:rFonts w:hint="eastAsia" w:ascii="Times New Roman" w:cs="Times New Roman"/>
                      <w:color w:val="auto"/>
                      <w:sz w:val="21"/>
                      <w:szCs w:val="21"/>
                    </w:rPr>
                    <w:t>设施参数</w:t>
                  </w:r>
                </w:p>
              </w:tc>
              <w:tc>
                <w:tcPr>
                  <w:tcW w:w="385" w:type="pc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数量</w:t>
                  </w:r>
                </w:p>
              </w:tc>
              <w:tc>
                <w:tcPr>
                  <w:tcW w:w="385" w:type="pc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pct"/>
                  <w:vMerge w:val="restar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ascii="Times New Roman" w:hAnsi="Times New Roman" w:cs="Times New Roman"/>
                      <w:color w:val="auto"/>
                      <w:sz w:val="21"/>
                      <w:szCs w:val="21"/>
                    </w:rPr>
                    <w:t>拉幅定型无纺布生产线</w:t>
                  </w:r>
                </w:p>
              </w:tc>
              <w:tc>
                <w:tcPr>
                  <w:tcW w:w="897" w:type="pct"/>
                  <w:tcBorders>
                    <w:tl2br w:val="nil"/>
                    <w:tr2bl w:val="nil"/>
                  </w:tcBorders>
                  <w:vAlign w:val="center"/>
                </w:tcPr>
                <w:p>
                  <w:pPr>
                    <w:pStyle w:val="2"/>
                    <w:snapToGrid w:val="0"/>
                    <w:spacing w:line="240" w:lineRule="auto"/>
                    <w:jc w:val="center"/>
                    <w:rPr>
                      <w:rFonts w:hint="eastAsia" w:ascii="Times New Roman" w:eastAsia="宋体" w:cs="Times New Roman"/>
                      <w:color w:val="auto"/>
                      <w:sz w:val="21"/>
                      <w:szCs w:val="21"/>
                      <w:lang w:eastAsia="zh-CN"/>
                    </w:rPr>
                  </w:pPr>
                  <w:r>
                    <w:rPr>
                      <w:rFonts w:hint="eastAsia" w:ascii="Times New Roman" w:cs="Times New Roman"/>
                      <w:color w:val="auto"/>
                      <w:sz w:val="21"/>
                      <w:szCs w:val="21"/>
                      <w:lang w:eastAsia="zh-CN"/>
                    </w:rPr>
                    <w:t>开卷</w:t>
                  </w:r>
                </w:p>
              </w:tc>
              <w:tc>
                <w:tcPr>
                  <w:tcW w:w="947" w:type="pct"/>
                  <w:vMerge w:val="restart"/>
                  <w:tcBorders>
                    <w:tl2br w:val="nil"/>
                    <w:tr2bl w:val="nil"/>
                  </w:tcBorders>
                  <w:vAlign w:val="center"/>
                </w:tcPr>
                <w:p>
                  <w:pPr>
                    <w:pStyle w:val="2"/>
                    <w:snapToGrid w:val="0"/>
                    <w:spacing w:line="240" w:lineRule="auto"/>
                    <w:jc w:val="center"/>
                    <w:rPr>
                      <w:rFonts w:hint="default" w:ascii="Times New Roman" w:eastAsia="宋体" w:cs="Times New Roman"/>
                      <w:color w:val="auto"/>
                      <w:sz w:val="21"/>
                      <w:szCs w:val="21"/>
                      <w:lang w:val="en-US" w:eastAsia="zh-CN"/>
                    </w:rPr>
                  </w:pPr>
                  <w:r>
                    <w:rPr>
                      <w:rFonts w:hint="eastAsia" w:ascii="Times New Roman" w:cs="Times New Roman"/>
                      <w:color w:val="auto"/>
                      <w:sz w:val="21"/>
                      <w:szCs w:val="21"/>
                      <w:lang w:val="en-US" w:eastAsia="zh-CN"/>
                    </w:rPr>
                    <w:t>针刺机</w:t>
                  </w:r>
                </w:p>
              </w:tc>
              <w:tc>
                <w:tcPr>
                  <w:tcW w:w="1487" w:type="pct"/>
                  <w:vMerge w:val="restart"/>
                  <w:tcBorders>
                    <w:tl2br w:val="nil"/>
                    <w:tr2bl w:val="nil"/>
                  </w:tcBorders>
                  <w:vAlign w:val="center"/>
                </w:tcPr>
                <w:p>
                  <w:pPr>
                    <w:pStyle w:val="2"/>
                    <w:snapToGrid w:val="0"/>
                    <w:spacing w:line="240" w:lineRule="auto"/>
                    <w:jc w:val="center"/>
                    <w:rPr>
                      <w:rFonts w:hint="default" w:asci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YY-250型</w:t>
                  </w:r>
                </w:p>
              </w:tc>
              <w:tc>
                <w:tcPr>
                  <w:tcW w:w="385" w:type="pct"/>
                  <w:vMerge w:val="restart"/>
                  <w:tcBorders>
                    <w:tl2br w:val="nil"/>
                    <w:tr2bl w:val="nil"/>
                  </w:tcBorders>
                  <w:vAlign w:val="center"/>
                </w:tcPr>
                <w:p>
                  <w:pPr>
                    <w:pStyle w:val="2"/>
                    <w:snapToGrid w:val="0"/>
                    <w:spacing w:line="240" w:lineRule="auto"/>
                    <w:jc w:val="center"/>
                    <w:rPr>
                      <w:rFonts w:hint="eastAsia" w:ascii="Times New Roman" w:eastAsia="宋体" w:cs="Times New Roman"/>
                      <w:color w:val="auto"/>
                      <w:sz w:val="21"/>
                      <w:szCs w:val="21"/>
                      <w:lang w:val="en-US" w:eastAsia="zh-CN"/>
                    </w:rPr>
                  </w:pPr>
                  <w:r>
                    <w:rPr>
                      <w:rFonts w:hint="eastAsia" w:ascii="Times New Roman" w:cs="Times New Roman"/>
                      <w:color w:val="auto"/>
                      <w:sz w:val="21"/>
                      <w:szCs w:val="21"/>
                      <w:lang w:val="en-US" w:eastAsia="zh-CN"/>
                    </w:rPr>
                    <w:t>2台</w:t>
                  </w:r>
                </w:p>
              </w:tc>
              <w:tc>
                <w:tcPr>
                  <w:tcW w:w="385" w:type="pct"/>
                  <w:vMerge w:val="restart"/>
                  <w:tcBorders>
                    <w:tl2br w:val="nil"/>
                    <w:tr2bl w:val="nil"/>
                  </w:tcBorders>
                  <w:vAlign w:val="center"/>
                </w:tcPr>
                <w:p>
                  <w:pPr>
                    <w:pStyle w:val="2"/>
                    <w:snapToGrid w:val="0"/>
                    <w:spacing w:line="240" w:lineRule="auto"/>
                    <w:jc w:val="center"/>
                    <w:rPr>
                      <w:rFonts w:hint="eastAsia" w:ascii="Times New Roman" w:eastAsia="宋体" w:cs="Times New Roman"/>
                      <w:color w:val="auto"/>
                      <w:sz w:val="21"/>
                      <w:szCs w:val="21"/>
                      <w:lang w:eastAsia="zh-CN"/>
                    </w:rPr>
                  </w:pPr>
                  <w:r>
                    <w:rPr>
                      <w:rFonts w:hint="eastAsia" w:ascii="Times New Roman" w:cs="Times New Roman"/>
                      <w:color w:val="auto"/>
                      <w:sz w:val="21"/>
                      <w:szCs w:val="21"/>
                      <w:lang w:eastAsia="zh-CN"/>
                    </w:rPr>
                    <w:t>新增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pct"/>
                  <w:vMerge w:val="continue"/>
                  <w:tcBorders>
                    <w:tl2br w:val="nil"/>
                    <w:tr2bl w:val="nil"/>
                  </w:tcBorders>
                  <w:vAlign w:val="center"/>
                </w:tcPr>
                <w:p>
                  <w:pPr>
                    <w:pStyle w:val="2"/>
                    <w:snapToGrid w:val="0"/>
                    <w:spacing w:line="240" w:lineRule="auto"/>
                    <w:jc w:val="center"/>
                    <w:rPr>
                      <w:rFonts w:ascii="Times New Roman" w:hAnsi="Times New Roman" w:cs="Times New Roman"/>
                      <w:color w:val="auto"/>
                      <w:sz w:val="21"/>
                      <w:szCs w:val="21"/>
                    </w:rPr>
                  </w:pPr>
                </w:p>
              </w:tc>
              <w:tc>
                <w:tcPr>
                  <w:tcW w:w="897" w:type="pct"/>
                  <w:tcBorders>
                    <w:tl2br w:val="nil"/>
                    <w:tr2bl w:val="nil"/>
                  </w:tcBorders>
                  <w:vAlign w:val="center"/>
                </w:tcPr>
                <w:p>
                  <w:pPr>
                    <w:pStyle w:val="2"/>
                    <w:snapToGrid w:val="0"/>
                    <w:spacing w:line="240" w:lineRule="auto"/>
                    <w:jc w:val="center"/>
                    <w:rPr>
                      <w:rFonts w:hint="eastAsia" w:ascii="Times New Roman" w:eastAsia="宋体" w:cs="Times New Roman"/>
                      <w:color w:val="auto"/>
                      <w:sz w:val="21"/>
                      <w:szCs w:val="21"/>
                      <w:lang w:eastAsia="zh-CN"/>
                    </w:rPr>
                  </w:pPr>
                  <w:r>
                    <w:rPr>
                      <w:rFonts w:hint="eastAsia" w:ascii="Times New Roman" w:cs="Times New Roman"/>
                      <w:color w:val="auto"/>
                      <w:sz w:val="21"/>
                      <w:szCs w:val="21"/>
                      <w:lang w:eastAsia="zh-CN"/>
                    </w:rPr>
                    <w:t>针刺</w:t>
                  </w:r>
                </w:p>
              </w:tc>
              <w:tc>
                <w:tcPr>
                  <w:tcW w:w="947" w:type="pct"/>
                  <w:vMerge w:val="continue"/>
                  <w:tcBorders>
                    <w:tl2br w:val="nil"/>
                    <w:tr2bl w:val="nil"/>
                  </w:tcBorders>
                  <w:vAlign w:val="center"/>
                </w:tcPr>
                <w:p>
                  <w:pPr>
                    <w:pStyle w:val="2"/>
                    <w:snapToGrid w:val="0"/>
                    <w:spacing w:line="240" w:lineRule="auto"/>
                    <w:jc w:val="center"/>
                    <w:rPr>
                      <w:rFonts w:hint="eastAsia" w:ascii="Times New Roman" w:cs="Times New Roman"/>
                      <w:color w:val="auto"/>
                      <w:sz w:val="21"/>
                      <w:szCs w:val="21"/>
                      <w:lang w:val="en-US" w:eastAsia="zh-CN"/>
                    </w:rPr>
                  </w:pPr>
                </w:p>
              </w:tc>
              <w:tc>
                <w:tcPr>
                  <w:tcW w:w="1487" w:type="pct"/>
                  <w:vMerge w:val="continue"/>
                  <w:tcBorders>
                    <w:tl2br w:val="nil"/>
                    <w:tr2bl w:val="nil"/>
                  </w:tcBorders>
                  <w:vAlign w:val="center"/>
                </w:tcPr>
                <w:p>
                  <w:pPr>
                    <w:pStyle w:val="2"/>
                    <w:snapToGrid w:val="0"/>
                    <w:spacing w:line="240" w:lineRule="auto"/>
                    <w:jc w:val="center"/>
                    <w:rPr>
                      <w:rFonts w:hint="eastAsia" w:ascii="Times New Roman" w:cs="Times New Roman"/>
                      <w:color w:val="auto"/>
                      <w:sz w:val="21"/>
                      <w:szCs w:val="21"/>
                      <w:lang w:eastAsia="zh-CN"/>
                    </w:rPr>
                  </w:pPr>
                </w:p>
              </w:tc>
              <w:tc>
                <w:tcPr>
                  <w:tcW w:w="385" w:type="pct"/>
                  <w:vMerge w:val="continue"/>
                  <w:tcBorders>
                    <w:tl2br w:val="nil"/>
                    <w:tr2bl w:val="nil"/>
                  </w:tcBorders>
                  <w:vAlign w:val="center"/>
                </w:tcPr>
                <w:p>
                  <w:pPr>
                    <w:pStyle w:val="2"/>
                    <w:snapToGrid w:val="0"/>
                    <w:spacing w:line="240" w:lineRule="auto"/>
                    <w:jc w:val="center"/>
                    <w:rPr>
                      <w:rFonts w:hint="eastAsia" w:ascii="Times New Roman" w:cs="Times New Roman"/>
                      <w:color w:val="auto"/>
                      <w:sz w:val="21"/>
                      <w:szCs w:val="21"/>
                    </w:rPr>
                  </w:pPr>
                </w:p>
              </w:tc>
              <w:tc>
                <w:tcPr>
                  <w:tcW w:w="385" w:type="pct"/>
                  <w:vMerge w:val="continue"/>
                  <w:tcBorders>
                    <w:tl2br w:val="nil"/>
                    <w:tr2bl w:val="nil"/>
                  </w:tcBorders>
                  <w:vAlign w:val="center"/>
                </w:tcPr>
                <w:p>
                  <w:pPr>
                    <w:pStyle w:val="2"/>
                    <w:snapToGrid w:val="0"/>
                    <w:spacing w:line="240" w:lineRule="auto"/>
                    <w:jc w:val="center"/>
                    <w:rPr>
                      <w:rFonts w:hint="eastAsia" w:ascii="Times New Roman" w:cs="Times New Roman"/>
                      <w:color w:val="auto"/>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97" w:type="pct"/>
                  <w:vMerge w:val="continue"/>
                  <w:tcBorders>
                    <w:tl2br w:val="nil"/>
                    <w:tr2bl w:val="nil"/>
                  </w:tcBorders>
                  <w:vAlign w:val="center"/>
                </w:tcPr>
                <w:p>
                  <w:pPr>
                    <w:pStyle w:val="2"/>
                    <w:snapToGrid w:val="0"/>
                    <w:spacing w:line="240" w:lineRule="auto"/>
                    <w:jc w:val="center"/>
                    <w:rPr>
                      <w:rFonts w:ascii="Times New Roman" w:cs="Times New Roman"/>
                      <w:color w:val="auto"/>
                      <w:sz w:val="21"/>
                      <w:szCs w:val="21"/>
                    </w:rPr>
                  </w:pPr>
                </w:p>
              </w:tc>
              <w:tc>
                <w:tcPr>
                  <w:tcW w:w="897" w:type="pc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涂胶</w:t>
                  </w:r>
                </w:p>
              </w:tc>
              <w:tc>
                <w:tcPr>
                  <w:tcW w:w="947" w:type="pct"/>
                  <w:vMerge w:val="restart"/>
                  <w:tcBorders>
                    <w:tl2br w:val="nil"/>
                    <w:tr2bl w:val="nil"/>
                  </w:tcBorders>
                  <w:vAlign w:val="center"/>
                </w:tcPr>
                <w:p>
                  <w:pPr>
                    <w:adjustRightInd w:val="0"/>
                    <w:snapToGrid w:val="0"/>
                    <w:jc w:val="center"/>
                    <w:rPr>
                      <w:color w:val="auto"/>
                      <w:szCs w:val="21"/>
                    </w:rPr>
                  </w:pPr>
                  <w:r>
                    <w:rPr>
                      <w:rFonts w:hint="eastAsia"/>
                      <w:color w:val="auto"/>
                      <w:szCs w:val="21"/>
                    </w:rPr>
                    <w:t>拉幅定型设备</w:t>
                  </w:r>
                </w:p>
                <w:p>
                  <w:pPr>
                    <w:adjustRightInd w:val="0"/>
                    <w:snapToGrid w:val="0"/>
                    <w:jc w:val="center"/>
                    <w:rPr>
                      <w:color w:val="auto"/>
                      <w:szCs w:val="21"/>
                    </w:rPr>
                  </w:pPr>
                  <w:r>
                    <w:rPr>
                      <w:rFonts w:hint="eastAsia"/>
                      <w:color w:val="auto"/>
                      <w:szCs w:val="21"/>
                    </w:rPr>
                    <w:t>（非标设备）</w:t>
                  </w:r>
                </w:p>
              </w:tc>
              <w:tc>
                <w:tcPr>
                  <w:tcW w:w="1487" w:type="pct"/>
                  <w:vMerge w:val="restart"/>
                  <w:tcBorders>
                    <w:tl2br w:val="nil"/>
                    <w:tr2bl w:val="nil"/>
                  </w:tcBorders>
                  <w:vAlign w:val="center"/>
                </w:tcPr>
                <w:p>
                  <w:pPr>
                    <w:pStyle w:val="2"/>
                    <w:snapToGrid w:val="0"/>
                    <w:spacing w:line="240" w:lineRule="auto"/>
                    <w:rPr>
                      <w:rFonts w:ascii="Times New Roman" w:cs="Times New Roman"/>
                      <w:color w:val="auto"/>
                      <w:sz w:val="21"/>
                      <w:szCs w:val="21"/>
                    </w:rPr>
                  </w:pPr>
                  <w:r>
                    <w:rPr>
                      <w:rFonts w:hint="eastAsia" w:ascii="Times New Roman" w:cs="Times New Roman"/>
                      <w:color w:val="auto"/>
                      <w:sz w:val="21"/>
                      <w:szCs w:val="21"/>
                      <w:highlight w:val="none"/>
                    </w:rPr>
                    <w:t>设备尺寸：55</w:t>
                  </w:r>
                  <w:r>
                    <w:rPr>
                      <w:rFonts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rPr>
                    <w:t>5</w:t>
                  </w:r>
                  <w:r>
                    <w:rPr>
                      <w:rFonts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rPr>
                    <w:t>4.5m；传输带长度：</w:t>
                  </w:r>
                  <w:r>
                    <w:rPr>
                      <w:rFonts w:hint="eastAsia" w:ascii="Times New Roman" w:hAnsi="Times New Roman" w:cs="Times New Roman"/>
                      <w:color w:val="auto"/>
                      <w:sz w:val="21"/>
                      <w:szCs w:val="21"/>
                    </w:rPr>
                    <w:t>50m；烘干段传送带长度：25m；运行速度4m/min,烘干段额定用气量65m</w:t>
                  </w:r>
                  <w:r>
                    <w:rPr>
                      <w:rFonts w:hint="eastAsia" w:ascii="Times New Roman" w:hAnsi="Times New Roman" w:cs="Times New Roman"/>
                      <w:color w:val="auto"/>
                      <w:sz w:val="21"/>
                      <w:szCs w:val="21"/>
                      <w:vertAlign w:val="superscript"/>
                    </w:rPr>
                    <w:t>3</w:t>
                  </w:r>
                  <w:r>
                    <w:rPr>
                      <w:rFonts w:hint="eastAsia" w:ascii="Times New Roman" w:hAnsi="Times New Roman" w:cs="Times New Roman"/>
                      <w:color w:val="auto"/>
                      <w:sz w:val="21"/>
                      <w:szCs w:val="21"/>
                    </w:rPr>
                    <w:t>/h：</w:t>
                  </w:r>
                </w:p>
              </w:tc>
              <w:tc>
                <w:tcPr>
                  <w:tcW w:w="385" w:type="pct"/>
                  <w:vMerge w:val="restart"/>
                  <w:tcBorders>
                    <w:tl2br w:val="nil"/>
                    <w:tr2bl w:val="nil"/>
                  </w:tcBorders>
                  <w:vAlign w:val="center"/>
                </w:tcPr>
                <w:p>
                  <w:pPr>
                    <w:adjustRightInd w:val="0"/>
                    <w:snapToGrid w:val="0"/>
                    <w:jc w:val="center"/>
                    <w:rPr>
                      <w:color w:val="auto"/>
                      <w:szCs w:val="21"/>
                    </w:rPr>
                  </w:pPr>
                  <w:r>
                    <w:rPr>
                      <w:rFonts w:hint="eastAsia"/>
                      <w:color w:val="auto"/>
                      <w:szCs w:val="21"/>
                      <w:highlight w:val="none"/>
                    </w:rPr>
                    <w:t>2</w:t>
                  </w:r>
                  <w:r>
                    <w:rPr>
                      <w:rFonts w:hint="eastAsia"/>
                      <w:color w:val="auto"/>
                      <w:szCs w:val="21"/>
                      <w:highlight w:val="none"/>
                      <w:lang w:eastAsia="zh-CN"/>
                    </w:rPr>
                    <w:t>条</w:t>
                  </w:r>
                </w:p>
              </w:tc>
              <w:tc>
                <w:tcPr>
                  <w:tcW w:w="385" w:type="pct"/>
                  <w:vMerge w:val="restart"/>
                  <w:tcBorders>
                    <w:tl2br w:val="nil"/>
                    <w:tr2bl w:val="nil"/>
                  </w:tcBorders>
                  <w:vAlign w:val="center"/>
                </w:tcPr>
                <w:p>
                  <w:pPr>
                    <w:adjustRightInd w:val="0"/>
                    <w:snapToGrid w:val="0"/>
                    <w:jc w:val="center"/>
                    <w:rPr>
                      <w:color w:val="auto"/>
                      <w:szCs w:val="21"/>
                    </w:rPr>
                  </w:pPr>
                  <w:r>
                    <w:rPr>
                      <w:rFonts w:hint="eastAsia"/>
                      <w:color w:val="auto"/>
                      <w:szCs w:val="21"/>
                    </w:rPr>
                    <w:t>新增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97" w:type="pct"/>
                  <w:vMerge w:val="continue"/>
                  <w:tcBorders>
                    <w:tl2br w:val="nil"/>
                    <w:tr2bl w:val="nil"/>
                  </w:tcBorders>
                  <w:vAlign w:val="center"/>
                </w:tcPr>
                <w:p>
                  <w:pPr>
                    <w:pStyle w:val="2"/>
                    <w:snapToGrid w:val="0"/>
                    <w:spacing w:line="240" w:lineRule="auto"/>
                    <w:rPr>
                      <w:rFonts w:ascii="Times New Roman" w:cs="Times New Roman"/>
                      <w:color w:val="auto"/>
                      <w:sz w:val="21"/>
                      <w:szCs w:val="21"/>
                    </w:rPr>
                  </w:pPr>
                </w:p>
              </w:tc>
              <w:tc>
                <w:tcPr>
                  <w:tcW w:w="897" w:type="pc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烘干</w:t>
                  </w:r>
                </w:p>
              </w:tc>
              <w:tc>
                <w:tcPr>
                  <w:tcW w:w="947" w:type="pct"/>
                  <w:vMerge w:val="continue"/>
                  <w:tcBorders>
                    <w:tl2br w:val="nil"/>
                    <w:tr2bl w:val="nil"/>
                  </w:tcBorders>
                  <w:vAlign w:val="center"/>
                </w:tcPr>
                <w:p>
                  <w:pPr>
                    <w:adjustRightInd w:val="0"/>
                    <w:snapToGrid w:val="0"/>
                    <w:jc w:val="center"/>
                    <w:rPr>
                      <w:color w:val="auto"/>
                      <w:szCs w:val="21"/>
                    </w:rPr>
                  </w:pPr>
                </w:p>
              </w:tc>
              <w:tc>
                <w:tcPr>
                  <w:tcW w:w="1487" w:type="pct"/>
                  <w:vMerge w:val="continue"/>
                  <w:tcBorders>
                    <w:tl2br w:val="nil"/>
                    <w:tr2bl w:val="nil"/>
                  </w:tcBorders>
                  <w:vAlign w:val="center"/>
                </w:tcPr>
                <w:p>
                  <w:pPr>
                    <w:pStyle w:val="2"/>
                    <w:snapToGrid w:val="0"/>
                    <w:spacing w:line="240" w:lineRule="auto"/>
                    <w:jc w:val="center"/>
                    <w:rPr>
                      <w:rFonts w:ascii="Times New Roman" w:cs="Times New Roman"/>
                      <w:color w:val="auto"/>
                      <w:sz w:val="21"/>
                      <w:szCs w:val="21"/>
                    </w:rPr>
                  </w:pPr>
                </w:p>
              </w:tc>
              <w:tc>
                <w:tcPr>
                  <w:tcW w:w="385" w:type="pct"/>
                  <w:vMerge w:val="continue"/>
                  <w:tcBorders>
                    <w:tl2br w:val="nil"/>
                    <w:tr2bl w:val="nil"/>
                  </w:tcBorders>
                  <w:vAlign w:val="center"/>
                </w:tcPr>
                <w:p>
                  <w:pPr>
                    <w:adjustRightInd w:val="0"/>
                    <w:snapToGrid w:val="0"/>
                    <w:jc w:val="center"/>
                    <w:rPr>
                      <w:color w:val="auto"/>
                      <w:szCs w:val="21"/>
                    </w:rPr>
                  </w:pPr>
                </w:p>
              </w:tc>
              <w:tc>
                <w:tcPr>
                  <w:tcW w:w="385"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7" w:type="pct"/>
                  <w:vMerge w:val="continue"/>
                  <w:tcBorders>
                    <w:tl2br w:val="nil"/>
                    <w:tr2bl w:val="nil"/>
                  </w:tcBorders>
                  <w:vAlign w:val="center"/>
                </w:tcPr>
                <w:p>
                  <w:pPr>
                    <w:pStyle w:val="2"/>
                    <w:snapToGrid w:val="0"/>
                    <w:spacing w:line="240" w:lineRule="auto"/>
                    <w:rPr>
                      <w:rFonts w:ascii="Times New Roman" w:cs="Times New Roman"/>
                      <w:color w:val="auto"/>
                      <w:sz w:val="21"/>
                      <w:szCs w:val="21"/>
                    </w:rPr>
                  </w:pPr>
                </w:p>
              </w:tc>
              <w:tc>
                <w:tcPr>
                  <w:tcW w:w="897" w:type="pc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收卷</w:t>
                  </w:r>
                </w:p>
              </w:tc>
              <w:tc>
                <w:tcPr>
                  <w:tcW w:w="947" w:type="pct"/>
                  <w:vMerge w:val="continue"/>
                  <w:tcBorders>
                    <w:tl2br w:val="nil"/>
                    <w:tr2bl w:val="nil"/>
                  </w:tcBorders>
                  <w:vAlign w:val="center"/>
                </w:tcPr>
                <w:p>
                  <w:pPr>
                    <w:adjustRightInd w:val="0"/>
                    <w:snapToGrid w:val="0"/>
                    <w:jc w:val="center"/>
                    <w:rPr>
                      <w:color w:val="auto"/>
                      <w:szCs w:val="21"/>
                    </w:rPr>
                  </w:pPr>
                </w:p>
              </w:tc>
              <w:tc>
                <w:tcPr>
                  <w:tcW w:w="1487" w:type="pct"/>
                  <w:vMerge w:val="continue"/>
                  <w:tcBorders>
                    <w:tl2br w:val="nil"/>
                    <w:tr2bl w:val="nil"/>
                  </w:tcBorders>
                  <w:vAlign w:val="center"/>
                </w:tcPr>
                <w:p>
                  <w:pPr>
                    <w:pStyle w:val="2"/>
                    <w:snapToGrid w:val="0"/>
                    <w:spacing w:line="240" w:lineRule="auto"/>
                    <w:jc w:val="center"/>
                    <w:rPr>
                      <w:rFonts w:ascii="Times New Roman" w:cs="Times New Roman"/>
                      <w:color w:val="auto"/>
                      <w:sz w:val="21"/>
                      <w:szCs w:val="21"/>
                    </w:rPr>
                  </w:pPr>
                </w:p>
              </w:tc>
              <w:tc>
                <w:tcPr>
                  <w:tcW w:w="385" w:type="pct"/>
                  <w:vMerge w:val="continue"/>
                  <w:tcBorders>
                    <w:tl2br w:val="nil"/>
                    <w:tr2bl w:val="nil"/>
                  </w:tcBorders>
                  <w:vAlign w:val="center"/>
                </w:tcPr>
                <w:p>
                  <w:pPr>
                    <w:adjustRightInd w:val="0"/>
                    <w:snapToGrid w:val="0"/>
                    <w:jc w:val="center"/>
                    <w:rPr>
                      <w:color w:val="auto"/>
                      <w:szCs w:val="21"/>
                    </w:rPr>
                  </w:pPr>
                </w:p>
              </w:tc>
              <w:tc>
                <w:tcPr>
                  <w:tcW w:w="385"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7" w:type="pct"/>
                  <w:vMerge w:val="restar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ascii="Times New Roman" w:hAnsi="Times New Roman" w:cs="Times New Roman"/>
                      <w:color w:val="auto"/>
                      <w:sz w:val="21"/>
                      <w:szCs w:val="21"/>
                    </w:rPr>
                    <w:t>淋膜无纺布</w:t>
                  </w:r>
                  <w:r>
                    <w:rPr>
                      <w:rFonts w:hint="eastAsia" w:ascii="Times New Roman" w:hAnsi="Times New Roman" w:cs="Times New Roman"/>
                      <w:color w:val="auto"/>
                      <w:sz w:val="21"/>
                      <w:szCs w:val="21"/>
                    </w:rPr>
                    <w:t>生产线</w:t>
                  </w:r>
                </w:p>
              </w:tc>
              <w:tc>
                <w:tcPr>
                  <w:tcW w:w="897" w:type="pct"/>
                  <w:tcBorders>
                    <w:tl2br w:val="nil"/>
                    <w:tr2bl w:val="nil"/>
                  </w:tcBorders>
                  <w:vAlign w:val="center"/>
                </w:tcPr>
                <w:p>
                  <w:pPr>
                    <w:adjustRightInd w:val="0"/>
                    <w:snapToGrid w:val="0"/>
                    <w:jc w:val="center"/>
                    <w:rPr>
                      <w:color w:val="auto"/>
                      <w:szCs w:val="21"/>
                    </w:rPr>
                  </w:pPr>
                  <w:r>
                    <w:rPr>
                      <w:rFonts w:hint="eastAsia"/>
                      <w:color w:val="auto"/>
                      <w:szCs w:val="21"/>
                    </w:rPr>
                    <w:t>开卷</w:t>
                  </w:r>
                </w:p>
              </w:tc>
              <w:tc>
                <w:tcPr>
                  <w:tcW w:w="947" w:type="pct"/>
                  <w:vMerge w:val="restart"/>
                  <w:tcBorders>
                    <w:tl2br w:val="nil"/>
                    <w:tr2bl w:val="nil"/>
                  </w:tcBorders>
                  <w:vAlign w:val="center"/>
                </w:tcPr>
                <w:p>
                  <w:pPr>
                    <w:adjustRightInd w:val="0"/>
                    <w:snapToGrid w:val="0"/>
                    <w:jc w:val="center"/>
                    <w:rPr>
                      <w:color w:val="auto"/>
                      <w:kern w:val="0"/>
                      <w:szCs w:val="21"/>
                      <w:lang w:bidi="ar"/>
                    </w:rPr>
                  </w:pPr>
                  <w:r>
                    <w:rPr>
                      <w:rFonts w:hint="eastAsia"/>
                      <w:color w:val="auto"/>
                      <w:kern w:val="0"/>
                      <w:szCs w:val="21"/>
                      <w:lang w:bidi="ar"/>
                    </w:rPr>
                    <w:t>淋膜机</w:t>
                  </w:r>
                </w:p>
                <w:p>
                  <w:pPr>
                    <w:adjustRightInd w:val="0"/>
                    <w:snapToGrid w:val="0"/>
                    <w:jc w:val="center"/>
                    <w:rPr>
                      <w:color w:val="auto"/>
                      <w:kern w:val="0"/>
                      <w:szCs w:val="21"/>
                      <w:lang w:bidi="ar"/>
                    </w:rPr>
                  </w:pPr>
                  <w:r>
                    <w:rPr>
                      <w:rFonts w:hint="eastAsia"/>
                      <w:color w:val="auto"/>
                      <w:szCs w:val="21"/>
                    </w:rPr>
                    <w:t>（非标设备）</w:t>
                  </w:r>
                </w:p>
              </w:tc>
              <w:tc>
                <w:tcPr>
                  <w:tcW w:w="1487" w:type="pct"/>
                  <w:vMerge w:val="restart"/>
                  <w:tcBorders>
                    <w:tl2br w:val="nil"/>
                    <w:tr2bl w:val="nil"/>
                  </w:tcBorders>
                  <w:vAlign w:val="center"/>
                </w:tcPr>
                <w:p>
                  <w:pPr>
                    <w:widowControl/>
                    <w:adjustRightInd w:val="0"/>
                    <w:snapToGrid w:val="0"/>
                    <w:textAlignment w:val="center"/>
                    <w:rPr>
                      <w:color w:val="auto"/>
                      <w:szCs w:val="21"/>
                    </w:rPr>
                  </w:pPr>
                  <w:r>
                    <w:rPr>
                      <w:rFonts w:hint="eastAsia"/>
                      <w:color w:val="auto"/>
                      <w:szCs w:val="21"/>
                    </w:rPr>
                    <w:t>设备尺寸：15</w:t>
                  </w:r>
                  <w:r>
                    <w:rPr>
                      <w:color w:val="auto"/>
                      <w:kern w:val="0"/>
                      <w:szCs w:val="21"/>
                    </w:rPr>
                    <w:t>×</w:t>
                  </w:r>
                  <w:r>
                    <w:rPr>
                      <w:rFonts w:hint="eastAsia"/>
                      <w:color w:val="auto"/>
                      <w:kern w:val="0"/>
                      <w:szCs w:val="21"/>
                    </w:rPr>
                    <w:t>3.2</w:t>
                  </w:r>
                  <w:r>
                    <w:rPr>
                      <w:color w:val="auto"/>
                      <w:kern w:val="0"/>
                      <w:szCs w:val="21"/>
                    </w:rPr>
                    <w:t>×</w:t>
                  </w:r>
                  <w:r>
                    <w:rPr>
                      <w:rFonts w:hint="eastAsia"/>
                      <w:color w:val="auto"/>
                      <w:kern w:val="0"/>
                      <w:szCs w:val="21"/>
                    </w:rPr>
                    <w:t>2m；传输速度2m/min,</w:t>
                  </w:r>
                </w:p>
              </w:tc>
              <w:tc>
                <w:tcPr>
                  <w:tcW w:w="385" w:type="pct"/>
                  <w:vMerge w:val="restart"/>
                  <w:tcBorders>
                    <w:tl2br w:val="nil"/>
                    <w:tr2bl w:val="nil"/>
                  </w:tcBorders>
                  <w:vAlign w:val="center"/>
                </w:tcPr>
                <w:p>
                  <w:pPr>
                    <w:adjustRightInd w:val="0"/>
                    <w:snapToGrid w:val="0"/>
                    <w:jc w:val="center"/>
                    <w:rPr>
                      <w:rFonts w:hint="eastAsia" w:eastAsia="宋体"/>
                      <w:color w:val="auto"/>
                      <w:szCs w:val="21"/>
                      <w:lang w:eastAsia="zh-CN"/>
                    </w:rPr>
                  </w:pPr>
                  <w:r>
                    <w:rPr>
                      <w:rFonts w:hint="eastAsia"/>
                      <w:color w:val="auto"/>
                      <w:szCs w:val="21"/>
                    </w:rPr>
                    <w:t>2</w:t>
                  </w:r>
                  <w:r>
                    <w:rPr>
                      <w:rFonts w:hint="eastAsia"/>
                      <w:color w:val="auto"/>
                      <w:szCs w:val="21"/>
                      <w:lang w:eastAsia="zh-CN"/>
                    </w:rPr>
                    <w:t>条</w:t>
                  </w:r>
                </w:p>
              </w:tc>
              <w:tc>
                <w:tcPr>
                  <w:tcW w:w="385" w:type="pct"/>
                  <w:vMerge w:val="restart"/>
                  <w:tcBorders>
                    <w:tl2br w:val="nil"/>
                    <w:tr2bl w:val="nil"/>
                  </w:tcBorders>
                  <w:vAlign w:val="center"/>
                </w:tcPr>
                <w:p>
                  <w:pPr>
                    <w:adjustRightInd w:val="0"/>
                    <w:snapToGrid w:val="0"/>
                    <w:jc w:val="center"/>
                    <w:rPr>
                      <w:color w:val="auto"/>
                      <w:szCs w:val="21"/>
                    </w:rPr>
                  </w:pPr>
                  <w:r>
                    <w:rPr>
                      <w:rFonts w:hint="eastAsia"/>
                      <w:color w:val="auto"/>
                      <w:szCs w:val="21"/>
                    </w:rPr>
                    <w:t>新增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7" w:type="pct"/>
                  <w:vMerge w:val="continue"/>
                  <w:tcBorders>
                    <w:tl2br w:val="nil"/>
                    <w:tr2bl w:val="nil"/>
                  </w:tcBorders>
                  <w:vAlign w:val="center"/>
                </w:tcPr>
                <w:p>
                  <w:pPr>
                    <w:pStyle w:val="2"/>
                    <w:snapToGrid w:val="0"/>
                    <w:spacing w:line="240" w:lineRule="auto"/>
                    <w:jc w:val="center"/>
                    <w:rPr>
                      <w:rFonts w:ascii="Times New Roman" w:cs="Times New Roman"/>
                      <w:color w:val="auto"/>
                      <w:sz w:val="21"/>
                      <w:szCs w:val="21"/>
                    </w:rPr>
                  </w:pPr>
                </w:p>
              </w:tc>
              <w:tc>
                <w:tcPr>
                  <w:tcW w:w="897" w:type="pct"/>
                  <w:tcBorders>
                    <w:tl2br w:val="nil"/>
                    <w:tr2bl w:val="nil"/>
                  </w:tcBorders>
                  <w:vAlign w:val="center"/>
                </w:tcPr>
                <w:p>
                  <w:pPr>
                    <w:widowControl/>
                    <w:adjustRightInd w:val="0"/>
                    <w:snapToGrid w:val="0"/>
                    <w:jc w:val="center"/>
                    <w:rPr>
                      <w:color w:val="auto"/>
                      <w:szCs w:val="21"/>
                    </w:rPr>
                  </w:pPr>
                  <w:r>
                    <w:rPr>
                      <w:rFonts w:hint="eastAsia"/>
                      <w:color w:val="auto"/>
                      <w:szCs w:val="21"/>
                    </w:rPr>
                    <w:t>热融</w:t>
                  </w:r>
                </w:p>
              </w:tc>
              <w:tc>
                <w:tcPr>
                  <w:tcW w:w="947" w:type="pct"/>
                  <w:vMerge w:val="continue"/>
                  <w:tcBorders>
                    <w:tl2br w:val="nil"/>
                    <w:tr2bl w:val="nil"/>
                  </w:tcBorders>
                  <w:vAlign w:val="center"/>
                </w:tcPr>
                <w:p>
                  <w:pPr>
                    <w:widowControl/>
                    <w:adjustRightInd w:val="0"/>
                    <w:snapToGrid w:val="0"/>
                    <w:jc w:val="center"/>
                    <w:rPr>
                      <w:color w:val="auto"/>
                      <w:kern w:val="0"/>
                      <w:szCs w:val="21"/>
                      <w:lang w:bidi="ar"/>
                    </w:rPr>
                  </w:pPr>
                </w:p>
              </w:tc>
              <w:tc>
                <w:tcPr>
                  <w:tcW w:w="1487" w:type="pct"/>
                  <w:vMerge w:val="continue"/>
                  <w:tcBorders>
                    <w:tl2br w:val="nil"/>
                    <w:tr2bl w:val="nil"/>
                  </w:tcBorders>
                  <w:vAlign w:val="center"/>
                </w:tcPr>
                <w:p>
                  <w:pPr>
                    <w:adjustRightInd w:val="0"/>
                    <w:snapToGrid w:val="0"/>
                    <w:jc w:val="center"/>
                    <w:rPr>
                      <w:color w:val="auto"/>
                      <w:szCs w:val="21"/>
                    </w:rPr>
                  </w:pPr>
                </w:p>
              </w:tc>
              <w:tc>
                <w:tcPr>
                  <w:tcW w:w="385" w:type="pct"/>
                  <w:vMerge w:val="continue"/>
                  <w:tcBorders>
                    <w:tl2br w:val="nil"/>
                    <w:tr2bl w:val="nil"/>
                  </w:tcBorders>
                  <w:vAlign w:val="center"/>
                </w:tcPr>
                <w:p>
                  <w:pPr>
                    <w:adjustRightInd w:val="0"/>
                    <w:snapToGrid w:val="0"/>
                    <w:jc w:val="center"/>
                    <w:rPr>
                      <w:color w:val="auto"/>
                      <w:szCs w:val="21"/>
                    </w:rPr>
                  </w:pPr>
                </w:p>
              </w:tc>
              <w:tc>
                <w:tcPr>
                  <w:tcW w:w="385"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7" w:type="pct"/>
                  <w:vMerge w:val="continue"/>
                  <w:tcBorders>
                    <w:tl2br w:val="nil"/>
                    <w:tr2bl w:val="nil"/>
                  </w:tcBorders>
                  <w:vAlign w:val="center"/>
                </w:tcPr>
                <w:p>
                  <w:pPr>
                    <w:pStyle w:val="2"/>
                    <w:snapToGrid w:val="0"/>
                    <w:spacing w:line="240" w:lineRule="auto"/>
                    <w:jc w:val="center"/>
                    <w:rPr>
                      <w:rFonts w:ascii="Times New Roman" w:cs="Times New Roman"/>
                      <w:color w:val="auto"/>
                      <w:sz w:val="21"/>
                      <w:szCs w:val="21"/>
                    </w:rPr>
                  </w:pPr>
                </w:p>
              </w:tc>
              <w:tc>
                <w:tcPr>
                  <w:tcW w:w="897" w:type="pct"/>
                  <w:tcBorders>
                    <w:tl2br w:val="nil"/>
                    <w:tr2bl w:val="nil"/>
                  </w:tcBorders>
                  <w:vAlign w:val="center"/>
                </w:tcPr>
                <w:p>
                  <w:pPr>
                    <w:adjustRightInd w:val="0"/>
                    <w:snapToGrid w:val="0"/>
                    <w:jc w:val="center"/>
                    <w:rPr>
                      <w:color w:val="auto"/>
                      <w:szCs w:val="21"/>
                    </w:rPr>
                  </w:pPr>
                  <w:r>
                    <w:rPr>
                      <w:rFonts w:hint="eastAsia"/>
                      <w:color w:val="auto"/>
                      <w:szCs w:val="21"/>
                    </w:rPr>
                    <w:t>淋膜</w:t>
                  </w:r>
                </w:p>
              </w:tc>
              <w:tc>
                <w:tcPr>
                  <w:tcW w:w="947" w:type="pct"/>
                  <w:vMerge w:val="continue"/>
                  <w:tcBorders>
                    <w:tl2br w:val="nil"/>
                    <w:tr2bl w:val="nil"/>
                  </w:tcBorders>
                  <w:vAlign w:val="center"/>
                </w:tcPr>
                <w:p>
                  <w:pPr>
                    <w:adjustRightInd w:val="0"/>
                    <w:snapToGrid w:val="0"/>
                    <w:jc w:val="center"/>
                    <w:rPr>
                      <w:color w:val="auto"/>
                      <w:kern w:val="0"/>
                      <w:szCs w:val="21"/>
                    </w:rPr>
                  </w:pPr>
                </w:p>
              </w:tc>
              <w:tc>
                <w:tcPr>
                  <w:tcW w:w="1487" w:type="pct"/>
                  <w:vMerge w:val="continue"/>
                  <w:tcBorders>
                    <w:tl2br w:val="nil"/>
                    <w:tr2bl w:val="nil"/>
                  </w:tcBorders>
                  <w:vAlign w:val="center"/>
                </w:tcPr>
                <w:p>
                  <w:pPr>
                    <w:widowControl/>
                    <w:adjustRightInd w:val="0"/>
                    <w:snapToGrid w:val="0"/>
                    <w:jc w:val="center"/>
                    <w:textAlignment w:val="center"/>
                    <w:rPr>
                      <w:color w:val="auto"/>
                      <w:kern w:val="0"/>
                      <w:szCs w:val="21"/>
                    </w:rPr>
                  </w:pPr>
                </w:p>
              </w:tc>
              <w:tc>
                <w:tcPr>
                  <w:tcW w:w="385" w:type="pct"/>
                  <w:vMerge w:val="continue"/>
                  <w:tcBorders>
                    <w:tl2br w:val="nil"/>
                    <w:tr2bl w:val="nil"/>
                  </w:tcBorders>
                  <w:vAlign w:val="center"/>
                </w:tcPr>
                <w:p>
                  <w:pPr>
                    <w:adjustRightInd w:val="0"/>
                    <w:snapToGrid w:val="0"/>
                    <w:jc w:val="center"/>
                    <w:rPr>
                      <w:color w:val="auto"/>
                      <w:szCs w:val="21"/>
                    </w:rPr>
                  </w:pPr>
                </w:p>
              </w:tc>
              <w:tc>
                <w:tcPr>
                  <w:tcW w:w="385"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7" w:type="pct"/>
                  <w:vMerge w:val="continue"/>
                  <w:tcBorders>
                    <w:tl2br w:val="nil"/>
                    <w:tr2bl w:val="nil"/>
                  </w:tcBorders>
                  <w:vAlign w:val="center"/>
                </w:tcPr>
                <w:p>
                  <w:pPr>
                    <w:pStyle w:val="2"/>
                    <w:snapToGrid w:val="0"/>
                    <w:spacing w:line="240" w:lineRule="auto"/>
                    <w:jc w:val="center"/>
                    <w:rPr>
                      <w:rFonts w:ascii="Times New Roman" w:cs="Times New Roman"/>
                      <w:color w:val="auto"/>
                      <w:sz w:val="21"/>
                      <w:szCs w:val="21"/>
                    </w:rPr>
                  </w:pPr>
                </w:p>
              </w:tc>
              <w:tc>
                <w:tcPr>
                  <w:tcW w:w="897" w:type="pct"/>
                  <w:tcBorders>
                    <w:tl2br w:val="nil"/>
                    <w:tr2bl w:val="nil"/>
                  </w:tcBorders>
                  <w:vAlign w:val="center"/>
                </w:tcPr>
                <w:p>
                  <w:pPr>
                    <w:widowControl/>
                    <w:adjustRightInd w:val="0"/>
                    <w:snapToGrid w:val="0"/>
                    <w:jc w:val="center"/>
                    <w:rPr>
                      <w:color w:val="auto"/>
                      <w:szCs w:val="21"/>
                    </w:rPr>
                  </w:pPr>
                  <w:r>
                    <w:rPr>
                      <w:rFonts w:hint="eastAsia"/>
                      <w:color w:val="auto"/>
                      <w:szCs w:val="21"/>
                    </w:rPr>
                    <w:t>收卷</w:t>
                  </w:r>
                </w:p>
              </w:tc>
              <w:tc>
                <w:tcPr>
                  <w:tcW w:w="947" w:type="pct"/>
                  <w:vMerge w:val="continue"/>
                  <w:tcBorders>
                    <w:tl2br w:val="nil"/>
                    <w:tr2bl w:val="nil"/>
                  </w:tcBorders>
                  <w:vAlign w:val="center"/>
                </w:tcPr>
                <w:p>
                  <w:pPr>
                    <w:widowControl/>
                    <w:adjustRightInd w:val="0"/>
                    <w:snapToGrid w:val="0"/>
                    <w:jc w:val="center"/>
                    <w:rPr>
                      <w:color w:val="auto"/>
                      <w:kern w:val="0"/>
                      <w:szCs w:val="21"/>
                      <w:lang w:bidi="ar"/>
                    </w:rPr>
                  </w:pPr>
                </w:p>
              </w:tc>
              <w:tc>
                <w:tcPr>
                  <w:tcW w:w="1487" w:type="pct"/>
                  <w:vMerge w:val="continue"/>
                  <w:tcBorders>
                    <w:tl2br w:val="nil"/>
                    <w:tr2bl w:val="nil"/>
                  </w:tcBorders>
                  <w:vAlign w:val="center"/>
                </w:tcPr>
                <w:p>
                  <w:pPr>
                    <w:adjustRightInd w:val="0"/>
                    <w:snapToGrid w:val="0"/>
                    <w:jc w:val="center"/>
                    <w:rPr>
                      <w:color w:val="auto"/>
                      <w:szCs w:val="21"/>
                    </w:rPr>
                  </w:pPr>
                </w:p>
              </w:tc>
              <w:tc>
                <w:tcPr>
                  <w:tcW w:w="385" w:type="pct"/>
                  <w:vMerge w:val="continue"/>
                  <w:tcBorders>
                    <w:tl2br w:val="nil"/>
                    <w:tr2bl w:val="nil"/>
                  </w:tcBorders>
                  <w:vAlign w:val="center"/>
                </w:tcPr>
                <w:p>
                  <w:pPr>
                    <w:adjustRightInd w:val="0"/>
                    <w:snapToGrid w:val="0"/>
                    <w:jc w:val="center"/>
                    <w:rPr>
                      <w:color w:val="auto"/>
                      <w:szCs w:val="21"/>
                    </w:rPr>
                  </w:pPr>
                </w:p>
              </w:tc>
              <w:tc>
                <w:tcPr>
                  <w:tcW w:w="385" w:type="pct"/>
                  <w:vMerge w:val="continue"/>
                  <w:tcBorders>
                    <w:tl2br w:val="nil"/>
                    <w:tr2bl w:val="nil"/>
                  </w:tcBorders>
                  <w:vAlign w:val="center"/>
                </w:tcPr>
                <w:p>
                  <w:pPr>
                    <w:adjustRightInd w:val="0"/>
                    <w:snapToGri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7" w:type="pct"/>
                  <w:vMerge w:val="continue"/>
                  <w:tcBorders>
                    <w:tl2br w:val="nil"/>
                    <w:tr2bl w:val="nil"/>
                  </w:tcBorders>
                  <w:vAlign w:val="center"/>
                </w:tcPr>
                <w:p>
                  <w:pPr>
                    <w:pStyle w:val="2"/>
                    <w:snapToGrid w:val="0"/>
                    <w:spacing w:line="240" w:lineRule="auto"/>
                    <w:jc w:val="center"/>
                    <w:rPr>
                      <w:rFonts w:ascii="Times New Roman" w:cs="Times New Roman"/>
                      <w:color w:val="auto"/>
                      <w:sz w:val="21"/>
                      <w:szCs w:val="21"/>
                    </w:rPr>
                  </w:pPr>
                </w:p>
              </w:tc>
              <w:tc>
                <w:tcPr>
                  <w:tcW w:w="897" w:type="pct"/>
                  <w:tcBorders>
                    <w:tl2br w:val="nil"/>
                    <w:tr2bl w:val="nil"/>
                  </w:tcBorders>
                  <w:vAlign w:val="center"/>
                </w:tcPr>
                <w:p>
                  <w:pPr>
                    <w:widowControl/>
                    <w:adjustRightInd w:val="0"/>
                    <w:snapToGrid w:val="0"/>
                    <w:jc w:val="center"/>
                    <w:rPr>
                      <w:color w:val="auto"/>
                      <w:szCs w:val="21"/>
                    </w:rPr>
                  </w:pPr>
                  <w:r>
                    <w:rPr>
                      <w:rFonts w:hint="eastAsia"/>
                      <w:color w:val="auto"/>
                      <w:szCs w:val="21"/>
                    </w:rPr>
                    <w:t>冷却</w:t>
                  </w:r>
                </w:p>
              </w:tc>
              <w:tc>
                <w:tcPr>
                  <w:tcW w:w="947" w:type="pct"/>
                  <w:tcBorders>
                    <w:tl2br w:val="nil"/>
                    <w:tr2bl w:val="nil"/>
                  </w:tcBorders>
                  <w:vAlign w:val="center"/>
                </w:tcPr>
                <w:p>
                  <w:pPr>
                    <w:widowControl/>
                    <w:adjustRightInd w:val="0"/>
                    <w:snapToGrid w:val="0"/>
                    <w:jc w:val="center"/>
                    <w:rPr>
                      <w:color w:val="auto"/>
                      <w:kern w:val="0"/>
                      <w:szCs w:val="21"/>
                      <w:lang w:bidi="ar"/>
                    </w:rPr>
                  </w:pPr>
                  <w:r>
                    <w:rPr>
                      <w:rFonts w:hint="eastAsia"/>
                      <w:color w:val="auto"/>
                      <w:szCs w:val="21"/>
                    </w:rPr>
                    <w:t>冷却塔</w:t>
                  </w:r>
                </w:p>
              </w:tc>
              <w:tc>
                <w:tcPr>
                  <w:tcW w:w="1487" w:type="pct"/>
                  <w:tcBorders>
                    <w:tl2br w:val="nil"/>
                    <w:tr2bl w:val="nil"/>
                  </w:tcBorders>
                  <w:vAlign w:val="center"/>
                </w:tcPr>
                <w:p>
                  <w:pPr>
                    <w:adjustRightInd w:val="0"/>
                    <w:snapToGrid w:val="0"/>
                    <w:jc w:val="center"/>
                    <w:rPr>
                      <w:color w:val="auto"/>
                      <w:szCs w:val="21"/>
                    </w:rPr>
                  </w:pPr>
                  <w:r>
                    <w:rPr>
                      <w:rFonts w:hint="eastAsia"/>
                      <w:color w:val="auto"/>
                      <w:kern w:val="0"/>
                      <w:szCs w:val="21"/>
                    </w:rPr>
                    <w:t>冷却水槽容积：80m</w:t>
                  </w:r>
                  <w:r>
                    <w:rPr>
                      <w:rFonts w:hint="eastAsia"/>
                      <w:color w:val="auto"/>
                      <w:kern w:val="0"/>
                      <w:szCs w:val="21"/>
                      <w:vertAlign w:val="superscript"/>
                    </w:rPr>
                    <w:t>3</w:t>
                  </w:r>
                  <w:r>
                    <w:rPr>
                      <w:rFonts w:hint="eastAsia"/>
                      <w:color w:val="auto"/>
                      <w:kern w:val="0"/>
                      <w:szCs w:val="21"/>
                    </w:rPr>
                    <w:t>/d，循环水量：220m</w:t>
                  </w:r>
                  <w:r>
                    <w:rPr>
                      <w:rFonts w:hint="eastAsia"/>
                      <w:color w:val="auto"/>
                      <w:kern w:val="0"/>
                      <w:szCs w:val="21"/>
                      <w:vertAlign w:val="superscript"/>
                    </w:rPr>
                    <w:t>3</w:t>
                  </w:r>
                  <w:r>
                    <w:rPr>
                      <w:rFonts w:hint="eastAsia"/>
                      <w:color w:val="auto"/>
                      <w:kern w:val="0"/>
                      <w:szCs w:val="21"/>
                    </w:rPr>
                    <w:t>/h</w:t>
                  </w:r>
                </w:p>
              </w:tc>
              <w:tc>
                <w:tcPr>
                  <w:tcW w:w="385" w:type="pct"/>
                  <w:tcBorders>
                    <w:tl2br w:val="nil"/>
                    <w:tr2bl w:val="nil"/>
                  </w:tcBorders>
                  <w:vAlign w:val="center"/>
                </w:tcPr>
                <w:p>
                  <w:pPr>
                    <w:adjustRightInd w:val="0"/>
                    <w:snapToGrid w:val="0"/>
                    <w:jc w:val="center"/>
                    <w:rPr>
                      <w:color w:val="auto"/>
                      <w:szCs w:val="21"/>
                    </w:rPr>
                  </w:pPr>
                  <w:r>
                    <w:rPr>
                      <w:rFonts w:hint="eastAsia"/>
                      <w:color w:val="auto"/>
                      <w:szCs w:val="21"/>
                    </w:rPr>
                    <w:t>1台</w:t>
                  </w:r>
                </w:p>
              </w:tc>
              <w:tc>
                <w:tcPr>
                  <w:tcW w:w="385" w:type="pct"/>
                  <w:tcBorders>
                    <w:tl2br w:val="nil"/>
                    <w:tr2bl w:val="nil"/>
                  </w:tcBorders>
                  <w:vAlign w:val="center"/>
                </w:tcPr>
                <w:p>
                  <w:pPr>
                    <w:adjustRightInd w:val="0"/>
                    <w:snapToGrid w:val="0"/>
                    <w:jc w:val="center"/>
                    <w:rPr>
                      <w:color w:val="auto"/>
                      <w:szCs w:val="21"/>
                    </w:rPr>
                  </w:pPr>
                  <w:r>
                    <w:rPr>
                      <w:rFonts w:hint="eastAsia"/>
                      <w:color w:val="auto"/>
                      <w:szCs w:val="21"/>
                    </w:rPr>
                    <w:t>新增</w:t>
                  </w:r>
                </w:p>
              </w:tc>
            </w:tr>
          </w:tbl>
          <w:p>
            <w:pPr>
              <w:pStyle w:val="36"/>
              <w:ind w:firstLine="0" w:firstLineChars="0"/>
              <w:jc w:val="center"/>
              <w:rPr>
                <w:rFonts w:ascii="Times New Roman" w:hAnsi="Times New Roman"/>
                <w:color w:val="auto"/>
                <w:kern w:val="0"/>
                <w:sz w:val="21"/>
                <w:szCs w:val="21"/>
              </w:rPr>
            </w:pPr>
            <w:r>
              <w:rPr>
                <w:rFonts w:ascii="Times New Roman" w:hAnsi="Times New Roman"/>
                <w:color w:val="auto"/>
                <w:kern w:val="0"/>
                <w:sz w:val="21"/>
                <w:szCs w:val="21"/>
              </w:rPr>
              <w:t>表</w:t>
            </w:r>
            <w:r>
              <w:rPr>
                <w:rFonts w:hint="eastAsia" w:ascii="Times New Roman" w:hAnsi="Times New Roman"/>
                <w:color w:val="auto"/>
                <w:kern w:val="0"/>
                <w:sz w:val="21"/>
                <w:szCs w:val="21"/>
              </w:rPr>
              <w:t>2.</w:t>
            </w:r>
            <w:r>
              <w:rPr>
                <w:rFonts w:hint="eastAsia" w:ascii="Times New Roman" w:hAnsi="Times New Roman"/>
                <w:color w:val="auto"/>
                <w:kern w:val="0"/>
                <w:sz w:val="21"/>
                <w:szCs w:val="21"/>
                <w:lang w:val="en-US" w:eastAsia="zh-CN"/>
              </w:rPr>
              <w:t>5</w:t>
            </w:r>
            <w:r>
              <w:rPr>
                <w:rFonts w:hint="eastAsia" w:ascii="Times New Roman" w:hAnsi="Times New Roman"/>
                <w:color w:val="auto"/>
                <w:kern w:val="0"/>
                <w:sz w:val="21"/>
                <w:szCs w:val="21"/>
              </w:rPr>
              <w:t xml:space="preserve"> 生产节拍与产能匹配性一览表</w:t>
            </w:r>
          </w:p>
          <w:tbl>
            <w:tblPr>
              <w:tblStyle w:val="22"/>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824"/>
              <w:gridCol w:w="2218"/>
              <w:gridCol w:w="1146"/>
              <w:gridCol w:w="1339"/>
              <w:gridCol w:w="119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645" w:type="dxa"/>
                  <w:tcBorders>
                    <w:tl2br w:val="nil"/>
                    <w:tr2bl w:val="nil"/>
                  </w:tcBorders>
                  <w:vAlign w:val="center"/>
                </w:tcPr>
                <w:p>
                  <w:pPr>
                    <w:pStyle w:val="36"/>
                    <w:spacing w:line="240" w:lineRule="auto"/>
                    <w:ind w:firstLine="0" w:firstLineChars="0"/>
                    <w:jc w:val="center"/>
                    <w:outlineLvl w:val="9"/>
                    <w:rPr>
                      <w:rFonts w:ascii="Times New Roman" w:hAnsi="Times New Roman"/>
                      <w:snapToGrid w:val="0"/>
                      <w:color w:val="auto"/>
                      <w:sz w:val="21"/>
                      <w:szCs w:val="21"/>
                    </w:rPr>
                  </w:pPr>
                  <w:r>
                    <w:rPr>
                      <w:rFonts w:ascii="Times New Roman" w:hAnsi="Times New Roman"/>
                      <w:snapToGrid w:val="0"/>
                      <w:color w:val="auto"/>
                      <w:sz w:val="21"/>
                      <w:szCs w:val="21"/>
                    </w:rPr>
                    <w:t>生产线</w:t>
                  </w:r>
                </w:p>
              </w:tc>
              <w:tc>
                <w:tcPr>
                  <w:tcW w:w="824" w:type="dxa"/>
                  <w:tcBorders>
                    <w:tl2br w:val="nil"/>
                    <w:tr2bl w:val="nil"/>
                  </w:tcBorders>
                  <w:vAlign w:val="center"/>
                </w:tcPr>
                <w:p>
                  <w:pPr>
                    <w:pStyle w:val="36"/>
                    <w:spacing w:line="240" w:lineRule="auto"/>
                    <w:ind w:firstLine="0" w:firstLineChars="0"/>
                    <w:jc w:val="center"/>
                    <w:outlineLvl w:val="9"/>
                    <w:rPr>
                      <w:rFonts w:ascii="Times New Roman" w:hAnsi="Times New Roman"/>
                      <w:snapToGrid w:val="0"/>
                      <w:color w:val="auto"/>
                      <w:sz w:val="21"/>
                      <w:szCs w:val="21"/>
                    </w:rPr>
                  </w:pPr>
                  <w:r>
                    <w:rPr>
                      <w:rFonts w:hint="eastAsia" w:ascii="Times New Roman" w:hAnsi="Times New Roman"/>
                      <w:snapToGrid w:val="0"/>
                      <w:color w:val="auto"/>
                      <w:sz w:val="21"/>
                      <w:szCs w:val="21"/>
                    </w:rPr>
                    <w:t>数量</w:t>
                  </w:r>
                </w:p>
              </w:tc>
              <w:tc>
                <w:tcPr>
                  <w:tcW w:w="2218" w:type="dxa"/>
                  <w:tcBorders>
                    <w:tl2br w:val="nil"/>
                    <w:tr2bl w:val="nil"/>
                  </w:tcBorders>
                  <w:vAlign w:val="center"/>
                </w:tcPr>
                <w:p>
                  <w:pPr>
                    <w:pStyle w:val="36"/>
                    <w:spacing w:line="240" w:lineRule="auto"/>
                    <w:ind w:firstLine="0" w:firstLineChars="0"/>
                    <w:jc w:val="center"/>
                    <w:outlineLvl w:val="9"/>
                    <w:rPr>
                      <w:rFonts w:ascii="Times New Roman" w:hAnsi="Times New Roman"/>
                      <w:snapToGrid w:val="0"/>
                      <w:color w:val="auto"/>
                      <w:sz w:val="21"/>
                      <w:szCs w:val="21"/>
                    </w:rPr>
                  </w:pPr>
                  <w:r>
                    <w:rPr>
                      <w:rFonts w:hint="eastAsia" w:ascii="Times New Roman" w:hAnsi="Times New Roman"/>
                      <w:snapToGrid w:val="0"/>
                      <w:color w:val="auto"/>
                      <w:sz w:val="21"/>
                      <w:szCs w:val="21"/>
                      <w:lang w:eastAsia="zh-CN"/>
                    </w:rPr>
                    <w:t>单条生产线</w:t>
                  </w:r>
                  <w:r>
                    <w:rPr>
                      <w:rFonts w:hint="eastAsia" w:ascii="Times New Roman" w:hAnsi="Times New Roman"/>
                      <w:snapToGrid w:val="0"/>
                      <w:color w:val="auto"/>
                      <w:sz w:val="21"/>
                      <w:szCs w:val="21"/>
                    </w:rPr>
                    <w:t>设备参数</w:t>
                  </w:r>
                </w:p>
              </w:tc>
              <w:tc>
                <w:tcPr>
                  <w:tcW w:w="1146" w:type="dxa"/>
                  <w:tcBorders>
                    <w:tl2br w:val="nil"/>
                    <w:tr2bl w:val="nil"/>
                  </w:tcBorders>
                  <w:vAlign w:val="center"/>
                </w:tcPr>
                <w:p>
                  <w:pPr>
                    <w:pStyle w:val="36"/>
                    <w:spacing w:line="240" w:lineRule="auto"/>
                    <w:ind w:firstLine="0" w:firstLineChars="0"/>
                    <w:jc w:val="center"/>
                    <w:outlineLvl w:val="9"/>
                    <w:rPr>
                      <w:rFonts w:ascii="Times New Roman" w:hAnsi="Times New Roman"/>
                      <w:snapToGrid w:val="0"/>
                      <w:color w:val="auto"/>
                      <w:sz w:val="21"/>
                      <w:szCs w:val="21"/>
                    </w:rPr>
                  </w:pPr>
                  <w:r>
                    <w:rPr>
                      <w:rFonts w:hint="eastAsia" w:ascii="Times New Roman" w:hAnsi="Times New Roman"/>
                      <w:snapToGrid w:val="0"/>
                      <w:color w:val="auto"/>
                      <w:sz w:val="21"/>
                      <w:szCs w:val="21"/>
                    </w:rPr>
                    <w:t>运行时间</w:t>
                  </w:r>
                </w:p>
              </w:tc>
              <w:tc>
                <w:tcPr>
                  <w:tcW w:w="1339" w:type="dxa"/>
                  <w:tcBorders>
                    <w:tl2br w:val="nil"/>
                    <w:tr2bl w:val="nil"/>
                  </w:tcBorders>
                  <w:vAlign w:val="center"/>
                </w:tcPr>
                <w:p>
                  <w:pPr>
                    <w:pStyle w:val="36"/>
                    <w:spacing w:line="240" w:lineRule="auto"/>
                    <w:ind w:firstLine="0" w:firstLineChars="0"/>
                    <w:jc w:val="center"/>
                    <w:outlineLvl w:val="9"/>
                    <w:rPr>
                      <w:rFonts w:ascii="Times New Roman" w:hAnsi="Times New Roman"/>
                      <w:snapToGrid w:val="0"/>
                      <w:color w:val="auto"/>
                      <w:sz w:val="21"/>
                      <w:szCs w:val="21"/>
                    </w:rPr>
                  </w:pPr>
                  <w:r>
                    <w:rPr>
                      <w:rFonts w:hint="eastAsia" w:ascii="Times New Roman" w:hAnsi="Times New Roman"/>
                      <w:snapToGrid w:val="0"/>
                      <w:color w:val="auto"/>
                      <w:sz w:val="21"/>
                      <w:szCs w:val="21"/>
                    </w:rPr>
                    <w:t>最大产能</w:t>
                  </w:r>
                </w:p>
              </w:tc>
              <w:tc>
                <w:tcPr>
                  <w:tcW w:w="1194" w:type="dxa"/>
                  <w:tcBorders>
                    <w:tl2br w:val="nil"/>
                    <w:tr2bl w:val="nil"/>
                  </w:tcBorders>
                  <w:vAlign w:val="center"/>
                </w:tcPr>
                <w:p>
                  <w:pPr>
                    <w:pStyle w:val="36"/>
                    <w:spacing w:line="240" w:lineRule="auto"/>
                    <w:ind w:firstLine="0" w:firstLineChars="0"/>
                    <w:jc w:val="center"/>
                    <w:outlineLvl w:val="9"/>
                    <w:rPr>
                      <w:rFonts w:ascii="Times New Roman" w:hAnsi="Times New Roman"/>
                      <w:snapToGrid w:val="0"/>
                      <w:color w:val="auto"/>
                      <w:sz w:val="21"/>
                      <w:szCs w:val="21"/>
                    </w:rPr>
                  </w:pPr>
                  <w:r>
                    <w:rPr>
                      <w:rFonts w:hint="eastAsia" w:ascii="Times New Roman" w:hAnsi="Times New Roman"/>
                      <w:snapToGrid w:val="0"/>
                      <w:color w:val="auto"/>
                      <w:sz w:val="21"/>
                      <w:szCs w:val="21"/>
                    </w:rPr>
                    <w:t>设计产能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645" w:type="dxa"/>
                  <w:tcBorders>
                    <w:tl2br w:val="nil"/>
                    <w:tr2bl w:val="nil"/>
                  </w:tcBorders>
                  <w:vAlign w:val="center"/>
                </w:tcPr>
                <w:p>
                  <w:pPr>
                    <w:pStyle w:val="2"/>
                    <w:snapToGrid w:val="0"/>
                    <w:spacing w:line="240" w:lineRule="auto"/>
                    <w:jc w:val="center"/>
                    <w:rPr>
                      <w:rFonts w:ascii="Times New Roman" w:hAnsi="Times New Roman"/>
                      <w:snapToGrid w:val="0"/>
                      <w:color w:val="auto"/>
                      <w:sz w:val="21"/>
                      <w:szCs w:val="21"/>
                    </w:rPr>
                  </w:pPr>
                  <w:r>
                    <w:rPr>
                      <w:rFonts w:ascii="Times New Roman" w:hAnsi="Times New Roman" w:cs="Times New Roman"/>
                      <w:color w:val="auto"/>
                      <w:sz w:val="21"/>
                      <w:szCs w:val="21"/>
                    </w:rPr>
                    <w:t>拉幅定型无纺布生产线</w:t>
                  </w:r>
                </w:p>
              </w:tc>
              <w:tc>
                <w:tcPr>
                  <w:tcW w:w="824" w:type="dxa"/>
                  <w:tcBorders>
                    <w:tl2br w:val="nil"/>
                    <w:tr2bl w:val="nil"/>
                  </w:tcBorders>
                  <w:vAlign w:val="center"/>
                </w:tcPr>
                <w:p>
                  <w:pPr>
                    <w:pStyle w:val="36"/>
                    <w:spacing w:line="240" w:lineRule="auto"/>
                    <w:ind w:firstLine="0" w:firstLineChars="0"/>
                    <w:jc w:val="center"/>
                    <w:outlineLvl w:val="9"/>
                    <w:rPr>
                      <w:rFonts w:ascii="Times New Roman" w:hAnsi="Times New Roman"/>
                      <w:snapToGrid w:val="0"/>
                      <w:color w:val="auto"/>
                      <w:sz w:val="21"/>
                      <w:szCs w:val="21"/>
                    </w:rPr>
                  </w:pPr>
                  <w:r>
                    <w:rPr>
                      <w:rFonts w:hint="eastAsia" w:ascii="Times New Roman" w:hAnsi="Times New Roman"/>
                      <w:snapToGrid w:val="0"/>
                      <w:color w:val="auto"/>
                      <w:sz w:val="21"/>
                      <w:szCs w:val="21"/>
                    </w:rPr>
                    <w:t>2条</w:t>
                  </w:r>
                </w:p>
              </w:tc>
              <w:tc>
                <w:tcPr>
                  <w:tcW w:w="2218" w:type="dxa"/>
                  <w:tcBorders>
                    <w:tl2br w:val="nil"/>
                    <w:tr2bl w:val="nil"/>
                  </w:tcBorders>
                  <w:vAlign w:val="center"/>
                </w:tcPr>
                <w:p>
                  <w:pPr>
                    <w:pStyle w:val="36"/>
                    <w:spacing w:line="240" w:lineRule="auto"/>
                    <w:ind w:firstLine="0" w:firstLineChars="0"/>
                    <w:jc w:val="center"/>
                    <w:outlineLvl w:val="9"/>
                    <w:rPr>
                      <w:rFonts w:ascii="Times New Roman" w:hAnsi="Times New Roman"/>
                      <w:snapToGrid w:val="0"/>
                      <w:color w:val="auto"/>
                      <w:sz w:val="21"/>
                      <w:szCs w:val="21"/>
                    </w:rPr>
                  </w:pPr>
                  <w:r>
                    <w:rPr>
                      <w:rFonts w:hint="eastAsia" w:ascii="Times New Roman" w:hAnsi="Times New Roman"/>
                      <w:color w:val="auto"/>
                      <w:kern w:val="0"/>
                      <w:sz w:val="21"/>
                      <w:szCs w:val="21"/>
                      <w:highlight w:val="none"/>
                    </w:rPr>
                    <w:t>运行</w:t>
                  </w:r>
                  <w:r>
                    <w:rPr>
                      <w:rFonts w:hint="eastAsia" w:ascii="Times New Roman" w:hAnsi="Times New Roman"/>
                      <w:color w:val="auto"/>
                      <w:kern w:val="0"/>
                      <w:sz w:val="21"/>
                      <w:szCs w:val="21"/>
                    </w:rPr>
                    <w:t>速度4m/min</w:t>
                  </w:r>
                </w:p>
              </w:tc>
              <w:tc>
                <w:tcPr>
                  <w:tcW w:w="1146" w:type="dxa"/>
                  <w:tcBorders>
                    <w:tl2br w:val="nil"/>
                    <w:tr2bl w:val="nil"/>
                  </w:tcBorders>
                  <w:vAlign w:val="center"/>
                </w:tcPr>
                <w:p>
                  <w:pPr>
                    <w:pStyle w:val="36"/>
                    <w:spacing w:line="240" w:lineRule="auto"/>
                    <w:ind w:firstLine="0" w:firstLineChars="0"/>
                    <w:jc w:val="center"/>
                    <w:outlineLvl w:val="9"/>
                    <w:rPr>
                      <w:rFonts w:ascii="Times New Roman" w:hAnsi="Times New Roman"/>
                      <w:snapToGrid w:val="0"/>
                      <w:color w:val="auto"/>
                      <w:sz w:val="21"/>
                      <w:szCs w:val="21"/>
                    </w:rPr>
                  </w:pPr>
                  <w:r>
                    <w:rPr>
                      <w:rFonts w:hint="eastAsia" w:ascii="Times New Roman" w:hAnsi="Times New Roman"/>
                      <w:snapToGrid w:val="0"/>
                      <w:color w:val="auto"/>
                      <w:sz w:val="21"/>
                      <w:szCs w:val="21"/>
                    </w:rPr>
                    <w:t>7h/d</w:t>
                  </w:r>
                </w:p>
              </w:tc>
              <w:tc>
                <w:tcPr>
                  <w:tcW w:w="1339" w:type="dxa"/>
                  <w:tcBorders>
                    <w:tl2br w:val="nil"/>
                    <w:tr2bl w:val="nil"/>
                  </w:tcBorders>
                  <w:vAlign w:val="center"/>
                </w:tcPr>
                <w:p>
                  <w:pPr>
                    <w:pStyle w:val="36"/>
                    <w:spacing w:line="240" w:lineRule="auto"/>
                    <w:ind w:firstLine="0" w:firstLineChars="0"/>
                    <w:jc w:val="center"/>
                    <w:outlineLvl w:val="9"/>
                    <w:rPr>
                      <w:rFonts w:ascii="Times New Roman" w:hAnsi="Times New Roman"/>
                      <w:color w:val="auto"/>
                      <w:sz w:val="21"/>
                      <w:szCs w:val="21"/>
                      <w:highlight w:val="none"/>
                    </w:rPr>
                  </w:pPr>
                  <w:r>
                    <w:rPr>
                      <w:rFonts w:ascii="Times New Roman" w:hAnsi="Times New Roman"/>
                      <w:color w:val="auto"/>
                      <w:sz w:val="21"/>
                      <w:szCs w:val="21"/>
                      <w:highlight w:val="none"/>
                    </w:rPr>
                    <w:t>10080卷/a</w:t>
                  </w:r>
                </w:p>
                <w:p>
                  <w:pPr>
                    <w:pStyle w:val="36"/>
                    <w:spacing w:line="240" w:lineRule="auto"/>
                    <w:ind w:firstLine="0" w:firstLineChars="0"/>
                    <w:jc w:val="center"/>
                    <w:outlineLvl w:val="9"/>
                    <w:rPr>
                      <w:rFonts w:ascii="Times New Roman" w:hAnsi="Times New Roman"/>
                      <w:color w:val="auto"/>
                      <w:sz w:val="21"/>
                      <w:szCs w:val="21"/>
                      <w:highlight w:val="none"/>
                    </w:rPr>
                  </w:pPr>
                  <w:r>
                    <w:rPr>
                      <w:rFonts w:ascii="Times New Roman" w:hAnsi="Times New Roman"/>
                      <w:color w:val="auto"/>
                      <w:sz w:val="21"/>
                      <w:szCs w:val="21"/>
                      <w:highlight w:val="none"/>
                    </w:rPr>
                    <w:t>554t/a</w:t>
                  </w:r>
                </w:p>
              </w:tc>
              <w:tc>
                <w:tcPr>
                  <w:tcW w:w="1194" w:type="dxa"/>
                  <w:tcBorders>
                    <w:tl2br w:val="nil"/>
                    <w:tr2bl w:val="nil"/>
                  </w:tcBorders>
                  <w:vAlign w:val="center"/>
                </w:tcPr>
                <w:p>
                  <w:pPr>
                    <w:pStyle w:val="36"/>
                    <w:spacing w:line="240" w:lineRule="auto"/>
                    <w:ind w:firstLine="0" w:firstLineChars="0"/>
                    <w:jc w:val="center"/>
                    <w:outlineLvl w:val="9"/>
                    <w:rPr>
                      <w:rFonts w:ascii="Times New Roman" w:hAnsi="Times New Roman"/>
                      <w:color w:val="auto"/>
                      <w:sz w:val="21"/>
                      <w:szCs w:val="21"/>
                      <w:highlight w:val="none"/>
                    </w:rPr>
                  </w:pPr>
                  <w:r>
                    <w:rPr>
                      <w:rFonts w:hint="eastAsia" w:ascii="Times New Roman" w:hAnsi="Times New Roman"/>
                      <w:color w:val="auto"/>
                      <w:sz w:val="21"/>
                      <w:szCs w:val="21"/>
                      <w:highlight w:val="none"/>
                      <w:lang w:val="en-US" w:eastAsia="zh-CN"/>
                    </w:rPr>
                    <w:t>10000</w:t>
                  </w:r>
                  <w:r>
                    <w:rPr>
                      <w:rFonts w:ascii="Times New Roman" w:hAnsi="Times New Roman"/>
                      <w:color w:val="auto"/>
                      <w:sz w:val="21"/>
                      <w:szCs w:val="21"/>
                      <w:highlight w:val="none"/>
                    </w:rPr>
                    <w:t>卷/a</w:t>
                  </w:r>
                </w:p>
                <w:p>
                  <w:pPr>
                    <w:pStyle w:val="36"/>
                    <w:spacing w:line="240" w:lineRule="auto"/>
                    <w:ind w:firstLine="0" w:firstLineChars="0"/>
                    <w:jc w:val="center"/>
                    <w:outlineLvl w:val="9"/>
                    <w:rPr>
                      <w:rFonts w:ascii="Times New Roman" w:hAnsi="Times New Roman"/>
                      <w:color w:val="auto"/>
                      <w:sz w:val="21"/>
                      <w:szCs w:val="21"/>
                      <w:highlight w:val="none"/>
                    </w:rPr>
                  </w:pPr>
                  <w:r>
                    <w:rPr>
                      <w:rFonts w:ascii="Times New Roman" w:hAnsi="Times New Roman"/>
                      <w:color w:val="auto"/>
                      <w:sz w:val="21"/>
                      <w:szCs w:val="21"/>
                      <w:highlight w:val="none"/>
                    </w:rPr>
                    <w:t>500t/a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5" w:type="dxa"/>
                  <w:tcBorders>
                    <w:tl2br w:val="nil"/>
                    <w:tr2bl w:val="nil"/>
                  </w:tcBorders>
                  <w:vAlign w:val="center"/>
                </w:tcPr>
                <w:p>
                  <w:pPr>
                    <w:pStyle w:val="2"/>
                    <w:snapToGrid w:val="0"/>
                    <w:spacing w:line="240" w:lineRule="auto"/>
                    <w:jc w:val="center"/>
                    <w:rPr>
                      <w:rFonts w:ascii="Times New Roman" w:hAnsi="Times New Roman"/>
                      <w:snapToGrid w:val="0"/>
                      <w:color w:val="auto"/>
                      <w:sz w:val="21"/>
                      <w:szCs w:val="21"/>
                    </w:rPr>
                  </w:pPr>
                  <w:r>
                    <w:rPr>
                      <w:rFonts w:ascii="Times New Roman" w:hAnsi="Times New Roman" w:cs="Times New Roman"/>
                      <w:color w:val="auto"/>
                      <w:sz w:val="21"/>
                      <w:szCs w:val="21"/>
                    </w:rPr>
                    <w:t>淋膜无纺布</w:t>
                  </w:r>
                  <w:r>
                    <w:rPr>
                      <w:rFonts w:hint="eastAsia" w:ascii="Times New Roman" w:hAnsi="Times New Roman" w:cs="Times New Roman"/>
                      <w:color w:val="auto"/>
                      <w:sz w:val="21"/>
                      <w:szCs w:val="21"/>
                    </w:rPr>
                    <w:t>生产线</w:t>
                  </w:r>
                </w:p>
              </w:tc>
              <w:tc>
                <w:tcPr>
                  <w:tcW w:w="824" w:type="dxa"/>
                  <w:tcBorders>
                    <w:tl2br w:val="nil"/>
                    <w:tr2bl w:val="nil"/>
                  </w:tcBorders>
                  <w:vAlign w:val="center"/>
                </w:tcPr>
                <w:p>
                  <w:pPr>
                    <w:pStyle w:val="36"/>
                    <w:spacing w:line="240" w:lineRule="auto"/>
                    <w:ind w:firstLine="0" w:firstLineChars="0"/>
                    <w:jc w:val="center"/>
                    <w:outlineLvl w:val="9"/>
                    <w:rPr>
                      <w:rFonts w:ascii="Times New Roman" w:hAnsi="Times New Roman"/>
                      <w:snapToGrid w:val="0"/>
                      <w:color w:val="auto"/>
                      <w:sz w:val="21"/>
                      <w:szCs w:val="21"/>
                    </w:rPr>
                  </w:pPr>
                  <w:r>
                    <w:rPr>
                      <w:rFonts w:hint="eastAsia" w:ascii="Times New Roman" w:hAnsi="Times New Roman"/>
                      <w:snapToGrid w:val="0"/>
                      <w:color w:val="auto"/>
                      <w:sz w:val="21"/>
                      <w:szCs w:val="21"/>
                    </w:rPr>
                    <w:t>2条</w:t>
                  </w:r>
                </w:p>
              </w:tc>
              <w:tc>
                <w:tcPr>
                  <w:tcW w:w="2218" w:type="dxa"/>
                  <w:tcBorders>
                    <w:tl2br w:val="nil"/>
                    <w:tr2bl w:val="nil"/>
                  </w:tcBorders>
                  <w:vAlign w:val="center"/>
                </w:tcPr>
                <w:p>
                  <w:pPr>
                    <w:pStyle w:val="36"/>
                    <w:spacing w:line="240" w:lineRule="auto"/>
                    <w:ind w:firstLine="0" w:firstLineChars="0"/>
                    <w:jc w:val="center"/>
                    <w:outlineLvl w:val="9"/>
                    <w:rPr>
                      <w:rFonts w:ascii="Times New Roman" w:hAnsi="Times New Roman"/>
                      <w:snapToGrid w:val="0"/>
                      <w:color w:val="auto"/>
                      <w:sz w:val="21"/>
                      <w:szCs w:val="21"/>
                    </w:rPr>
                  </w:pPr>
                  <w:r>
                    <w:rPr>
                      <w:rFonts w:hint="eastAsia" w:ascii="Times New Roman" w:hAnsi="Times New Roman"/>
                      <w:color w:val="auto"/>
                      <w:kern w:val="0"/>
                      <w:sz w:val="21"/>
                      <w:szCs w:val="21"/>
                    </w:rPr>
                    <w:t>运行速度2m/min</w:t>
                  </w:r>
                </w:p>
              </w:tc>
              <w:tc>
                <w:tcPr>
                  <w:tcW w:w="1146" w:type="dxa"/>
                  <w:tcBorders>
                    <w:tl2br w:val="nil"/>
                    <w:tr2bl w:val="nil"/>
                  </w:tcBorders>
                  <w:vAlign w:val="center"/>
                </w:tcPr>
                <w:p>
                  <w:pPr>
                    <w:pStyle w:val="36"/>
                    <w:spacing w:line="240" w:lineRule="auto"/>
                    <w:ind w:firstLine="0" w:firstLineChars="0"/>
                    <w:jc w:val="center"/>
                    <w:outlineLvl w:val="9"/>
                    <w:rPr>
                      <w:rFonts w:ascii="Times New Roman" w:hAnsi="Times New Roman"/>
                      <w:snapToGrid w:val="0"/>
                      <w:color w:val="auto"/>
                      <w:sz w:val="21"/>
                      <w:szCs w:val="21"/>
                    </w:rPr>
                  </w:pPr>
                  <w:r>
                    <w:rPr>
                      <w:rFonts w:hint="eastAsia" w:ascii="Times New Roman" w:hAnsi="Times New Roman"/>
                      <w:snapToGrid w:val="0"/>
                      <w:color w:val="auto"/>
                      <w:sz w:val="21"/>
                      <w:szCs w:val="21"/>
                    </w:rPr>
                    <w:t>7h/d</w:t>
                  </w:r>
                </w:p>
              </w:tc>
              <w:tc>
                <w:tcPr>
                  <w:tcW w:w="1339" w:type="dxa"/>
                  <w:tcBorders>
                    <w:tl2br w:val="nil"/>
                    <w:tr2bl w:val="nil"/>
                  </w:tcBorders>
                  <w:vAlign w:val="center"/>
                </w:tcPr>
                <w:p>
                  <w:pPr>
                    <w:pStyle w:val="36"/>
                    <w:spacing w:line="240" w:lineRule="auto"/>
                    <w:ind w:firstLine="0" w:firstLineChars="0"/>
                    <w:jc w:val="center"/>
                    <w:outlineLvl w:val="9"/>
                    <w:rPr>
                      <w:rFonts w:ascii="Times New Roman" w:hAnsi="Times New Roman"/>
                      <w:color w:val="auto"/>
                      <w:sz w:val="21"/>
                      <w:szCs w:val="21"/>
                    </w:rPr>
                  </w:pPr>
                  <w:r>
                    <w:rPr>
                      <w:rFonts w:ascii="Times New Roman" w:hAnsi="Times New Roman"/>
                      <w:color w:val="auto"/>
                      <w:sz w:val="21"/>
                      <w:szCs w:val="21"/>
                    </w:rPr>
                    <w:t>5040卷/a</w:t>
                  </w:r>
                </w:p>
                <w:p>
                  <w:pPr>
                    <w:pStyle w:val="36"/>
                    <w:spacing w:line="240" w:lineRule="auto"/>
                    <w:ind w:firstLine="0" w:firstLineChars="0"/>
                    <w:jc w:val="center"/>
                    <w:outlineLvl w:val="9"/>
                    <w:rPr>
                      <w:rFonts w:ascii="Times New Roman" w:hAnsi="Times New Roman"/>
                      <w:color w:val="auto"/>
                      <w:sz w:val="21"/>
                      <w:szCs w:val="21"/>
                    </w:rPr>
                  </w:pPr>
                  <w:r>
                    <w:rPr>
                      <w:rFonts w:ascii="Times New Roman" w:hAnsi="Times New Roman"/>
                      <w:color w:val="auto"/>
                      <w:sz w:val="21"/>
                      <w:szCs w:val="21"/>
                    </w:rPr>
                    <w:t>302t/ta</w:t>
                  </w:r>
                </w:p>
              </w:tc>
              <w:tc>
                <w:tcPr>
                  <w:tcW w:w="1194" w:type="dxa"/>
                  <w:tcBorders>
                    <w:tl2br w:val="nil"/>
                    <w:tr2bl w:val="nil"/>
                  </w:tcBorders>
                  <w:vAlign w:val="center"/>
                </w:tcPr>
                <w:p>
                  <w:pPr>
                    <w:pStyle w:val="36"/>
                    <w:spacing w:line="240" w:lineRule="auto"/>
                    <w:ind w:firstLine="0" w:firstLineChars="0"/>
                    <w:jc w:val="center"/>
                    <w:outlineLvl w:val="9"/>
                    <w:rPr>
                      <w:rFonts w:ascii="Times New Roman" w:hAnsi="Times New Roman"/>
                      <w:color w:val="auto"/>
                      <w:sz w:val="21"/>
                      <w:szCs w:val="21"/>
                    </w:rPr>
                  </w:pPr>
                  <w:r>
                    <w:rPr>
                      <w:rFonts w:ascii="Times New Roman" w:hAnsi="Times New Roman"/>
                      <w:color w:val="auto"/>
                      <w:sz w:val="21"/>
                      <w:szCs w:val="21"/>
                    </w:rPr>
                    <w:t>5000卷/a</w:t>
                  </w:r>
                </w:p>
                <w:p>
                  <w:pPr>
                    <w:pStyle w:val="36"/>
                    <w:spacing w:line="240" w:lineRule="auto"/>
                    <w:ind w:firstLine="0" w:firstLineChars="0"/>
                    <w:jc w:val="center"/>
                    <w:outlineLvl w:val="9"/>
                    <w:rPr>
                      <w:rFonts w:ascii="Times New Roman" w:hAnsi="Times New Roman"/>
                      <w:color w:val="auto"/>
                      <w:sz w:val="21"/>
                      <w:szCs w:val="21"/>
                    </w:rPr>
                  </w:pPr>
                  <w:r>
                    <w:rPr>
                      <w:rFonts w:ascii="Times New Roman" w:hAnsi="Times New Roman"/>
                      <w:color w:val="auto"/>
                      <w:sz w:val="21"/>
                      <w:szCs w:val="21"/>
                    </w:rPr>
                    <w:t>300t/a</w:t>
                  </w:r>
                </w:p>
              </w:tc>
            </w:tr>
          </w:tbl>
          <w:p>
            <w:pPr>
              <w:spacing w:line="360" w:lineRule="auto"/>
              <w:ind w:firstLine="480" w:firstLineChars="200"/>
              <w:rPr>
                <w:color w:val="auto"/>
                <w:sz w:val="24"/>
              </w:rPr>
            </w:pPr>
            <w:r>
              <w:rPr>
                <w:rFonts w:hint="eastAsia"/>
                <w:color w:val="auto"/>
                <w:sz w:val="24"/>
              </w:rPr>
              <w:t>由表2.4分析可知，本项配备的生产设备能够满足项目设计产能的需求。</w:t>
            </w:r>
          </w:p>
          <w:p>
            <w:pPr>
              <w:spacing w:line="360" w:lineRule="auto"/>
              <w:rPr>
                <w:rFonts w:ascii="Times New Roman" w:cs="Times New Roman"/>
                <w:color w:val="auto"/>
              </w:rPr>
            </w:pPr>
            <w:r>
              <w:rPr>
                <w:b/>
                <w:bCs/>
                <w:color w:val="auto"/>
                <w:sz w:val="24"/>
              </w:rPr>
              <w:t>主要原辅材料名称及年消耗数量</w:t>
            </w:r>
          </w:p>
          <w:p>
            <w:pPr>
              <w:pStyle w:val="2"/>
              <w:snapToGrid w:val="0"/>
              <w:spacing w:line="360" w:lineRule="auto"/>
              <w:ind w:firstLine="480" w:firstLineChars="200"/>
              <w:jc w:val="both"/>
              <w:rPr>
                <w:rFonts w:ascii="Times New Roman" w:cs="Times New Roman"/>
                <w:color w:val="auto"/>
              </w:rPr>
            </w:pPr>
            <w:r>
              <w:rPr>
                <w:rFonts w:ascii="Times New Roman" w:cs="Times New Roman"/>
                <w:color w:val="auto"/>
              </w:rPr>
              <w:t>（</w:t>
            </w:r>
            <w:r>
              <w:rPr>
                <w:rFonts w:hint="eastAsia" w:ascii="Times New Roman" w:cs="Times New Roman"/>
                <w:color w:val="auto"/>
              </w:rPr>
              <w:t>1</w:t>
            </w:r>
            <w:r>
              <w:rPr>
                <w:rFonts w:ascii="Times New Roman" w:cs="Times New Roman"/>
                <w:color w:val="auto"/>
              </w:rPr>
              <w:t>）</w:t>
            </w:r>
            <w:r>
              <w:rPr>
                <w:rFonts w:hint="eastAsia" w:ascii="Times New Roman" w:cs="Times New Roman"/>
                <w:color w:val="auto"/>
              </w:rPr>
              <w:t>水性</w:t>
            </w:r>
            <w:r>
              <w:rPr>
                <w:rFonts w:hint="eastAsia" w:ascii="Times New Roman" w:cs="Times New Roman"/>
                <w:color w:val="auto"/>
                <w:lang w:eastAsia="zh-CN"/>
              </w:rPr>
              <w:t>胶粘剂</w:t>
            </w:r>
            <w:r>
              <w:rPr>
                <w:rFonts w:hint="eastAsia" w:ascii="Times New Roman" w:cs="Times New Roman"/>
                <w:color w:val="auto"/>
                <w:lang w:val="en-US" w:eastAsia="zh-CN"/>
              </w:rPr>
              <w:t>/PE塑料粒</w:t>
            </w:r>
            <w:r>
              <w:rPr>
                <w:rFonts w:hint="eastAsia" w:ascii="Times New Roman" w:cs="Times New Roman"/>
                <w:color w:val="auto"/>
              </w:rPr>
              <w:t>用量</w:t>
            </w:r>
            <w:r>
              <w:rPr>
                <w:rFonts w:ascii="Times New Roman" w:cs="Times New Roman"/>
                <w:color w:val="auto"/>
              </w:rPr>
              <w:t>量核算</w:t>
            </w:r>
          </w:p>
          <w:p>
            <w:pPr>
              <w:adjustRightInd w:val="0"/>
              <w:snapToGrid w:val="0"/>
              <w:spacing w:line="360" w:lineRule="auto"/>
              <w:ind w:firstLine="480" w:firstLineChars="200"/>
              <w:rPr>
                <w:color w:val="auto"/>
                <w:sz w:val="24"/>
              </w:rPr>
            </w:pPr>
            <w:r>
              <w:rPr>
                <w:rFonts w:hint="eastAsia"/>
                <w:color w:val="auto"/>
                <w:sz w:val="24"/>
                <w:lang w:eastAsia="zh-CN"/>
              </w:rPr>
              <w:t>扩建项目</w:t>
            </w:r>
            <w:r>
              <w:rPr>
                <w:rFonts w:hint="eastAsia"/>
                <w:color w:val="auto"/>
                <w:sz w:val="24"/>
              </w:rPr>
              <w:t>水性</w:t>
            </w:r>
            <w:r>
              <w:rPr>
                <w:rFonts w:hint="eastAsia"/>
                <w:color w:val="auto"/>
                <w:sz w:val="24"/>
                <w:lang w:eastAsia="zh-CN"/>
              </w:rPr>
              <w:t>胶粘剂</w:t>
            </w:r>
            <w:r>
              <w:rPr>
                <w:color w:val="auto"/>
                <w:sz w:val="24"/>
              </w:rPr>
              <w:t>用量</w:t>
            </w:r>
            <w:r>
              <w:rPr>
                <w:rFonts w:hint="eastAsia"/>
                <w:color w:val="auto"/>
                <w:sz w:val="24"/>
                <w:lang w:eastAsia="zh-CN"/>
              </w:rPr>
              <w:t>、</w:t>
            </w:r>
            <w:r>
              <w:rPr>
                <w:rFonts w:hint="eastAsia"/>
                <w:color w:val="auto"/>
                <w:sz w:val="24"/>
                <w:lang w:val="en-US" w:eastAsia="zh-CN"/>
              </w:rPr>
              <w:t>PE料用量</w:t>
            </w:r>
            <w:r>
              <w:rPr>
                <w:color w:val="auto"/>
                <w:sz w:val="24"/>
              </w:rPr>
              <w:t>核算见表2.</w:t>
            </w:r>
            <w:r>
              <w:rPr>
                <w:rFonts w:hint="eastAsia"/>
                <w:color w:val="auto"/>
                <w:sz w:val="24"/>
                <w:lang w:val="en-US" w:eastAsia="zh-CN"/>
              </w:rPr>
              <w:t>6</w:t>
            </w:r>
            <w:r>
              <w:rPr>
                <w:color w:val="auto"/>
                <w:sz w:val="24"/>
              </w:rPr>
              <w:t>。</w:t>
            </w:r>
          </w:p>
          <w:p>
            <w:pPr>
              <w:adjustRightInd w:val="0"/>
              <w:snapToGrid w:val="0"/>
              <w:spacing w:line="360" w:lineRule="auto"/>
              <w:jc w:val="center"/>
              <w:rPr>
                <w:color w:val="auto"/>
                <w:sz w:val="21"/>
                <w:szCs w:val="21"/>
              </w:rPr>
            </w:pPr>
            <w:r>
              <w:rPr>
                <w:color w:val="auto"/>
                <w:sz w:val="21"/>
                <w:szCs w:val="21"/>
              </w:rPr>
              <w:t>表2.</w:t>
            </w:r>
            <w:r>
              <w:rPr>
                <w:rFonts w:hint="eastAsia"/>
                <w:color w:val="auto"/>
                <w:sz w:val="21"/>
                <w:szCs w:val="21"/>
                <w:lang w:val="en-US" w:eastAsia="zh-CN"/>
              </w:rPr>
              <w:t>6</w:t>
            </w:r>
            <w:r>
              <w:rPr>
                <w:color w:val="auto"/>
                <w:sz w:val="21"/>
                <w:szCs w:val="21"/>
              </w:rPr>
              <w:t xml:space="preserve"> </w:t>
            </w:r>
            <w:r>
              <w:rPr>
                <w:rFonts w:hint="eastAsia"/>
                <w:color w:val="auto"/>
                <w:sz w:val="21"/>
                <w:szCs w:val="21"/>
              </w:rPr>
              <w:t>水性胶水</w:t>
            </w:r>
            <w:r>
              <w:rPr>
                <w:rFonts w:hint="eastAsia"/>
                <w:color w:val="auto"/>
                <w:sz w:val="21"/>
                <w:szCs w:val="21"/>
                <w:lang w:val="en-US" w:eastAsia="zh-CN"/>
              </w:rPr>
              <w:t>/PE料</w:t>
            </w:r>
            <w:r>
              <w:rPr>
                <w:rFonts w:hint="eastAsia"/>
                <w:color w:val="auto"/>
                <w:sz w:val="21"/>
                <w:szCs w:val="21"/>
              </w:rPr>
              <w:t>用量核算</w:t>
            </w:r>
            <w:r>
              <w:rPr>
                <w:color w:val="auto"/>
                <w:sz w:val="21"/>
                <w:szCs w:val="21"/>
              </w:rPr>
              <w:t>一览表</w:t>
            </w:r>
          </w:p>
          <w:tbl>
            <w:tblPr>
              <w:tblStyle w:val="22"/>
              <w:tblW w:w="8412"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326"/>
              <w:gridCol w:w="1267"/>
              <w:gridCol w:w="1665"/>
              <w:gridCol w:w="1136"/>
              <w:gridCol w:w="233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5" w:type="dxa"/>
                  <w:tcBorders>
                    <w:tl2br w:val="nil"/>
                    <w:tr2bl w:val="nil"/>
                  </w:tcBorders>
                  <w:vAlign w:val="center"/>
                </w:tcPr>
                <w:p>
                  <w:pPr>
                    <w:snapToGrid w:val="0"/>
                    <w:jc w:val="center"/>
                    <w:rPr>
                      <w:color w:val="auto"/>
                    </w:rPr>
                  </w:pPr>
                  <w:r>
                    <w:rPr>
                      <w:color w:val="auto"/>
                    </w:rPr>
                    <w:t>序号</w:t>
                  </w:r>
                </w:p>
              </w:tc>
              <w:tc>
                <w:tcPr>
                  <w:tcW w:w="1326" w:type="dxa"/>
                  <w:tcBorders>
                    <w:tl2br w:val="nil"/>
                    <w:tr2bl w:val="nil"/>
                  </w:tcBorders>
                  <w:vAlign w:val="center"/>
                </w:tcPr>
                <w:p>
                  <w:pPr>
                    <w:snapToGrid w:val="0"/>
                    <w:jc w:val="center"/>
                    <w:rPr>
                      <w:color w:val="auto"/>
                    </w:rPr>
                  </w:pPr>
                  <w:r>
                    <w:rPr>
                      <w:color w:val="auto"/>
                    </w:rPr>
                    <w:t>材料名称</w:t>
                  </w:r>
                </w:p>
              </w:tc>
              <w:tc>
                <w:tcPr>
                  <w:tcW w:w="1267" w:type="dxa"/>
                  <w:tcBorders>
                    <w:tl2br w:val="nil"/>
                    <w:tr2bl w:val="nil"/>
                  </w:tcBorders>
                  <w:vAlign w:val="center"/>
                </w:tcPr>
                <w:p>
                  <w:pPr>
                    <w:snapToGrid w:val="0"/>
                    <w:jc w:val="center"/>
                    <w:rPr>
                      <w:color w:val="auto"/>
                    </w:rPr>
                  </w:pPr>
                  <w:r>
                    <w:rPr>
                      <w:rFonts w:hint="eastAsia"/>
                      <w:color w:val="auto"/>
                      <w:lang w:eastAsia="zh-CN"/>
                    </w:rPr>
                    <w:t>涂刷</w:t>
                  </w:r>
                  <w:r>
                    <w:rPr>
                      <w:color w:val="auto"/>
                    </w:rPr>
                    <w:t>面积</w:t>
                  </w:r>
                </w:p>
              </w:tc>
              <w:tc>
                <w:tcPr>
                  <w:tcW w:w="1665" w:type="dxa"/>
                  <w:tcBorders>
                    <w:tl2br w:val="nil"/>
                    <w:tr2bl w:val="nil"/>
                  </w:tcBorders>
                  <w:vAlign w:val="center"/>
                </w:tcPr>
                <w:p>
                  <w:pPr>
                    <w:snapToGrid w:val="0"/>
                    <w:jc w:val="center"/>
                    <w:rPr>
                      <w:color w:val="auto"/>
                    </w:rPr>
                  </w:pPr>
                  <w:r>
                    <w:rPr>
                      <w:rFonts w:hint="eastAsia"/>
                      <w:color w:val="auto"/>
                      <w:lang w:eastAsia="zh-CN"/>
                    </w:rPr>
                    <w:t>涂胶</w:t>
                  </w:r>
                  <w:r>
                    <w:rPr>
                      <w:rFonts w:hint="eastAsia"/>
                      <w:color w:val="auto"/>
                      <w:lang w:val="en-US" w:eastAsia="zh-CN"/>
                    </w:rPr>
                    <w:t>/淋膜</w:t>
                  </w:r>
                  <w:r>
                    <w:rPr>
                      <w:color w:val="auto"/>
                    </w:rPr>
                    <w:t>厚度</w:t>
                  </w:r>
                </w:p>
              </w:tc>
              <w:tc>
                <w:tcPr>
                  <w:tcW w:w="1136" w:type="dxa"/>
                  <w:tcBorders>
                    <w:tl2br w:val="nil"/>
                    <w:tr2bl w:val="nil"/>
                  </w:tcBorders>
                  <w:vAlign w:val="center"/>
                </w:tcPr>
                <w:p>
                  <w:pPr>
                    <w:snapToGrid w:val="0"/>
                    <w:jc w:val="center"/>
                    <w:rPr>
                      <w:color w:val="auto"/>
                    </w:rPr>
                  </w:pPr>
                  <w:r>
                    <w:rPr>
                      <w:color w:val="auto"/>
                    </w:rPr>
                    <w:t>密度</w:t>
                  </w:r>
                </w:p>
              </w:tc>
              <w:tc>
                <w:tcPr>
                  <w:tcW w:w="2333" w:type="dxa"/>
                  <w:tcBorders>
                    <w:tl2br w:val="nil"/>
                    <w:tr2bl w:val="nil"/>
                  </w:tcBorders>
                  <w:vAlign w:val="center"/>
                </w:tcPr>
                <w:p>
                  <w:pPr>
                    <w:snapToGrid w:val="0"/>
                    <w:jc w:val="center"/>
                    <w:rPr>
                      <w:rFonts w:hint="eastAsia" w:eastAsia="宋体"/>
                      <w:color w:val="auto"/>
                      <w:lang w:eastAsia="zh-CN"/>
                    </w:rPr>
                  </w:pPr>
                  <w:r>
                    <w:rPr>
                      <w:rFonts w:hint="eastAsia"/>
                      <w:color w:val="auto"/>
                      <w:lang w:eastAsia="zh-CN"/>
                    </w:rPr>
                    <w:t>原材料用量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685" w:type="dxa"/>
                  <w:tcBorders>
                    <w:tl2br w:val="nil"/>
                    <w:tr2bl w:val="nil"/>
                  </w:tcBorders>
                  <w:vAlign w:val="center"/>
                </w:tcPr>
                <w:p>
                  <w:pPr>
                    <w:snapToGrid w:val="0"/>
                    <w:jc w:val="center"/>
                    <w:rPr>
                      <w:color w:val="auto"/>
                    </w:rPr>
                  </w:pPr>
                  <w:r>
                    <w:rPr>
                      <w:color w:val="auto"/>
                    </w:rPr>
                    <w:t>1</w:t>
                  </w:r>
                </w:p>
              </w:tc>
              <w:tc>
                <w:tcPr>
                  <w:tcW w:w="1326" w:type="dxa"/>
                  <w:tcBorders>
                    <w:tl2br w:val="nil"/>
                    <w:tr2bl w:val="nil"/>
                  </w:tcBorders>
                  <w:vAlign w:val="center"/>
                </w:tcPr>
                <w:p>
                  <w:pPr>
                    <w:snapToGrid w:val="0"/>
                    <w:jc w:val="center"/>
                    <w:rPr>
                      <w:color w:val="auto"/>
                    </w:rPr>
                  </w:pPr>
                  <w:r>
                    <w:rPr>
                      <w:rFonts w:hint="eastAsia"/>
                      <w:color w:val="auto"/>
                    </w:rPr>
                    <w:t>水性胶水</w:t>
                  </w:r>
                </w:p>
              </w:tc>
              <w:tc>
                <w:tcPr>
                  <w:tcW w:w="1267" w:type="dxa"/>
                  <w:tcBorders>
                    <w:tl2br w:val="nil"/>
                    <w:tr2bl w:val="nil"/>
                  </w:tcBorders>
                  <w:vAlign w:val="center"/>
                </w:tcPr>
                <w:p>
                  <w:pPr>
                    <w:snapToGrid w:val="0"/>
                    <w:jc w:val="center"/>
                    <w:rPr>
                      <w:color w:val="auto"/>
                    </w:rPr>
                  </w:pPr>
                  <w:r>
                    <w:rPr>
                      <w:rFonts w:hint="eastAsia"/>
                      <w:color w:val="auto"/>
                      <w:szCs w:val="21"/>
                      <w:lang w:val="en-US" w:eastAsia="zh-CN"/>
                    </w:rPr>
                    <w:t>75</w:t>
                  </w:r>
                  <w:r>
                    <w:rPr>
                      <w:rFonts w:hint="eastAsia"/>
                      <w:color w:val="auto"/>
                      <w:szCs w:val="21"/>
                    </w:rPr>
                    <w:t>0000</w:t>
                  </w:r>
                  <w:r>
                    <w:rPr>
                      <w:color w:val="auto"/>
                    </w:rPr>
                    <w:t>m</w:t>
                  </w:r>
                  <w:r>
                    <w:rPr>
                      <w:color w:val="auto"/>
                      <w:vertAlign w:val="superscript"/>
                    </w:rPr>
                    <w:t>2</w:t>
                  </w:r>
                  <w:r>
                    <w:rPr>
                      <w:color w:val="auto"/>
                    </w:rPr>
                    <w:t>/a</w:t>
                  </w:r>
                </w:p>
              </w:tc>
              <w:tc>
                <w:tcPr>
                  <w:tcW w:w="1665" w:type="dxa"/>
                  <w:tcBorders>
                    <w:tl2br w:val="nil"/>
                    <w:tr2bl w:val="nil"/>
                  </w:tcBorders>
                  <w:vAlign w:val="center"/>
                </w:tcPr>
                <w:p>
                  <w:pPr>
                    <w:snapToGrid w:val="0"/>
                    <w:jc w:val="center"/>
                    <w:rPr>
                      <w:color w:val="auto"/>
                    </w:rPr>
                  </w:pPr>
                  <w:r>
                    <w:rPr>
                      <w:rFonts w:hint="eastAsia"/>
                      <w:color w:val="auto"/>
                      <w:lang w:val="en-US" w:eastAsia="zh-CN"/>
                    </w:rPr>
                    <w:t>60</w:t>
                  </w:r>
                  <w:r>
                    <w:rPr>
                      <w:color w:val="auto"/>
                    </w:rPr>
                    <w:t>um</w:t>
                  </w:r>
                </w:p>
              </w:tc>
              <w:tc>
                <w:tcPr>
                  <w:tcW w:w="1136" w:type="dxa"/>
                  <w:tcBorders>
                    <w:tl2br w:val="nil"/>
                    <w:tr2bl w:val="nil"/>
                  </w:tcBorders>
                  <w:vAlign w:val="center"/>
                </w:tcPr>
                <w:p>
                  <w:pPr>
                    <w:snapToGrid w:val="0"/>
                    <w:jc w:val="center"/>
                    <w:rPr>
                      <w:color w:val="auto"/>
                    </w:rPr>
                  </w:pPr>
                  <w:r>
                    <w:rPr>
                      <w:color w:val="auto"/>
                    </w:rPr>
                    <w:t>1.</w:t>
                  </w:r>
                  <w:r>
                    <w:rPr>
                      <w:rFonts w:hint="eastAsia"/>
                      <w:color w:val="auto"/>
                    </w:rPr>
                    <w:t>3</w:t>
                  </w:r>
                  <w:r>
                    <w:rPr>
                      <w:color w:val="auto"/>
                    </w:rPr>
                    <w:t>g/cm</w:t>
                  </w:r>
                  <w:r>
                    <w:rPr>
                      <w:color w:val="auto"/>
                      <w:vertAlign w:val="superscript"/>
                    </w:rPr>
                    <w:t>3</w:t>
                  </w:r>
                </w:p>
              </w:tc>
              <w:tc>
                <w:tcPr>
                  <w:tcW w:w="2333" w:type="dxa"/>
                  <w:tcBorders>
                    <w:tl2br w:val="nil"/>
                    <w:tr2bl w:val="nil"/>
                  </w:tcBorders>
                  <w:vAlign w:val="center"/>
                </w:tcPr>
                <w:p>
                  <w:pPr>
                    <w:snapToGrid w:val="0"/>
                    <w:jc w:val="center"/>
                    <w:rPr>
                      <w:color w:val="auto"/>
                    </w:rPr>
                  </w:pPr>
                  <w:r>
                    <w:rPr>
                      <w:rFonts w:hint="eastAsia"/>
                      <w:color w:val="auto"/>
                      <w:lang w:val="en-US" w:eastAsia="zh-CN"/>
                    </w:rPr>
                    <w:t>58.5</w:t>
                  </w:r>
                  <w:r>
                    <w:rPr>
                      <w:rFonts w:hint="eastAsia"/>
                      <w:color w:val="auto"/>
                    </w:rPr>
                    <w:t>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5" w:type="dxa"/>
                  <w:tcBorders>
                    <w:tl2br w:val="nil"/>
                    <w:tr2bl w:val="nil"/>
                  </w:tcBorders>
                  <w:vAlign w:val="center"/>
                </w:tcPr>
                <w:p>
                  <w:pPr>
                    <w:snapToGrid w:val="0"/>
                    <w:jc w:val="center"/>
                    <w:rPr>
                      <w:color w:val="auto"/>
                    </w:rPr>
                  </w:pPr>
                  <w:r>
                    <w:rPr>
                      <w:color w:val="auto"/>
                    </w:rPr>
                    <w:t>2</w:t>
                  </w:r>
                </w:p>
              </w:tc>
              <w:tc>
                <w:tcPr>
                  <w:tcW w:w="1326" w:type="dxa"/>
                  <w:tcBorders>
                    <w:tl2br w:val="nil"/>
                    <w:tr2bl w:val="nil"/>
                  </w:tcBorders>
                  <w:vAlign w:val="center"/>
                </w:tcPr>
                <w:p>
                  <w:pPr>
                    <w:snapToGrid w:val="0"/>
                    <w:jc w:val="center"/>
                    <w:rPr>
                      <w:rFonts w:hint="default" w:eastAsia="宋体"/>
                      <w:color w:val="auto"/>
                      <w:lang w:val="en-US" w:eastAsia="zh-CN"/>
                    </w:rPr>
                  </w:pPr>
                  <w:r>
                    <w:rPr>
                      <w:rFonts w:hint="eastAsia"/>
                      <w:color w:val="auto"/>
                      <w:lang w:val="en-US" w:eastAsia="zh-CN"/>
                    </w:rPr>
                    <w:t>PE塑料粒</w:t>
                  </w:r>
                </w:p>
              </w:tc>
              <w:tc>
                <w:tcPr>
                  <w:tcW w:w="1267" w:type="dxa"/>
                  <w:tcBorders>
                    <w:tl2br w:val="nil"/>
                    <w:tr2bl w:val="nil"/>
                  </w:tcBorders>
                  <w:vAlign w:val="center"/>
                </w:tcPr>
                <w:p>
                  <w:pPr>
                    <w:snapToGrid w:val="0"/>
                    <w:jc w:val="center"/>
                    <w:rPr>
                      <w:color w:val="auto"/>
                    </w:rPr>
                  </w:pPr>
                  <w:r>
                    <w:rPr>
                      <w:rFonts w:hint="eastAsia"/>
                      <w:color w:val="auto"/>
                      <w:szCs w:val="21"/>
                      <w:lang w:val="en-US" w:eastAsia="zh-CN"/>
                    </w:rPr>
                    <w:t>375</w:t>
                  </w:r>
                  <w:r>
                    <w:rPr>
                      <w:rFonts w:hint="eastAsia"/>
                      <w:color w:val="auto"/>
                      <w:szCs w:val="21"/>
                    </w:rPr>
                    <w:t>000</w:t>
                  </w:r>
                  <w:r>
                    <w:rPr>
                      <w:color w:val="auto"/>
                    </w:rPr>
                    <w:t>m</w:t>
                  </w:r>
                  <w:r>
                    <w:rPr>
                      <w:color w:val="auto"/>
                      <w:vertAlign w:val="superscript"/>
                    </w:rPr>
                    <w:t>2</w:t>
                  </w:r>
                  <w:r>
                    <w:rPr>
                      <w:color w:val="auto"/>
                    </w:rPr>
                    <w:t>/a</w:t>
                  </w:r>
                </w:p>
              </w:tc>
              <w:tc>
                <w:tcPr>
                  <w:tcW w:w="1665" w:type="dxa"/>
                  <w:tcBorders>
                    <w:tl2br w:val="nil"/>
                    <w:tr2bl w:val="nil"/>
                  </w:tcBorders>
                  <w:vAlign w:val="center"/>
                </w:tcPr>
                <w:p>
                  <w:pPr>
                    <w:snapToGrid w:val="0"/>
                    <w:jc w:val="center"/>
                    <w:rPr>
                      <w:color w:val="auto"/>
                    </w:rPr>
                  </w:pPr>
                  <w:r>
                    <w:rPr>
                      <w:rFonts w:hint="eastAsia"/>
                      <w:color w:val="auto"/>
                      <w:lang w:val="en-US" w:eastAsia="zh-CN"/>
                    </w:rPr>
                    <w:t>180</w:t>
                  </w:r>
                  <w:r>
                    <w:rPr>
                      <w:color w:val="auto"/>
                    </w:rPr>
                    <w:t>um</w:t>
                  </w:r>
                </w:p>
              </w:tc>
              <w:tc>
                <w:tcPr>
                  <w:tcW w:w="1136" w:type="dxa"/>
                  <w:tcBorders>
                    <w:tl2br w:val="nil"/>
                    <w:tr2bl w:val="nil"/>
                  </w:tcBorders>
                  <w:vAlign w:val="center"/>
                </w:tcPr>
                <w:p>
                  <w:pPr>
                    <w:snapToGrid w:val="0"/>
                    <w:jc w:val="center"/>
                    <w:rPr>
                      <w:rFonts w:hint="default" w:eastAsia="宋体"/>
                      <w:color w:val="auto"/>
                      <w:lang w:val="en-US" w:eastAsia="zh-CN"/>
                    </w:rPr>
                  </w:pPr>
                  <w:r>
                    <w:rPr>
                      <w:rFonts w:hint="eastAsia"/>
                      <w:color w:val="auto"/>
                      <w:lang w:val="en-US" w:eastAsia="zh-CN"/>
                    </w:rPr>
                    <w:t>0.90</w:t>
                  </w:r>
                  <w:r>
                    <w:rPr>
                      <w:color w:val="auto"/>
                    </w:rPr>
                    <w:t>g/cm</w:t>
                  </w:r>
                  <w:r>
                    <w:rPr>
                      <w:color w:val="auto"/>
                      <w:vertAlign w:val="superscript"/>
                    </w:rPr>
                    <w:t>3</w:t>
                  </w:r>
                </w:p>
              </w:tc>
              <w:tc>
                <w:tcPr>
                  <w:tcW w:w="2333" w:type="dxa"/>
                  <w:tcBorders>
                    <w:tl2br w:val="nil"/>
                    <w:tr2bl w:val="nil"/>
                  </w:tcBorders>
                  <w:vAlign w:val="center"/>
                </w:tcPr>
                <w:p>
                  <w:pPr>
                    <w:snapToGrid w:val="0"/>
                    <w:jc w:val="center"/>
                    <w:rPr>
                      <w:rFonts w:hint="default" w:eastAsia="宋体"/>
                      <w:color w:val="auto"/>
                      <w:lang w:val="en-US" w:eastAsia="zh-CN"/>
                    </w:rPr>
                  </w:pPr>
                  <w:r>
                    <w:rPr>
                      <w:rFonts w:hint="eastAsia"/>
                      <w:color w:val="auto"/>
                      <w:lang w:val="en-US" w:eastAsia="zh-CN"/>
                    </w:rPr>
                    <w:t>60.75t/a</w:t>
                  </w:r>
                </w:p>
              </w:tc>
            </w:tr>
          </w:tbl>
          <w:p>
            <w:pPr>
              <w:pStyle w:val="2"/>
              <w:ind w:firstLine="480" w:firstLineChars="200"/>
              <w:rPr>
                <w:rFonts w:ascii="Times New Roman" w:cs="Times New Roman"/>
                <w:color w:val="auto"/>
              </w:rPr>
            </w:pPr>
            <w:r>
              <w:rPr>
                <w:rFonts w:hint="eastAsia" w:ascii="Times New Roman" w:cs="Times New Roman"/>
                <w:color w:val="auto"/>
                <w:lang w:eastAsia="zh-CN"/>
              </w:rPr>
              <w:t>（</w:t>
            </w:r>
            <w:r>
              <w:rPr>
                <w:rFonts w:hint="eastAsia" w:ascii="Times New Roman" w:cs="Times New Roman"/>
                <w:color w:val="auto"/>
                <w:lang w:val="en-US" w:eastAsia="zh-CN"/>
              </w:rPr>
              <w:t>2</w:t>
            </w:r>
            <w:r>
              <w:rPr>
                <w:rFonts w:hint="eastAsia" w:ascii="Times New Roman" w:cs="Times New Roman"/>
                <w:color w:val="auto"/>
                <w:lang w:eastAsia="zh-CN"/>
              </w:rPr>
              <w:t>）</w:t>
            </w:r>
            <w:r>
              <w:rPr>
                <w:rFonts w:ascii="Times New Roman" w:cs="Times New Roman"/>
                <w:color w:val="auto"/>
              </w:rPr>
              <w:t>用气量核算</w:t>
            </w:r>
          </w:p>
          <w:p>
            <w:pPr>
              <w:adjustRightInd w:val="0"/>
              <w:snapToGrid w:val="0"/>
              <w:spacing w:line="360" w:lineRule="auto"/>
              <w:ind w:firstLine="480" w:firstLineChars="200"/>
              <w:rPr>
                <w:color w:val="auto"/>
                <w:sz w:val="24"/>
              </w:rPr>
            </w:pPr>
            <w:r>
              <w:rPr>
                <w:rFonts w:hint="eastAsia"/>
                <w:color w:val="auto"/>
                <w:sz w:val="24"/>
                <w:highlight w:val="none"/>
                <w:lang w:eastAsia="zh-CN"/>
              </w:rPr>
              <w:t>拉幅定型无纺布生产线</w:t>
            </w:r>
            <w:r>
              <w:rPr>
                <w:rFonts w:hint="eastAsia"/>
                <w:color w:val="auto"/>
                <w:sz w:val="24"/>
                <w:highlight w:val="none"/>
              </w:rPr>
              <w:t>烘烤隧道</w:t>
            </w:r>
            <w:r>
              <w:rPr>
                <w:rFonts w:hint="eastAsia"/>
                <w:color w:val="auto"/>
                <w:sz w:val="24"/>
              </w:rPr>
              <w:t>炉</w:t>
            </w:r>
            <w:r>
              <w:rPr>
                <w:color w:val="auto"/>
                <w:sz w:val="24"/>
              </w:rPr>
              <w:t>使用天然气作为能源，</w:t>
            </w:r>
            <w:r>
              <w:rPr>
                <w:rFonts w:hint="eastAsia" w:ascii="Times New Roman" w:hAnsi="Times New Roman" w:cs="Times New Roman"/>
                <w:color w:val="auto"/>
                <w:sz w:val="24"/>
                <w:szCs w:val="24"/>
                <w:lang w:eastAsia="zh-CN"/>
              </w:rPr>
              <w:t>扩建项目</w:t>
            </w:r>
            <w:r>
              <w:rPr>
                <w:rFonts w:hint="eastAsia"/>
                <w:color w:val="auto"/>
                <w:sz w:val="24"/>
              </w:rPr>
              <w:t>使用天然气为二类天然气。根据《天然气》（GB17820-2018）：二类天然气</w:t>
            </w:r>
            <w:r>
              <w:rPr>
                <w:bCs/>
                <w:color w:val="auto"/>
                <w:sz w:val="24"/>
              </w:rPr>
              <w:t>总S的含量应≤</w:t>
            </w:r>
            <w:r>
              <w:rPr>
                <w:rFonts w:hint="eastAsia"/>
                <w:bCs/>
                <w:color w:val="auto"/>
                <w:sz w:val="24"/>
              </w:rPr>
              <w:t>10</w:t>
            </w:r>
            <w:r>
              <w:rPr>
                <w:bCs/>
                <w:color w:val="auto"/>
                <w:sz w:val="24"/>
              </w:rPr>
              <w:t>0mg</w:t>
            </w:r>
            <w:r>
              <w:rPr>
                <w:rFonts w:hint="eastAsia"/>
                <w:bCs/>
                <w:color w:val="auto"/>
                <w:sz w:val="24"/>
              </w:rPr>
              <w:t>/</w:t>
            </w:r>
            <w:r>
              <w:rPr>
                <w:bCs/>
                <w:color w:val="auto"/>
                <w:sz w:val="24"/>
              </w:rPr>
              <w:t>m</w:t>
            </w:r>
            <w:r>
              <w:rPr>
                <w:bCs/>
                <w:color w:val="auto"/>
                <w:sz w:val="24"/>
                <w:vertAlign w:val="superscript"/>
              </w:rPr>
              <w:t>3</w:t>
            </w:r>
            <w:r>
              <w:rPr>
                <w:bCs/>
                <w:color w:val="auto"/>
                <w:sz w:val="24"/>
              </w:rPr>
              <w:t>，</w:t>
            </w:r>
            <w:r>
              <w:rPr>
                <w:rFonts w:hint="eastAsia"/>
                <w:bCs/>
                <w:color w:val="auto"/>
                <w:sz w:val="24"/>
              </w:rPr>
              <w:t>本评价天然中含硫量</w:t>
            </w:r>
            <w:r>
              <w:rPr>
                <w:bCs/>
                <w:color w:val="auto"/>
                <w:sz w:val="24"/>
              </w:rPr>
              <w:t>S含量取值</w:t>
            </w:r>
            <w:r>
              <w:rPr>
                <w:rFonts w:hint="eastAsia"/>
                <w:bCs/>
                <w:color w:val="auto"/>
                <w:sz w:val="24"/>
              </w:rPr>
              <w:t>100</w:t>
            </w:r>
            <w:r>
              <w:rPr>
                <w:bCs/>
                <w:color w:val="auto"/>
                <w:sz w:val="24"/>
              </w:rPr>
              <w:t>mg/m</w:t>
            </w:r>
            <w:r>
              <w:rPr>
                <w:bCs/>
                <w:color w:val="auto"/>
                <w:sz w:val="24"/>
                <w:vertAlign w:val="superscript"/>
              </w:rPr>
              <w:t>3</w:t>
            </w:r>
            <w:r>
              <w:rPr>
                <w:rFonts w:hint="eastAsia"/>
                <w:bCs/>
                <w:color w:val="auto"/>
                <w:sz w:val="24"/>
              </w:rPr>
              <w:t>，</w:t>
            </w:r>
            <w:r>
              <w:rPr>
                <w:color w:val="auto"/>
                <w:sz w:val="24"/>
              </w:rPr>
              <w:t>其用气量核算见表2.</w:t>
            </w:r>
            <w:r>
              <w:rPr>
                <w:rFonts w:hint="eastAsia"/>
                <w:color w:val="auto"/>
                <w:sz w:val="24"/>
                <w:lang w:val="en-US" w:eastAsia="zh-CN"/>
              </w:rPr>
              <w:t>7</w:t>
            </w:r>
            <w:r>
              <w:rPr>
                <w:color w:val="auto"/>
                <w:sz w:val="24"/>
              </w:rPr>
              <w:t>。</w:t>
            </w:r>
          </w:p>
          <w:p>
            <w:pPr>
              <w:adjustRightInd w:val="0"/>
              <w:snapToGrid w:val="0"/>
              <w:spacing w:line="360" w:lineRule="auto"/>
              <w:jc w:val="center"/>
              <w:rPr>
                <w:color w:val="auto"/>
                <w:sz w:val="21"/>
                <w:szCs w:val="21"/>
              </w:rPr>
            </w:pPr>
            <w:r>
              <w:rPr>
                <w:color w:val="auto"/>
                <w:sz w:val="21"/>
                <w:szCs w:val="21"/>
              </w:rPr>
              <w:t>表2.</w:t>
            </w:r>
            <w:r>
              <w:rPr>
                <w:rFonts w:hint="eastAsia"/>
                <w:color w:val="auto"/>
                <w:sz w:val="21"/>
                <w:szCs w:val="21"/>
                <w:lang w:val="en-US" w:eastAsia="zh-CN"/>
              </w:rPr>
              <w:t>7</w:t>
            </w:r>
            <w:r>
              <w:rPr>
                <w:color w:val="auto"/>
                <w:sz w:val="21"/>
                <w:szCs w:val="21"/>
              </w:rPr>
              <w:t xml:space="preserve"> 本项目用气量核算表</w:t>
            </w:r>
          </w:p>
          <w:tbl>
            <w:tblPr>
              <w:tblStyle w:val="22"/>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49"/>
              <w:gridCol w:w="1326"/>
              <w:gridCol w:w="2609"/>
              <w:gridCol w:w="1106"/>
              <w:gridCol w:w="110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8" w:type="pct"/>
                  <w:vAlign w:val="center"/>
                </w:tcPr>
                <w:p>
                  <w:pPr>
                    <w:snapToGrid w:val="0"/>
                    <w:jc w:val="center"/>
                    <w:rPr>
                      <w:color w:val="auto"/>
                    </w:rPr>
                  </w:pPr>
                  <w:r>
                    <w:rPr>
                      <w:color w:val="auto"/>
                    </w:rPr>
                    <w:t>序号</w:t>
                  </w:r>
                </w:p>
              </w:tc>
              <w:tc>
                <w:tcPr>
                  <w:tcW w:w="925" w:type="pct"/>
                  <w:vAlign w:val="center"/>
                </w:tcPr>
                <w:p>
                  <w:pPr>
                    <w:snapToGrid w:val="0"/>
                    <w:jc w:val="center"/>
                    <w:rPr>
                      <w:color w:val="auto"/>
                    </w:rPr>
                  </w:pPr>
                  <w:r>
                    <w:rPr>
                      <w:color w:val="auto"/>
                    </w:rPr>
                    <w:t>用气单元</w:t>
                  </w:r>
                </w:p>
              </w:tc>
              <w:tc>
                <w:tcPr>
                  <w:tcW w:w="793" w:type="pct"/>
                  <w:vAlign w:val="center"/>
                </w:tcPr>
                <w:p>
                  <w:pPr>
                    <w:snapToGrid w:val="0"/>
                    <w:jc w:val="center"/>
                    <w:rPr>
                      <w:color w:val="auto"/>
                      <w:szCs w:val="21"/>
                    </w:rPr>
                  </w:pPr>
                  <w:r>
                    <w:rPr>
                      <w:color w:val="auto"/>
                      <w:szCs w:val="21"/>
                    </w:rPr>
                    <w:t>额定用气量</w:t>
                  </w:r>
                </w:p>
              </w:tc>
              <w:tc>
                <w:tcPr>
                  <w:tcW w:w="1559" w:type="pct"/>
                  <w:vAlign w:val="center"/>
                </w:tcPr>
                <w:p>
                  <w:pPr>
                    <w:snapToGrid w:val="0"/>
                    <w:jc w:val="center"/>
                    <w:rPr>
                      <w:color w:val="auto"/>
                      <w:szCs w:val="21"/>
                    </w:rPr>
                  </w:pPr>
                  <w:r>
                    <w:rPr>
                      <w:color w:val="auto"/>
                      <w:szCs w:val="21"/>
                    </w:rPr>
                    <w:t>规模</w:t>
                  </w:r>
                </w:p>
              </w:tc>
              <w:tc>
                <w:tcPr>
                  <w:tcW w:w="661" w:type="pct"/>
                  <w:vAlign w:val="center"/>
                </w:tcPr>
                <w:p>
                  <w:pPr>
                    <w:snapToGrid w:val="0"/>
                    <w:jc w:val="center"/>
                    <w:rPr>
                      <w:color w:val="auto"/>
                      <w:szCs w:val="21"/>
                    </w:rPr>
                  </w:pPr>
                  <w:r>
                    <w:rPr>
                      <w:color w:val="auto"/>
                      <w:szCs w:val="21"/>
                    </w:rPr>
                    <w:t>年用气量</w:t>
                  </w:r>
                </w:p>
                <w:p>
                  <w:pPr>
                    <w:snapToGrid w:val="0"/>
                    <w:jc w:val="center"/>
                    <w:rPr>
                      <w:color w:val="auto"/>
                      <w:szCs w:val="21"/>
                    </w:rPr>
                  </w:pPr>
                  <w:r>
                    <w:rPr>
                      <w:color w:val="auto"/>
                      <w:szCs w:val="21"/>
                    </w:rPr>
                    <w:t>（m</w:t>
                  </w:r>
                  <w:r>
                    <w:rPr>
                      <w:color w:val="auto"/>
                      <w:szCs w:val="21"/>
                      <w:vertAlign w:val="superscript"/>
                    </w:rPr>
                    <w:t>3</w:t>
                  </w:r>
                  <w:r>
                    <w:rPr>
                      <w:color w:val="auto"/>
                      <w:szCs w:val="21"/>
                    </w:rPr>
                    <w:t>/a）</w:t>
                  </w:r>
                </w:p>
              </w:tc>
              <w:tc>
                <w:tcPr>
                  <w:tcW w:w="661" w:type="pct"/>
                  <w:vAlign w:val="center"/>
                </w:tcPr>
                <w:p>
                  <w:pPr>
                    <w:snapToGrid w:val="0"/>
                    <w:jc w:val="center"/>
                    <w:rPr>
                      <w:color w:val="auto"/>
                      <w:szCs w:val="21"/>
                    </w:rPr>
                  </w:pPr>
                  <w:r>
                    <w:rPr>
                      <w:rFonts w:hint="eastAsia"/>
                      <w:color w:val="auto"/>
                      <w:szCs w:val="21"/>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8" w:type="pct"/>
                  <w:vAlign w:val="center"/>
                </w:tcPr>
                <w:p>
                  <w:pPr>
                    <w:snapToGrid w:val="0"/>
                    <w:jc w:val="center"/>
                    <w:rPr>
                      <w:color w:val="auto"/>
                    </w:rPr>
                  </w:pPr>
                  <w:r>
                    <w:rPr>
                      <w:color w:val="auto"/>
                    </w:rPr>
                    <w:t>1</w:t>
                  </w:r>
                </w:p>
              </w:tc>
              <w:tc>
                <w:tcPr>
                  <w:tcW w:w="925" w:type="pct"/>
                  <w:vAlign w:val="center"/>
                </w:tcPr>
                <w:p>
                  <w:pPr>
                    <w:snapToGrid w:val="0"/>
                    <w:jc w:val="center"/>
                    <w:rPr>
                      <w:color w:val="auto"/>
                    </w:rPr>
                  </w:pPr>
                  <w:r>
                    <w:rPr>
                      <w:rFonts w:hint="eastAsia"/>
                      <w:color w:val="auto"/>
                      <w:szCs w:val="21"/>
                    </w:rPr>
                    <w:t>拉幅定型设备</w:t>
                  </w:r>
                </w:p>
              </w:tc>
              <w:tc>
                <w:tcPr>
                  <w:tcW w:w="793" w:type="pct"/>
                  <w:vAlign w:val="center"/>
                </w:tcPr>
                <w:p>
                  <w:pPr>
                    <w:snapToGrid w:val="0"/>
                    <w:jc w:val="center"/>
                    <w:rPr>
                      <w:color w:val="auto"/>
                      <w:szCs w:val="21"/>
                    </w:rPr>
                  </w:pPr>
                  <w:r>
                    <w:rPr>
                      <w:rFonts w:hint="eastAsia"/>
                      <w:color w:val="auto"/>
                      <w:szCs w:val="21"/>
                    </w:rPr>
                    <w:t>65</w:t>
                  </w:r>
                  <w:r>
                    <w:rPr>
                      <w:color w:val="auto"/>
                      <w:szCs w:val="21"/>
                    </w:rPr>
                    <w:t>m</w:t>
                  </w:r>
                  <w:r>
                    <w:rPr>
                      <w:color w:val="auto"/>
                      <w:szCs w:val="21"/>
                      <w:vertAlign w:val="superscript"/>
                    </w:rPr>
                    <w:t>3</w:t>
                  </w:r>
                  <w:r>
                    <w:rPr>
                      <w:color w:val="auto"/>
                      <w:szCs w:val="21"/>
                    </w:rPr>
                    <w:t>/h</w:t>
                  </w:r>
                </w:p>
              </w:tc>
              <w:tc>
                <w:tcPr>
                  <w:tcW w:w="1559" w:type="pct"/>
                  <w:vAlign w:val="center"/>
                </w:tcPr>
                <w:p>
                  <w:pPr>
                    <w:snapToGrid w:val="0"/>
                    <w:jc w:val="center"/>
                    <w:rPr>
                      <w:color w:val="auto"/>
                      <w:szCs w:val="21"/>
                    </w:rPr>
                  </w:pPr>
                  <w:r>
                    <w:rPr>
                      <w:rFonts w:hint="eastAsia"/>
                      <w:color w:val="auto"/>
                      <w:szCs w:val="21"/>
                    </w:rPr>
                    <w:t>2台</w:t>
                  </w:r>
                  <w:r>
                    <w:rPr>
                      <w:color w:val="auto"/>
                      <w:szCs w:val="21"/>
                    </w:rPr>
                    <w:t>，</w:t>
                  </w:r>
                  <w:r>
                    <w:rPr>
                      <w:rFonts w:hint="eastAsia"/>
                      <w:color w:val="auto"/>
                      <w:szCs w:val="21"/>
                    </w:rPr>
                    <w:t>7</w:t>
                  </w:r>
                  <w:r>
                    <w:rPr>
                      <w:color w:val="auto"/>
                      <w:szCs w:val="21"/>
                    </w:rPr>
                    <w:t>h/d，</w:t>
                  </w:r>
                  <w:r>
                    <w:rPr>
                      <w:rFonts w:hint="eastAsia"/>
                      <w:color w:val="auto"/>
                      <w:szCs w:val="21"/>
                    </w:rPr>
                    <w:t>300</w:t>
                  </w:r>
                  <w:r>
                    <w:rPr>
                      <w:color w:val="auto"/>
                      <w:szCs w:val="21"/>
                    </w:rPr>
                    <w:t>天/年</w:t>
                  </w:r>
                </w:p>
              </w:tc>
              <w:tc>
                <w:tcPr>
                  <w:tcW w:w="661" w:type="pct"/>
                  <w:vAlign w:val="center"/>
                </w:tcPr>
                <w:p>
                  <w:pPr>
                    <w:widowControl/>
                    <w:jc w:val="center"/>
                    <w:textAlignment w:val="center"/>
                    <w:rPr>
                      <w:color w:val="auto"/>
                      <w:szCs w:val="21"/>
                    </w:rPr>
                  </w:pPr>
                  <w:r>
                    <w:rPr>
                      <w:rFonts w:hint="eastAsia"/>
                      <w:color w:val="auto"/>
                      <w:szCs w:val="21"/>
                    </w:rPr>
                    <w:t>273000</w:t>
                  </w:r>
                </w:p>
              </w:tc>
              <w:tc>
                <w:tcPr>
                  <w:tcW w:w="661" w:type="pct"/>
                  <w:vAlign w:val="center"/>
                </w:tcPr>
                <w:p>
                  <w:pPr>
                    <w:widowControl/>
                    <w:jc w:val="center"/>
                    <w:textAlignment w:val="center"/>
                    <w:rPr>
                      <w:color w:val="auto"/>
                      <w:szCs w:val="21"/>
                    </w:rPr>
                  </w:pPr>
                  <w:r>
                    <w:rPr>
                      <w:rFonts w:hint="eastAsia"/>
                      <w:color w:val="auto"/>
                      <w:szCs w:val="21"/>
                    </w:rPr>
                    <w:t>烘干工序</w:t>
                  </w:r>
                </w:p>
              </w:tc>
            </w:tr>
          </w:tbl>
          <w:p>
            <w:pPr>
              <w:pStyle w:val="2"/>
              <w:ind w:firstLine="480" w:firstLineChars="200"/>
              <w:rPr>
                <w:rFonts w:ascii="Times New Roman" w:cs="Times New Roman"/>
                <w:color w:val="auto"/>
              </w:rPr>
            </w:pPr>
            <w:r>
              <w:rPr>
                <w:rFonts w:ascii="Times New Roman" w:cs="Times New Roman"/>
                <w:color w:val="auto"/>
              </w:rPr>
              <w:t>（</w:t>
            </w:r>
            <w:r>
              <w:rPr>
                <w:rFonts w:hint="eastAsia" w:ascii="Times New Roman" w:cs="Times New Roman"/>
                <w:color w:val="auto"/>
              </w:rPr>
              <w:t>2</w:t>
            </w:r>
            <w:r>
              <w:rPr>
                <w:rFonts w:ascii="Times New Roman" w:cs="Times New Roman"/>
                <w:color w:val="auto"/>
              </w:rPr>
              <w:t>）用水量核算</w:t>
            </w:r>
          </w:p>
          <w:p>
            <w:pPr>
              <w:snapToGrid w:val="0"/>
              <w:spacing w:line="360" w:lineRule="auto"/>
              <w:ind w:firstLine="480" w:firstLineChars="200"/>
              <w:rPr>
                <w:color w:val="auto"/>
                <w:sz w:val="24"/>
              </w:rPr>
            </w:pPr>
            <w:r>
              <w:rPr>
                <w:rFonts w:hint="eastAsia"/>
                <w:color w:val="auto"/>
                <w:sz w:val="24"/>
                <w:lang w:eastAsia="zh-CN"/>
              </w:rPr>
              <w:t>扩建项目</w:t>
            </w:r>
            <w:r>
              <w:rPr>
                <w:color w:val="auto"/>
                <w:sz w:val="24"/>
              </w:rPr>
              <w:t>用水主要包括生产用水、</w:t>
            </w:r>
            <w:r>
              <w:rPr>
                <w:rFonts w:hint="eastAsia"/>
                <w:color w:val="auto"/>
                <w:sz w:val="24"/>
              </w:rPr>
              <w:t>员工</w:t>
            </w:r>
            <w:r>
              <w:rPr>
                <w:color w:val="auto"/>
                <w:sz w:val="24"/>
              </w:rPr>
              <w:t>生活用水</w:t>
            </w:r>
            <w:r>
              <w:rPr>
                <w:rFonts w:hint="eastAsia"/>
                <w:color w:val="auto"/>
                <w:sz w:val="24"/>
              </w:rPr>
              <w:t>、食堂用水</w:t>
            </w:r>
            <w:r>
              <w:rPr>
                <w:color w:val="auto"/>
                <w:sz w:val="24"/>
              </w:rPr>
              <w:t>，根据《建筑给排水设计</w:t>
            </w:r>
            <w:r>
              <w:rPr>
                <w:rFonts w:hint="eastAsia"/>
                <w:color w:val="auto"/>
                <w:sz w:val="24"/>
              </w:rPr>
              <w:t>规范</w:t>
            </w:r>
            <w:r>
              <w:rPr>
                <w:color w:val="auto"/>
                <w:sz w:val="24"/>
              </w:rPr>
              <w:t>》（GB50015-</w:t>
            </w:r>
            <w:r>
              <w:rPr>
                <w:rFonts w:hint="eastAsia"/>
                <w:color w:val="auto"/>
                <w:sz w:val="24"/>
              </w:rPr>
              <w:t>2019</w:t>
            </w:r>
            <w:r>
              <w:rPr>
                <w:color w:val="auto"/>
                <w:sz w:val="24"/>
              </w:rPr>
              <w:t>）及重庆市水利局、重庆市城市管理委员会关于《关于印发重庆市城市生活用水定额（2017年修订版）的通知</w:t>
            </w:r>
            <w:r>
              <w:rPr>
                <w:rFonts w:hint="eastAsia"/>
                <w:color w:val="auto"/>
                <w:sz w:val="24"/>
              </w:rPr>
              <w:t>》</w:t>
            </w:r>
            <w:r>
              <w:rPr>
                <w:color w:val="auto"/>
                <w:sz w:val="24"/>
              </w:rPr>
              <w:t>（渝水[2018]66号）等相关规范要求，生活用水定额按照</w:t>
            </w:r>
            <w:r>
              <w:rPr>
                <w:rFonts w:hint="eastAsia"/>
                <w:color w:val="auto"/>
                <w:sz w:val="24"/>
              </w:rPr>
              <w:t>179</w:t>
            </w:r>
            <w:r>
              <w:rPr>
                <w:color w:val="auto"/>
                <w:sz w:val="24"/>
              </w:rPr>
              <w:t>L/人•d计</w:t>
            </w:r>
            <w:r>
              <w:rPr>
                <w:rFonts w:hint="eastAsia"/>
                <w:color w:val="auto"/>
                <w:sz w:val="24"/>
              </w:rPr>
              <w:t>；根据《排放源统计调查产排污核算方法和系数手册》</w:t>
            </w:r>
            <w:r>
              <w:rPr>
                <w:rFonts w:eastAsiaTheme="minorEastAsia"/>
                <w:bCs/>
                <w:color w:val="auto"/>
                <w:sz w:val="24"/>
              </w:rPr>
              <w:t>（生态环境部公告2021年第24号）</w:t>
            </w:r>
            <w:r>
              <w:rPr>
                <w:rFonts w:hint="eastAsia" w:eastAsiaTheme="minorEastAsia"/>
                <w:bCs/>
                <w:color w:val="auto"/>
                <w:sz w:val="24"/>
              </w:rPr>
              <w:t>生活污水的折</w:t>
            </w:r>
            <w:r>
              <w:rPr>
                <w:color w:val="auto"/>
                <w:sz w:val="24"/>
              </w:rPr>
              <w:t>污系数按</w:t>
            </w:r>
            <w:r>
              <w:rPr>
                <w:rFonts w:hint="eastAsia"/>
                <w:color w:val="auto"/>
                <w:sz w:val="24"/>
              </w:rPr>
              <w:t>0.83计，</w:t>
            </w:r>
            <w:r>
              <w:rPr>
                <w:color w:val="auto"/>
                <w:sz w:val="24"/>
              </w:rPr>
              <w:t>其用水量核算见表2.</w:t>
            </w:r>
            <w:r>
              <w:rPr>
                <w:rFonts w:hint="eastAsia"/>
                <w:color w:val="auto"/>
                <w:sz w:val="24"/>
                <w:lang w:val="en-US" w:eastAsia="zh-CN"/>
              </w:rPr>
              <w:t>8</w:t>
            </w:r>
            <w:r>
              <w:rPr>
                <w:rFonts w:hint="eastAsia"/>
                <w:color w:val="auto"/>
                <w:sz w:val="24"/>
              </w:rPr>
              <w:t>。</w:t>
            </w:r>
            <w:r>
              <w:rPr>
                <w:color w:val="auto"/>
                <w:sz w:val="24"/>
              </w:rPr>
              <w:t>其水平衡见图2.1。</w:t>
            </w:r>
          </w:p>
          <w:p>
            <w:pPr>
              <w:adjustRightInd w:val="0"/>
              <w:snapToGrid w:val="0"/>
              <w:spacing w:line="360" w:lineRule="auto"/>
              <w:jc w:val="center"/>
              <w:rPr>
                <w:color w:val="auto"/>
                <w:sz w:val="21"/>
                <w:szCs w:val="21"/>
              </w:rPr>
            </w:pPr>
            <w:r>
              <w:rPr>
                <w:color w:val="auto"/>
                <w:sz w:val="21"/>
                <w:szCs w:val="21"/>
              </w:rPr>
              <w:t>表2.</w:t>
            </w:r>
            <w:r>
              <w:rPr>
                <w:rFonts w:hint="eastAsia"/>
                <w:color w:val="auto"/>
                <w:sz w:val="21"/>
                <w:szCs w:val="21"/>
                <w:lang w:val="en-US" w:eastAsia="zh-CN"/>
              </w:rPr>
              <w:t>8</w:t>
            </w:r>
            <w:r>
              <w:rPr>
                <w:color w:val="auto"/>
                <w:sz w:val="21"/>
                <w:szCs w:val="21"/>
              </w:rPr>
              <w:t xml:space="preserve"> </w:t>
            </w:r>
            <w:r>
              <w:rPr>
                <w:rFonts w:hint="eastAsia"/>
                <w:color w:val="auto"/>
                <w:sz w:val="21"/>
                <w:szCs w:val="21"/>
                <w:lang w:eastAsia="zh-CN"/>
              </w:rPr>
              <w:t>扩建项目</w:t>
            </w:r>
            <w:r>
              <w:rPr>
                <w:color w:val="auto"/>
                <w:sz w:val="21"/>
                <w:szCs w:val="21"/>
              </w:rPr>
              <w:t>用水量核算表</w:t>
            </w:r>
          </w:p>
          <w:tbl>
            <w:tblPr>
              <w:tblStyle w:val="22"/>
              <w:tblW w:w="84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551"/>
              <w:gridCol w:w="878"/>
              <w:gridCol w:w="1215"/>
              <w:gridCol w:w="1031"/>
              <w:gridCol w:w="1019"/>
              <w:gridCol w:w="1171"/>
              <w:gridCol w:w="10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tcBorders>
                    <w:top w:val="single" w:color="auto" w:sz="4" w:space="0"/>
                    <w:left w:val="nil"/>
                    <w:bottom w:val="single" w:color="auto" w:sz="4" w:space="0"/>
                    <w:right w:val="single" w:color="auto" w:sz="4" w:space="0"/>
                  </w:tcBorders>
                  <w:vAlign w:val="center"/>
                </w:tcPr>
                <w:p>
                  <w:pPr>
                    <w:jc w:val="center"/>
                    <w:rPr>
                      <w:color w:val="auto"/>
                    </w:rPr>
                  </w:pPr>
                  <w:r>
                    <w:rPr>
                      <w:color w:val="auto"/>
                    </w:rPr>
                    <w:t>序号</w:t>
                  </w: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color w:val="auto"/>
                    </w:rPr>
                    <w:t>用水项目</w:t>
                  </w: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color w:val="auto"/>
                    </w:rPr>
                    <w:t>数量</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color w:val="auto"/>
                    </w:rPr>
                    <w:t>用水标准</w:t>
                  </w:r>
                </w:p>
              </w:tc>
              <w:tc>
                <w:tcPr>
                  <w:tcW w:w="103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用水量</w:t>
                  </w:r>
                </w:p>
                <w:p>
                  <w:pPr>
                    <w:jc w:val="center"/>
                    <w:rPr>
                      <w:color w:val="auto"/>
                      <w:szCs w:val="21"/>
                    </w:rPr>
                  </w:pPr>
                  <w:r>
                    <w:rPr>
                      <w:color w:val="auto"/>
                      <w:szCs w:val="21"/>
                    </w:rPr>
                    <w:t>（m</w:t>
                  </w:r>
                  <w:r>
                    <w:rPr>
                      <w:color w:val="auto"/>
                      <w:szCs w:val="21"/>
                      <w:vertAlign w:val="superscript"/>
                    </w:rPr>
                    <w:t>3</w:t>
                  </w:r>
                  <w:r>
                    <w:rPr>
                      <w:color w:val="auto"/>
                      <w:szCs w:val="21"/>
                    </w:rPr>
                    <w:t>/d）</w:t>
                  </w:r>
                </w:p>
              </w:tc>
              <w:tc>
                <w:tcPr>
                  <w:tcW w:w="1019"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年用</w:t>
                  </w:r>
                </w:p>
                <w:p>
                  <w:pPr>
                    <w:jc w:val="center"/>
                    <w:rPr>
                      <w:color w:val="auto"/>
                      <w:szCs w:val="21"/>
                    </w:rPr>
                  </w:pPr>
                  <w:r>
                    <w:rPr>
                      <w:color w:val="auto"/>
                      <w:szCs w:val="21"/>
                    </w:rPr>
                    <w:t>水量</w:t>
                  </w:r>
                </w:p>
                <w:p>
                  <w:pPr>
                    <w:pStyle w:val="8"/>
                    <w:ind w:firstLine="0"/>
                    <w:jc w:val="center"/>
                    <w:rPr>
                      <w:rFonts w:ascii="Times New Roman" w:hAnsi="Times New Roman"/>
                      <w:color w:val="auto"/>
                      <w:sz w:val="21"/>
                      <w:szCs w:val="21"/>
                    </w:rPr>
                  </w:pPr>
                  <w:r>
                    <w:rPr>
                      <w:rFonts w:ascii="Times New Roman" w:hAnsi="Times New Roman"/>
                      <w:color w:val="auto"/>
                      <w:sz w:val="21"/>
                      <w:szCs w:val="21"/>
                    </w:rPr>
                    <w:t>（m</w:t>
                  </w:r>
                  <w:r>
                    <w:rPr>
                      <w:rFonts w:ascii="Times New Roman" w:hAnsi="Times New Roman"/>
                      <w:color w:val="auto"/>
                      <w:sz w:val="21"/>
                      <w:szCs w:val="21"/>
                      <w:vertAlign w:val="superscript"/>
                    </w:rPr>
                    <w:t>3</w:t>
                  </w:r>
                  <w:r>
                    <w:rPr>
                      <w:rFonts w:ascii="Times New Roman" w:hAnsi="Times New Roman"/>
                      <w:color w:val="auto"/>
                      <w:sz w:val="21"/>
                      <w:szCs w:val="21"/>
                    </w:rPr>
                    <w:t>/a）</w:t>
                  </w:r>
                </w:p>
              </w:tc>
              <w:tc>
                <w:tcPr>
                  <w:tcW w:w="1171" w:type="dxa"/>
                  <w:tcBorders>
                    <w:top w:val="single" w:color="auto" w:sz="4" w:space="0"/>
                    <w:left w:val="single" w:color="auto" w:sz="4" w:space="0"/>
                    <w:bottom w:val="single" w:color="auto" w:sz="4" w:space="0"/>
                    <w:right w:val="nil"/>
                  </w:tcBorders>
                  <w:vAlign w:val="center"/>
                </w:tcPr>
                <w:p>
                  <w:pPr>
                    <w:jc w:val="center"/>
                    <w:rPr>
                      <w:color w:val="auto"/>
                    </w:rPr>
                  </w:pPr>
                  <w:r>
                    <w:rPr>
                      <w:rFonts w:hint="eastAsia"/>
                      <w:color w:val="auto"/>
                      <w:szCs w:val="21"/>
                    </w:rPr>
                    <w:t>排</w:t>
                  </w:r>
                  <w:r>
                    <w:rPr>
                      <w:color w:val="auto"/>
                      <w:szCs w:val="21"/>
                    </w:rPr>
                    <w:t>用水量（m</w:t>
                  </w:r>
                  <w:r>
                    <w:rPr>
                      <w:color w:val="auto"/>
                      <w:szCs w:val="21"/>
                      <w:vertAlign w:val="superscript"/>
                    </w:rPr>
                    <w:t>3</w:t>
                  </w:r>
                  <w:r>
                    <w:rPr>
                      <w:color w:val="auto"/>
                      <w:szCs w:val="21"/>
                    </w:rPr>
                    <w:t>/d）</w:t>
                  </w:r>
                </w:p>
              </w:tc>
              <w:tc>
                <w:tcPr>
                  <w:tcW w:w="1022" w:type="dxa"/>
                  <w:tcBorders>
                    <w:top w:val="single" w:color="auto" w:sz="4" w:space="0"/>
                    <w:left w:val="single" w:color="auto" w:sz="4" w:space="0"/>
                    <w:bottom w:val="single" w:color="auto" w:sz="4" w:space="0"/>
                    <w:right w:val="nil"/>
                  </w:tcBorders>
                  <w:vAlign w:val="center"/>
                </w:tcPr>
                <w:p>
                  <w:pPr>
                    <w:jc w:val="center"/>
                    <w:rPr>
                      <w:color w:val="auto"/>
                      <w:szCs w:val="21"/>
                    </w:rPr>
                  </w:pPr>
                  <w:r>
                    <w:rPr>
                      <w:color w:val="auto"/>
                      <w:szCs w:val="21"/>
                    </w:rPr>
                    <w:t>年</w:t>
                  </w:r>
                  <w:r>
                    <w:rPr>
                      <w:rFonts w:hint="eastAsia"/>
                      <w:color w:val="auto"/>
                      <w:szCs w:val="21"/>
                    </w:rPr>
                    <w:t>排</w:t>
                  </w:r>
                </w:p>
                <w:p>
                  <w:pPr>
                    <w:jc w:val="center"/>
                    <w:rPr>
                      <w:color w:val="auto"/>
                      <w:szCs w:val="21"/>
                    </w:rPr>
                  </w:pPr>
                  <w:r>
                    <w:rPr>
                      <w:color w:val="auto"/>
                      <w:szCs w:val="21"/>
                    </w:rPr>
                    <w:t>水量</w:t>
                  </w:r>
                </w:p>
                <w:p>
                  <w:pPr>
                    <w:jc w:val="center"/>
                    <w:rPr>
                      <w:color w:val="auto"/>
                    </w:rPr>
                  </w:pPr>
                  <w:r>
                    <w:rPr>
                      <w:color w:val="auto"/>
                      <w:szCs w:val="21"/>
                    </w:rPr>
                    <w:t>（m</w:t>
                  </w:r>
                  <w:r>
                    <w:rPr>
                      <w:color w:val="auto"/>
                      <w:szCs w:val="21"/>
                      <w:vertAlign w:val="superscript"/>
                    </w:rPr>
                    <w:t>3</w:t>
                  </w:r>
                  <w:r>
                    <w:rPr>
                      <w:color w:val="auto"/>
                      <w:szCs w:val="21"/>
                    </w:rPr>
                    <w: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tcBorders>
                    <w:top w:val="single" w:color="auto" w:sz="4" w:space="0"/>
                    <w:left w:val="nil"/>
                    <w:bottom w:val="single" w:color="auto" w:sz="4" w:space="0"/>
                    <w:right w:val="single" w:color="auto" w:sz="4" w:space="0"/>
                  </w:tcBorders>
                  <w:vAlign w:val="center"/>
                </w:tcPr>
                <w:p>
                  <w:pPr>
                    <w:jc w:val="center"/>
                    <w:rPr>
                      <w:color w:val="auto"/>
                      <w:szCs w:val="21"/>
                    </w:rPr>
                  </w:pPr>
                  <w:r>
                    <w:rPr>
                      <w:rFonts w:hint="eastAsia"/>
                      <w:color w:val="auto"/>
                      <w:szCs w:val="21"/>
                    </w:rPr>
                    <w:t>1</w:t>
                  </w: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冷却塔蒸发</w:t>
                  </w:r>
                </w:p>
                <w:p>
                  <w:pPr>
                    <w:jc w:val="center"/>
                    <w:rPr>
                      <w:color w:val="auto"/>
                      <w:szCs w:val="21"/>
                    </w:rPr>
                  </w:pPr>
                  <w:r>
                    <w:rPr>
                      <w:rFonts w:hint="eastAsia"/>
                      <w:color w:val="auto"/>
                      <w:szCs w:val="21"/>
                    </w:rPr>
                    <w:t>补充用水</w:t>
                  </w: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80m</w:t>
                  </w:r>
                  <w:r>
                    <w:rPr>
                      <w:rFonts w:hint="eastAsia"/>
                      <w:color w:val="auto"/>
                      <w:szCs w:val="21"/>
                      <w:vertAlign w:val="superscript"/>
                    </w:rPr>
                    <w:t>3</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lang w:val="en-US" w:eastAsia="zh-CN"/>
                    </w:rPr>
                    <w:t>5</w:t>
                  </w:r>
                  <w:r>
                    <w:rPr>
                      <w:rFonts w:hint="eastAsia"/>
                      <w:color w:val="auto"/>
                      <w:szCs w:val="21"/>
                    </w:rPr>
                    <w:t>%</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szCs w:val="21"/>
                    </w:rPr>
                  </w:pPr>
                  <w:r>
                    <w:rPr>
                      <w:rFonts w:hint="eastAsia"/>
                      <w:color w:val="auto"/>
                      <w:szCs w:val="21"/>
                    </w:rPr>
                    <w:t>0.8</w:t>
                  </w:r>
                </w:p>
              </w:tc>
              <w:tc>
                <w:tcPr>
                  <w:tcW w:w="10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auto"/>
                      <w:szCs w:val="21"/>
                    </w:rPr>
                  </w:pPr>
                  <w:r>
                    <w:rPr>
                      <w:rFonts w:hint="eastAsia"/>
                      <w:color w:val="auto"/>
                      <w:szCs w:val="21"/>
                    </w:rPr>
                    <w:t>240</w:t>
                  </w:r>
                </w:p>
              </w:tc>
              <w:tc>
                <w:tcPr>
                  <w:tcW w:w="1171" w:type="dxa"/>
                  <w:tcBorders>
                    <w:top w:val="single" w:color="auto" w:sz="4" w:space="0"/>
                    <w:left w:val="single" w:color="auto" w:sz="4" w:space="0"/>
                    <w:bottom w:val="single" w:color="auto" w:sz="4" w:space="0"/>
                    <w:right w:val="nil"/>
                  </w:tcBorders>
                  <w:vAlign w:val="center"/>
                </w:tcPr>
                <w:p>
                  <w:pPr>
                    <w:widowControl/>
                    <w:jc w:val="center"/>
                    <w:textAlignment w:val="center"/>
                    <w:rPr>
                      <w:color w:val="auto"/>
                      <w:szCs w:val="21"/>
                    </w:rPr>
                  </w:pPr>
                  <w:r>
                    <w:rPr>
                      <w:color w:val="auto"/>
                      <w:kern w:val="0"/>
                      <w:szCs w:val="21"/>
                      <w:lang w:bidi="ar"/>
                    </w:rPr>
                    <w:t>/</w:t>
                  </w:r>
                </w:p>
              </w:tc>
              <w:tc>
                <w:tcPr>
                  <w:tcW w:w="1022" w:type="dxa"/>
                  <w:tcBorders>
                    <w:top w:val="single" w:color="auto" w:sz="4" w:space="0"/>
                    <w:left w:val="single" w:color="auto" w:sz="4" w:space="0"/>
                    <w:bottom w:val="single" w:color="auto" w:sz="4" w:space="0"/>
                    <w:right w:val="nil"/>
                  </w:tcBorders>
                  <w:vAlign w:val="center"/>
                </w:tcPr>
                <w:p>
                  <w:pPr>
                    <w:widowControl/>
                    <w:jc w:val="center"/>
                    <w:textAlignment w:val="center"/>
                    <w:rPr>
                      <w:color w:val="auto"/>
                      <w:szCs w:val="21"/>
                    </w:rPr>
                  </w:pPr>
                  <w:r>
                    <w:rPr>
                      <w:color w:val="auto"/>
                      <w:kern w:val="0"/>
                      <w:szCs w:val="21"/>
                      <w:lang w:bidi="ar"/>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tcBorders>
                    <w:top w:val="single" w:color="auto" w:sz="4" w:space="0"/>
                    <w:left w:val="nil"/>
                    <w:bottom w:val="single" w:color="auto" w:sz="4" w:space="0"/>
                    <w:right w:val="single" w:color="auto" w:sz="4" w:space="0"/>
                  </w:tcBorders>
                  <w:vAlign w:val="center"/>
                </w:tcPr>
                <w:p>
                  <w:pPr>
                    <w:jc w:val="center"/>
                    <w:rPr>
                      <w:rFonts w:hint="eastAsia" w:eastAsia="宋体"/>
                      <w:color w:val="auto"/>
                      <w:szCs w:val="21"/>
                      <w:lang w:val="en-US" w:eastAsia="zh-CN"/>
                    </w:rPr>
                  </w:pPr>
                  <w:r>
                    <w:rPr>
                      <w:rFonts w:hint="eastAsia"/>
                      <w:color w:val="auto"/>
                      <w:szCs w:val="21"/>
                      <w:lang w:val="en-US" w:eastAsia="zh-CN"/>
                    </w:rPr>
                    <w:t>2</w:t>
                  </w:r>
                </w:p>
              </w:tc>
              <w:tc>
                <w:tcPr>
                  <w:tcW w:w="155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Cs w:val="21"/>
                    </w:rPr>
                  </w:pPr>
                  <w:r>
                    <w:rPr>
                      <w:rFonts w:hint="eastAsia"/>
                      <w:color w:val="auto"/>
                      <w:szCs w:val="21"/>
                    </w:rPr>
                    <w:t>冷却塔</w:t>
                  </w:r>
                  <w:r>
                    <w:rPr>
                      <w:rFonts w:hint="eastAsia"/>
                      <w:color w:val="auto"/>
                      <w:szCs w:val="21"/>
                      <w:lang w:eastAsia="zh-CN"/>
                    </w:rPr>
                    <w:t>定期排水</w:t>
                  </w:r>
                  <w:r>
                    <w:rPr>
                      <w:rFonts w:hint="eastAsia"/>
                      <w:color w:val="auto"/>
                      <w:szCs w:val="21"/>
                    </w:rPr>
                    <w:t>补充用水</w:t>
                  </w:r>
                </w:p>
              </w:tc>
              <w:tc>
                <w:tcPr>
                  <w:tcW w:w="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Cs w:val="21"/>
                    </w:rPr>
                  </w:pPr>
                  <w:r>
                    <w:rPr>
                      <w:rFonts w:hint="eastAsia"/>
                      <w:color w:val="auto"/>
                      <w:sz w:val="21"/>
                      <w:szCs w:val="21"/>
                      <w:lang w:val="en-US" w:eastAsia="zh-CN"/>
                    </w:rPr>
                    <w:t>80m</w:t>
                  </w:r>
                  <w:r>
                    <w:rPr>
                      <w:rFonts w:hint="eastAsia"/>
                      <w:color w:val="auto"/>
                      <w:sz w:val="21"/>
                      <w:szCs w:val="21"/>
                      <w:vertAlign w:val="superscript"/>
                      <w:lang w:val="en-US" w:eastAsia="zh-CN"/>
                    </w:rPr>
                    <w:t>3</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color w:val="auto"/>
                      <w:szCs w:val="21"/>
                    </w:rPr>
                  </w:pPr>
                  <w:r>
                    <w:rPr>
                      <w:rFonts w:hint="eastAsia"/>
                      <w:color w:val="auto"/>
                      <w:sz w:val="21"/>
                      <w:szCs w:val="21"/>
                      <w:lang w:val="en-US" w:eastAsia="zh-CN"/>
                    </w:rPr>
                    <w:t>1次/年</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eastAsia="宋体"/>
                      <w:color w:val="auto"/>
                      <w:szCs w:val="21"/>
                      <w:lang w:val="en-US" w:eastAsia="zh-CN"/>
                    </w:rPr>
                  </w:pPr>
                  <w:r>
                    <w:rPr>
                      <w:rFonts w:hint="eastAsia"/>
                      <w:color w:val="auto"/>
                      <w:szCs w:val="21"/>
                      <w:lang w:val="en-US" w:eastAsia="zh-CN"/>
                    </w:rPr>
                    <w:t>0.267</w:t>
                  </w:r>
                </w:p>
              </w:tc>
              <w:tc>
                <w:tcPr>
                  <w:tcW w:w="10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eastAsia="宋体"/>
                      <w:color w:val="auto"/>
                      <w:szCs w:val="21"/>
                      <w:lang w:val="en-US" w:eastAsia="zh-CN"/>
                    </w:rPr>
                  </w:pPr>
                  <w:r>
                    <w:rPr>
                      <w:rFonts w:hint="eastAsia"/>
                      <w:color w:val="auto"/>
                      <w:szCs w:val="21"/>
                      <w:lang w:val="en-US" w:eastAsia="zh-CN"/>
                    </w:rPr>
                    <w:t>80</w:t>
                  </w:r>
                </w:p>
              </w:tc>
              <w:tc>
                <w:tcPr>
                  <w:tcW w:w="1171" w:type="dxa"/>
                  <w:tcBorders>
                    <w:top w:val="single" w:color="auto" w:sz="4" w:space="0"/>
                    <w:left w:val="single" w:color="auto" w:sz="4" w:space="0"/>
                    <w:bottom w:val="single" w:color="auto" w:sz="4" w:space="0"/>
                    <w:right w:val="nil"/>
                  </w:tcBorders>
                  <w:vAlign w:val="center"/>
                </w:tcPr>
                <w:p>
                  <w:pPr>
                    <w:widowControl/>
                    <w:jc w:val="center"/>
                    <w:textAlignment w:val="center"/>
                    <w:rPr>
                      <w:rFonts w:hint="default"/>
                      <w:color w:val="auto"/>
                      <w:kern w:val="0"/>
                      <w:szCs w:val="21"/>
                      <w:lang w:val="en-US" w:bidi="ar"/>
                    </w:rPr>
                  </w:pPr>
                  <w:r>
                    <w:rPr>
                      <w:rFonts w:hint="eastAsia" w:cs="Times New Roman"/>
                      <w:i w:val="0"/>
                      <w:iCs w:val="0"/>
                      <w:color w:val="auto"/>
                      <w:kern w:val="0"/>
                      <w:sz w:val="21"/>
                      <w:szCs w:val="21"/>
                      <w:u w:val="none"/>
                      <w:lang w:val="en-US" w:eastAsia="zh-CN" w:bidi="ar"/>
                    </w:rPr>
                    <w:t>0.267</w:t>
                  </w:r>
                </w:p>
              </w:tc>
              <w:tc>
                <w:tcPr>
                  <w:tcW w:w="1022" w:type="dxa"/>
                  <w:tcBorders>
                    <w:top w:val="single" w:color="auto" w:sz="4" w:space="0"/>
                    <w:left w:val="single" w:color="auto" w:sz="4" w:space="0"/>
                    <w:bottom w:val="single" w:color="auto" w:sz="4" w:space="0"/>
                    <w:right w:val="nil"/>
                  </w:tcBorders>
                  <w:vAlign w:val="center"/>
                </w:tcPr>
                <w:p>
                  <w:pPr>
                    <w:widowControl/>
                    <w:jc w:val="center"/>
                    <w:textAlignment w:val="center"/>
                    <w:rPr>
                      <w:rFonts w:hint="default" w:eastAsia="宋体"/>
                      <w:color w:val="auto"/>
                      <w:kern w:val="0"/>
                      <w:szCs w:val="21"/>
                      <w:lang w:val="en-US" w:eastAsia="zh-CN" w:bidi="ar"/>
                    </w:rPr>
                  </w:pPr>
                  <w:r>
                    <w:rPr>
                      <w:rFonts w:hint="eastAsia"/>
                      <w:color w:val="auto"/>
                      <w:kern w:val="0"/>
                      <w:szCs w:val="21"/>
                      <w:lang w:val="en-US" w:eastAsia="zh-CN" w:bidi="ar"/>
                    </w:rPr>
                    <w:t>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dxa"/>
                  <w:tcBorders>
                    <w:top w:val="single" w:color="auto" w:sz="4" w:space="0"/>
                    <w:left w:val="nil"/>
                    <w:bottom w:val="single" w:color="auto" w:sz="4" w:space="0"/>
                    <w:right w:val="single" w:color="auto" w:sz="4" w:space="0"/>
                  </w:tcBorders>
                  <w:vAlign w:val="center"/>
                </w:tcPr>
                <w:p>
                  <w:pPr>
                    <w:jc w:val="center"/>
                    <w:rPr>
                      <w:rFonts w:hint="eastAsia" w:eastAsia="宋体"/>
                      <w:color w:val="auto"/>
                      <w:szCs w:val="21"/>
                      <w:lang w:eastAsia="zh-CN"/>
                    </w:rPr>
                  </w:pPr>
                  <w:r>
                    <w:rPr>
                      <w:rFonts w:hint="eastAsia"/>
                      <w:color w:val="auto"/>
                      <w:szCs w:val="21"/>
                      <w:lang w:val="en-US" w:eastAsia="zh-CN"/>
                    </w:rPr>
                    <w:t>3</w:t>
                  </w:r>
                </w:p>
              </w:tc>
              <w:tc>
                <w:tcPr>
                  <w:tcW w:w="1551" w:type="dxa"/>
                  <w:tcBorders>
                    <w:top w:val="single" w:color="auto" w:sz="4" w:space="0"/>
                    <w:left w:val="single" w:color="auto" w:sz="4" w:space="0"/>
                    <w:right w:val="single" w:color="auto" w:sz="4" w:space="0"/>
                  </w:tcBorders>
                  <w:vAlign w:val="center"/>
                </w:tcPr>
                <w:p>
                  <w:pPr>
                    <w:jc w:val="center"/>
                    <w:rPr>
                      <w:color w:val="auto"/>
                      <w:szCs w:val="21"/>
                    </w:rPr>
                  </w:pPr>
                  <w:r>
                    <w:rPr>
                      <w:color w:val="auto"/>
                      <w:szCs w:val="21"/>
                    </w:rPr>
                    <w:t>生活用水</w:t>
                  </w:r>
                </w:p>
              </w:tc>
              <w:tc>
                <w:tcPr>
                  <w:tcW w:w="878" w:type="dxa"/>
                  <w:tcBorders>
                    <w:top w:val="single" w:color="auto" w:sz="4" w:space="0"/>
                    <w:left w:val="single" w:color="auto" w:sz="4" w:space="0"/>
                    <w:right w:val="single" w:color="auto" w:sz="4" w:space="0"/>
                  </w:tcBorders>
                  <w:vAlign w:val="center"/>
                </w:tcPr>
                <w:p>
                  <w:pPr>
                    <w:jc w:val="center"/>
                    <w:rPr>
                      <w:color w:val="auto"/>
                      <w:szCs w:val="21"/>
                    </w:rPr>
                  </w:pPr>
                  <w:r>
                    <w:rPr>
                      <w:rFonts w:hint="eastAsia"/>
                      <w:color w:val="auto"/>
                      <w:szCs w:val="21"/>
                    </w:rPr>
                    <w:t>4</w:t>
                  </w:r>
                  <w:r>
                    <w:rPr>
                      <w:color w:val="auto"/>
                      <w:szCs w:val="21"/>
                    </w:rPr>
                    <w:t>人</w:t>
                  </w:r>
                </w:p>
              </w:tc>
              <w:tc>
                <w:tcPr>
                  <w:tcW w:w="1215" w:type="dxa"/>
                  <w:tcBorders>
                    <w:top w:val="single" w:color="auto" w:sz="4" w:space="0"/>
                    <w:left w:val="single" w:color="auto" w:sz="4" w:space="0"/>
                    <w:right w:val="single" w:color="auto" w:sz="4" w:space="0"/>
                  </w:tcBorders>
                  <w:vAlign w:val="center"/>
                </w:tcPr>
                <w:p>
                  <w:pPr>
                    <w:jc w:val="center"/>
                    <w:rPr>
                      <w:color w:val="auto"/>
                      <w:szCs w:val="21"/>
                    </w:rPr>
                  </w:pPr>
                  <w:r>
                    <w:rPr>
                      <w:rFonts w:hint="eastAsia"/>
                      <w:color w:val="auto"/>
                      <w:szCs w:val="21"/>
                    </w:rPr>
                    <w:t>179</w:t>
                  </w:r>
                  <w:r>
                    <w:rPr>
                      <w:color w:val="auto"/>
                      <w:szCs w:val="21"/>
                    </w:rPr>
                    <w:t>L/人·d</w:t>
                  </w:r>
                </w:p>
              </w:tc>
              <w:tc>
                <w:tcPr>
                  <w:tcW w:w="1031" w:type="dxa"/>
                  <w:tcBorders>
                    <w:top w:val="single" w:color="auto" w:sz="4" w:space="0"/>
                    <w:left w:val="single" w:color="auto" w:sz="4" w:space="0"/>
                    <w:right w:val="single" w:color="auto" w:sz="4" w:space="0"/>
                  </w:tcBorders>
                  <w:vAlign w:val="center"/>
                </w:tcPr>
                <w:p>
                  <w:pPr>
                    <w:widowControl/>
                    <w:jc w:val="center"/>
                    <w:textAlignment w:val="center"/>
                    <w:rPr>
                      <w:color w:val="auto"/>
                      <w:szCs w:val="21"/>
                    </w:rPr>
                  </w:pPr>
                  <w:r>
                    <w:rPr>
                      <w:rFonts w:hint="eastAsia"/>
                      <w:color w:val="auto"/>
                      <w:szCs w:val="21"/>
                    </w:rPr>
                    <w:t>0.716</w:t>
                  </w:r>
                </w:p>
              </w:tc>
              <w:tc>
                <w:tcPr>
                  <w:tcW w:w="1019" w:type="dxa"/>
                  <w:tcBorders>
                    <w:top w:val="single" w:color="auto" w:sz="4" w:space="0"/>
                    <w:left w:val="single" w:color="auto" w:sz="4" w:space="0"/>
                    <w:right w:val="single" w:color="auto" w:sz="4" w:space="0"/>
                  </w:tcBorders>
                  <w:vAlign w:val="center"/>
                </w:tcPr>
                <w:p>
                  <w:pPr>
                    <w:widowControl/>
                    <w:jc w:val="center"/>
                    <w:textAlignment w:val="center"/>
                    <w:rPr>
                      <w:color w:val="auto"/>
                      <w:szCs w:val="21"/>
                    </w:rPr>
                  </w:pPr>
                  <w:r>
                    <w:rPr>
                      <w:rFonts w:hint="eastAsia"/>
                      <w:color w:val="auto"/>
                      <w:szCs w:val="21"/>
                    </w:rPr>
                    <w:t>215</w:t>
                  </w:r>
                </w:p>
              </w:tc>
              <w:tc>
                <w:tcPr>
                  <w:tcW w:w="1171" w:type="dxa"/>
                  <w:tcBorders>
                    <w:top w:val="single" w:color="auto" w:sz="4" w:space="0"/>
                    <w:left w:val="single" w:color="auto" w:sz="4" w:space="0"/>
                    <w:right w:val="nil"/>
                  </w:tcBorders>
                  <w:vAlign w:val="center"/>
                </w:tcPr>
                <w:p>
                  <w:pPr>
                    <w:widowControl/>
                    <w:jc w:val="center"/>
                    <w:textAlignment w:val="center"/>
                    <w:rPr>
                      <w:color w:val="auto"/>
                      <w:szCs w:val="21"/>
                    </w:rPr>
                  </w:pPr>
                  <w:r>
                    <w:rPr>
                      <w:rFonts w:hint="eastAsia"/>
                      <w:color w:val="auto"/>
                      <w:szCs w:val="21"/>
                    </w:rPr>
                    <w:t>0.594</w:t>
                  </w:r>
                </w:p>
              </w:tc>
              <w:tc>
                <w:tcPr>
                  <w:tcW w:w="1022" w:type="dxa"/>
                  <w:tcBorders>
                    <w:top w:val="single" w:color="auto" w:sz="4" w:space="0"/>
                    <w:left w:val="single" w:color="auto" w:sz="4" w:space="0"/>
                    <w:right w:val="nil"/>
                  </w:tcBorders>
                  <w:vAlign w:val="center"/>
                </w:tcPr>
                <w:p>
                  <w:pPr>
                    <w:widowControl/>
                    <w:jc w:val="center"/>
                    <w:textAlignment w:val="center"/>
                    <w:rPr>
                      <w:color w:val="auto"/>
                      <w:szCs w:val="21"/>
                    </w:rPr>
                  </w:pPr>
                  <w:r>
                    <w:rPr>
                      <w:rFonts w:hint="eastAsia"/>
                      <w:color w:val="auto"/>
                      <w:szCs w:val="21"/>
                    </w:rPr>
                    <w:t>178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35" w:type="dxa"/>
                  <w:tcBorders>
                    <w:top w:val="single" w:color="auto" w:sz="4" w:space="0"/>
                    <w:left w:val="nil"/>
                    <w:bottom w:val="single" w:color="auto" w:sz="4" w:space="0"/>
                    <w:right w:val="single" w:color="auto" w:sz="4" w:space="0"/>
                  </w:tcBorders>
                  <w:vAlign w:val="center"/>
                </w:tcPr>
                <w:p>
                  <w:pPr>
                    <w:jc w:val="center"/>
                    <w:rPr>
                      <w:rFonts w:hint="eastAsia" w:eastAsia="宋体"/>
                      <w:color w:val="auto"/>
                      <w:szCs w:val="21"/>
                      <w:lang w:eastAsia="zh-CN"/>
                    </w:rPr>
                  </w:pPr>
                  <w:r>
                    <w:rPr>
                      <w:rFonts w:hint="eastAsia"/>
                      <w:color w:val="auto"/>
                      <w:szCs w:val="21"/>
                      <w:lang w:val="en-US" w:eastAsia="zh-CN"/>
                    </w:rPr>
                    <w:t>4</w:t>
                  </w:r>
                </w:p>
              </w:tc>
              <w:tc>
                <w:tcPr>
                  <w:tcW w:w="1551" w:type="dxa"/>
                  <w:tcBorders>
                    <w:left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食堂用水</w:t>
                  </w:r>
                </w:p>
              </w:tc>
              <w:tc>
                <w:tcPr>
                  <w:tcW w:w="878"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4</w:t>
                  </w:r>
                  <w:r>
                    <w:rPr>
                      <w:color w:val="auto"/>
                      <w:szCs w:val="21"/>
                      <w:highlight w:val="none"/>
                    </w:rPr>
                    <w:t>人</w:t>
                  </w:r>
                  <w:r>
                    <w:rPr>
                      <w:rFonts w:hint="eastAsia"/>
                      <w:color w:val="auto"/>
                      <w:szCs w:val="21"/>
                      <w:highlight w:val="none"/>
                    </w:rPr>
                    <w:t>次</w:t>
                  </w:r>
                </w:p>
              </w:tc>
              <w:tc>
                <w:tcPr>
                  <w:tcW w:w="121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lang w:val="en-US" w:eastAsia="zh-CN"/>
                    </w:rPr>
                    <w:t>50</w:t>
                  </w:r>
                  <w:r>
                    <w:rPr>
                      <w:color w:val="auto"/>
                      <w:szCs w:val="21"/>
                      <w:highlight w:val="none"/>
                    </w:rPr>
                    <w:t>L/人</w:t>
                  </w:r>
                  <w:r>
                    <w:rPr>
                      <w:rFonts w:hint="eastAsia"/>
                      <w:color w:val="auto"/>
                      <w:szCs w:val="21"/>
                      <w:highlight w:val="none"/>
                    </w:rPr>
                    <w:t>次</w:t>
                  </w:r>
                  <w:r>
                    <w:rPr>
                      <w:color w:val="auto"/>
                      <w:szCs w:val="21"/>
                      <w:highlight w:val="none"/>
                    </w:rPr>
                    <w:t>·d</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0.200</w:t>
                  </w:r>
                </w:p>
              </w:tc>
              <w:tc>
                <w:tcPr>
                  <w:tcW w:w="10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60</w:t>
                  </w:r>
                </w:p>
              </w:tc>
              <w:tc>
                <w:tcPr>
                  <w:tcW w:w="1171" w:type="dxa"/>
                  <w:tcBorders>
                    <w:top w:val="single" w:color="auto" w:sz="4" w:space="0"/>
                    <w:left w:val="single" w:color="auto" w:sz="4" w:space="0"/>
                    <w:bottom w:val="single" w:color="auto" w:sz="4" w:space="0"/>
                    <w:right w:val="nil"/>
                  </w:tcBorders>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rPr>
                    <w:t>0.</w:t>
                  </w:r>
                  <w:r>
                    <w:rPr>
                      <w:rFonts w:hint="eastAsia"/>
                      <w:color w:val="auto"/>
                      <w:szCs w:val="21"/>
                      <w:highlight w:val="none"/>
                      <w:lang w:val="en-US" w:eastAsia="zh-CN"/>
                    </w:rPr>
                    <w:t>166</w:t>
                  </w:r>
                </w:p>
              </w:tc>
              <w:tc>
                <w:tcPr>
                  <w:tcW w:w="1022" w:type="dxa"/>
                  <w:tcBorders>
                    <w:top w:val="single" w:color="auto" w:sz="4" w:space="0"/>
                    <w:left w:val="single" w:color="auto" w:sz="4" w:space="0"/>
                    <w:bottom w:val="single" w:color="auto" w:sz="4" w:space="0"/>
                    <w:right w:val="nil"/>
                  </w:tcBorders>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35" w:type="dxa"/>
                  <w:tcBorders>
                    <w:top w:val="single" w:color="auto" w:sz="4" w:space="0"/>
                    <w:left w:val="nil"/>
                    <w:bottom w:val="single" w:color="auto" w:sz="4" w:space="0"/>
                    <w:right w:val="single" w:color="auto" w:sz="4" w:space="0"/>
                  </w:tcBorders>
                  <w:vAlign w:val="center"/>
                </w:tcPr>
                <w:p>
                  <w:pPr>
                    <w:jc w:val="center"/>
                    <w:rPr>
                      <w:rFonts w:hint="eastAsia" w:eastAsia="宋体"/>
                      <w:color w:val="auto"/>
                      <w:szCs w:val="21"/>
                      <w:lang w:eastAsia="zh-CN"/>
                    </w:rPr>
                  </w:pPr>
                  <w:r>
                    <w:rPr>
                      <w:rFonts w:hint="eastAsia"/>
                      <w:color w:val="auto"/>
                      <w:szCs w:val="21"/>
                      <w:lang w:val="en-US" w:eastAsia="zh-CN"/>
                    </w:rPr>
                    <w:t>5</w:t>
                  </w:r>
                </w:p>
              </w:tc>
              <w:tc>
                <w:tcPr>
                  <w:tcW w:w="3644" w:type="dxa"/>
                  <w:gridSpan w:val="3"/>
                  <w:tcBorders>
                    <w:top w:val="single" w:color="auto" w:sz="4" w:space="0"/>
                    <w:left w:val="single" w:color="auto" w:sz="4" w:space="0"/>
                    <w:bottom w:val="single" w:color="auto" w:sz="4" w:space="0"/>
                    <w:right w:val="single" w:color="auto" w:sz="4" w:space="0"/>
                  </w:tcBorders>
                  <w:vAlign w:val="center"/>
                </w:tcPr>
                <w:p>
                  <w:pPr>
                    <w:jc w:val="center"/>
                    <w:rPr>
                      <w:color w:val="auto"/>
                      <w:szCs w:val="21"/>
                    </w:rPr>
                  </w:pPr>
                  <w:r>
                    <w:rPr>
                      <w:color w:val="auto"/>
                      <w:szCs w:val="21"/>
                    </w:rPr>
                    <w:t>合计</w:t>
                  </w:r>
                </w:p>
              </w:tc>
              <w:tc>
                <w:tcPr>
                  <w:tcW w:w="10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eastAsia="宋体"/>
                      <w:color w:val="auto"/>
                      <w:szCs w:val="21"/>
                      <w:lang w:val="en-US" w:eastAsia="zh-CN"/>
                    </w:rPr>
                  </w:pPr>
                  <w:r>
                    <w:rPr>
                      <w:rFonts w:hint="eastAsia"/>
                      <w:color w:val="auto"/>
                      <w:szCs w:val="21"/>
                      <w:lang w:val="en-US" w:eastAsia="zh-CN"/>
                    </w:rPr>
                    <w:t>1.983</w:t>
                  </w:r>
                </w:p>
              </w:tc>
              <w:tc>
                <w:tcPr>
                  <w:tcW w:w="101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eastAsia="宋体"/>
                      <w:color w:val="auto"/>
                      <w:szCs w:val="21"/>
                      <w:lang w:val="en-US" w:eastAsia="zh-CN"/>
                    </w:rPr>
                  </w:pPr>
                  <w:r>
                    <w:rPr>
                      <w:rFonts w:hint="eastAsia"/>
                      <w:color w:val="auto"/>
                      <w:szCs w:val="21"/>
                      <w:lang w:val="en-US" w:eastAsia="zh-CN"/>
                    </w:rPr>
                    <w:t>595</w:t>
                  </w:r>
                </w:p>
              </w:tc>
              <w:tc>
                <w:tcPr>
                  <w:tcW w:w="1171" w:type="dxa"/>
                  <w:tcBorders>
                    <w:top w:val="single" w:color="auto" w:sz="4" w:space="0"/>
                    <w:left w:val="single" w:color="auto" w:sz="4" w:space="0"/>
                    <w:bottom w:val="single" w:color="auto" w:sz="4" w:space="0"/>
                    <w:right w:val="nil"/>
                  </w:tcBorders>
                  <w:vAlign w:val="center"/>
                </w:tcPr>
                <w:p>
                  <w:pPr>
                    <w:widowControl/>
                    <w:jc w:val="center"/>
                    <w:textAlignment w:val="center"/>
                    <w:rPr>
                      <w:rFonts w:hint="default" w:eastAsia="宋体"/>
                      <w:color w:val="auto"/>
                      <w:szCs w:val="21"/>
                      <w:lang w:val="en-US" w:eastAsia="zh-CN"/>
                    </w:rPr>
                  </w:pPr>
                  <w:r>
                    <w:rPr>
                      <w:rFonts w:hint="eastAsia"/>
                      <w:color w:val="auto"/>
                      <w:szCs w:val="21"/>
                      <w:lang w:val="en-US" w:eastAsia="zh-CN"/>
                    </w:rPr>
                    <w:t>1.027</w:t>
                  </w:r>
                </w:p>
              </w:tc>
              <w:tc>
                <w:tcPr>
                  <w:tcW w:w="1022" w:type="dxa"/>
                  <w:tcBorders>
                    <w:top w:val="single" w:color="auto" w:sz="4" w:space="0"/>
                    <w:left w:val="single" w:color="auto" w:sz="4" w:space="0"/>
                    <w:bottom w:val="single" w:color="auto" w:sz="4" w:space="0"/>
                    <w:right w:val="nil"/>
                  </w:tcBorders>
                  <w:vAlign w:val="center"/>
                </w:tcPr>
                <w:p>
                  <w:pPr>
                    <w:widowControl/>
                    <w:jc w:val="center"/>
                    <w:textAlignment w:val="center"/>
                    <w:rPr>
                      <w:rFonts w:hint="default" w:eastAsia="宋体"/>
                      <w:color w:val="auto"/>
                      <w:szCs w:val="21"/>
                      <w:lang w:val="en-US" w:eastAsia="zh-CN"/>
                    </w:rPr>
                  </w:pPr>
                  <w:r>
                    <w:rPr>
                      <w:rFonts w:hint="eastAsia"/>
                      <w:color w:val="auto"/>
                      <w:szCs w:val="21"/>
                      <w:lang w:val="en-US" w:eastAsia="zh-CN"/>
                    </w:rPr>
                    <w:t>308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35" w:type="dxa"/>
                  <w:tcBorders>
                    <w:top w:val="single" w:color="auto" w:sz="4" w:space="0"/>
                    <w:left w:val="nil"/>
                    <w:bottom w:val="single" w:color="auto" w:sz="4" w:space="0"/>
                    <w:right w:val="single" w:color="auto" w:sz="4" w:space="0"/>
                  </w:tcBorders>
                  <w:vAlign w:val="center"/>
                </w:tcPr>
                <w:p>
                  <w:pPr>
                    <w:jc w:val="center"/>
                    <w:rPr>
                      <w:rFonts w:hint="eastAsia" w:eastAsia="宋体"/>
                      <w:color w:val="auto"/>
                      <w:lang w:eastAsia="zh-CN"/>
                    </w:rPr>
                  </w:pPr>
                  <w:r>
                    <w:rPr>
                      <w:rFonts w:hint="eastAsia"/>
                      <w:color w:val="auto"/>
                      <w:lang w:val="en-US" w:eastAsia="zh-CN"/>
                    </w:rPr>
                    <w:t>6</w:t>
                  </w:r>
                </w:p>
              </w:tc>
              <w:tc>
                <w:tcPr>
                  <w:tcW w:w="7887" w:type="dxa"/>
                  <w:gridSpan w:val="7"/>
                  <w:tcBorders>
                    <w:top w:val="single" w:color="auto" w:sz="4" w:space="0"/>
                    <w:left w:val="single" w:color="auto" w:sz="4" w:space="0"/>
                    <w:bottom w:val="single" w:color="auto" w:sz="4" w:space="0"/>
                    <w:right w:val="nil"/>
                  </w:tcBorders>
                  <w:vAlign w:val="center"/>
                </w:tcPr>
                <w:p>
                  <w:pPr>
                    <w:rPr>
                      <w:rFonts w:hint="default" w:eastAsia="宋体"/>
                      <w:color w:val="auto"/>
                      <w:lang w:val="en-US" w:eastAsia="zh-CN"/>
                    </w:rPr>
                  </w:pPr>
                  <w:r>
                    <w:rPr>
                      <w:rFonts w:hint="eastAsia"/>
                      <w:color w:val="auto"/>
                    </w:rPr>
                    <w:t>备注：生活污水、食堂废水折污系数0.83</w:t>
                  </w:r>
                  <w:r>
                    <w:rPr>
                      <w:rFonts w:hint="eastAsia"/>
                      <w:color w:val="auto"/>
                      <w:lang w:val="en-US" w:eastAsia="zh-CN"/>
                    </w:rPr>
                    <w:t>;本项目利用现有生产厂房进行扩建，生产厂房地面清洁用水现有工程已做核算，因此本评价不考虑厂房地面清洁用水</w:t>
                  </w:r>
                </w:p>
              </w:tc>
            </w:tr>
          </w:tbl>
          <w:p>
            <w:pPr>
              <w:snapToGrid w:val="0"/>
              <w:spacing w:line="360" w:lineRule="auto"/>
              <w:jc w:val="center"/>
              <w:rPr>
                <w:color w:val="auto"/>
                <w:sz w:val="24"/>
              </w:rPr>
            </w:pPr>
            <w:r>
              <w:rPr>
                <w:color w:val="auto"/>
                <w:sz w:val="24"/>
              </w:rPr>
              <w:object>
                <v:shape id="_x0000_i1025" o:spt="75" type="#_x0000_t75" style="height:166.1pt;width:345.4pt;" o:ole="t" filled="f" o:preferrelative="t" stroked="f" coordsize="21600,21600">
                  <v:path/>
                  <v:fill on="f" focussize="0,0"/>
                  <v:stroke on="f"/>
                  <v:imagedata r:id="rId9" o:title=""/>
                  <o:lock v:ext="edit" aspectratio="f"/>
                  <w10:wrap type="none"/>
                  <w10:anchorlock/>
                </v:shape>
                <o:OLEObject Type="Embed" ProgID="Visio.Drawing.11" ShapeID="_x0000_i1025" DrawAspect="Content" ObjectID="_1468075725" r:id="rId8">
                  <o:LockedField>false</o:LockedField>
                </o:OLEObject>
              </w:object>
            </w:r>
          </w:p>
          <w:p>
            <w:pPr>
              <w:pStyle w:val="2"/>
              <w:jc w:val="center"/>
              <w:rPr>
                <w:rFonts w:ascii="Times New Roman" w:cs="Times New Roman"/>
                <w:color w:val="auto"/>
              </w:rPr>
            </w:pPr>
            <w:r>
              <w:rPr>
                <w:rFonts w:ascii="Times New Roman" w:cs="Times New Roman"/>
                <w:color w:val="auto"/>
              </w:rPr>
              <w:t xml:space="preserve">图2.1 </w:t>
            </w:r>
            <w:r>
              <w:rPr>
                <w:rFonts w:hint="eastAsia" w:ascii="Times New Roman" w:hAnsi="Times New Roman" w:cs="Times New Roman"/>
                <w:color w:val="auto"/>
                <w:sz w:val="24"/>
                <w:szCs w:val="24"/>
                <w:lang w:eastAsia="zh-CN"/>
              </w:rPr>
              <w:t>扩建项目</w:t>
            </w:r>
            <w:r>
              <w:rPr>
                <w:rFonts w:ascii="Times New Roman" w:cs="Times New Roman"/>
                <w:color w:val="auto"/>
              </w:rPr>
              <w:t>水平衡图（m</w:t>
            </w:r>
            <w:r>
              <w:rPr>
                <w:rFonts w:ascii="Times New Roman" w:cs="Times New Roman"/>
                <w:color w:val="auto"/>
                <w:vertAlign w:val="superscript"/>
              </w:rPr>
              <w:t>3</w:t>
            </w:r>
            <w:r>
              <w:rPr>
                <w:rFonts w:ascii="Times New Roman" w:cs="Times New Roman"/>
                <w:color w:val="auto"/>
              </w:rPr>
              <w:t>/d）</w:t>
            </w:r>
          </w:p>
          <w:p>
            <w:pPr>
              <w:pStyle w:val="2"/>
              <w:snapToGrid w:val="0"/>
              <w:ind w:firstLine="480" w:firstLineChars="200"/>
              <w:rPr>
                <w:rFonts w:ascii="Times New Roman" w:cs="Times New Roman"/>
                <w:color w:val="auto"/>
              </w:rPr>
            </w:pPr>
            <w:r>
              <w:rPr>
                <w:rFonts w:ascii="Times New Roman" w:cs="Times New Roman"/>
                <w:color w:val="auto"/>
              </w:rPr>
              <w:t>（</w:t>
            </w:r>
            <w:r>
              <w:rPr>
                <w:rFonts w:hint="eastAsia" w:ascii="Times New Roman" w:cs="Times New Roman"/>
                <w:color w:val="auto"/>
              </w:rPr>
              <w:t>3</w:t>
            </w:r>
            <w:r>
              <w:rPr>
                <w:rFonts w:ascii="Times New Roman" w:cs="Times New Roman"/>
                <w:color w:val="auto"/>
              </w:rPr>
              <w:t>）本项目主要原辅材料用量</w:t>
            </w:r>
          </w:p>
          <w:p>
            <w:pPr>
              <w:spacing w:line="360" w:lineRule="auto"/>
              <w:ind w:firstLine="480"/>
              <w:rPr>
                <w:color w:val="auto"/>
                <w:sz w:val="24"/>
              </w:rPr>
            </w:pPr>
            <w:r>
              <w:rPr>
                <w:rFonts w:hint="eastAsia" w:ascii="Times New Roman" w:hAnsi="Times New Roman" w:cs="Times New Roman"/>
                <w:color w:val="auto"/>
                <w:sz w:val="24"/>
                <w:szCs w:val="24"/>
                <w:lang w:eastAsia="zh-CN"/>
              </w:rPr>
              <w:t>扩建项目</w:t>
            </w:r>
            <w:r>
              <w:rPr>
                <w:color w:val="auto"/>
                <w:sz w:val="24"/>
                <w:shd w:val="clear" w:color="auto" w:fill="FFFFFF"/>
              </w:rPr>
              <w:t>主要生产</w:t>
            </w:r>
            <w:r>
              <w:rPr>
                <w:color w:val="auto"/>
                <w:kern w:val="0"/>
                <w:sz w:val="24"/>
              </w:rPr>
              <w:t>拉幅定型无纺布</w:t>
            </w:r>
            <w:r>
              <w:rPr>
                <w:rFonts w:hint="eastAsia"/>
                <w:color w:val="auto"/>
                <w:kern w:val="0"/>
                <w:sz w:val="24"/>
              </w:rPr>
              <w:t>、</w:t>
            </w:r>
            <w:r>
              <w:rPr>
                <w:color w:val="auto"/>
                <w:sz w:val="24"/>
              </w:rPr>
              <w:t>淋膜无纺布，其原辅材料用量见表2.</w:t>
            </w:r>
            <w:r>
              <w:rPr>
                <w:rFonts w:hint="eastAsia"/>
                <w:color w:val="auto"/>
                <w:sz w:val="24"/>
                <w:lang w:val="en-US" w:eastAsia="zh-CN"/>
              </w:rPr>
              <w:t>9</w:t>
            </w:r>
            <w:r>
              <w:rPr>
                <w:color w:val="auto"/>
                <w:sz w:val="24"/>
              </w:rPr>
              <w:t>。</w:t>
            </w:r>
          </w:p>
          <w:p>
            <w:pPr>
              <w:pStyle w:val="2"/>
              <w:snapToGrid w:val="0"/>
              <w:jc w:val="center"/>
              <w:rPr>
                <w:rFonts w:ascii="Times New Roman" w:cs="Times New Roman"/>
                <w:color w:val="auto"/>
                <w:sz w:val="21"/>
                <w:szCs w:val="21"/>
              </w:rPr>
            </w:pPr>
            <w:r>
              <w:rPr>
                <w:rFonts w:ascii="Times New Roman" w:cs="Times New Roman"/>
                <w:color w:val="auto"/>
                <w:sz w:val="21"/>
                <w:szCs w:val="21"/>
              </w:rPr>
              <w:t>表2.</w:t>
            </w:r>
            <w:r>
              <w:rPr>
                <w:rFonts w:hint="eastAsia" w:ascii="Times New Roman" w:cs="Times New Roman"/>
                <w:color w:val="auto"/>
                <w:sz w:val="21"/>
                <w:szCs w:val="21"/>
                <w:lang w:val="en-US" w:eastAsia="zh-CN"/>
              </w:rPr>
              <w:t>9</w:t>
            </w:r>
            <w:r>
              <w:rPr>
                <w:rFonts w:ascii="Times New Roman" w:cs="Times New Roman"/>
                <w:color w:val="auto"/>
                <w:sz w:val="21"/>
                <w:szCs w:val="21"/>
              </w:rPr>
              <w:t xml:space="preserve"> 主要原辅材料用量一览表</w:t>
            </w:r>
          </w:p>
          <w:tbl>
            <w:tblPr>
              <w:tblStyle w:val="22"/>
              <w:tblW w:w="5000" w:type="pct"/>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19"/>
              <w:gridCol w:w="1743"/>
              <w:gridCol w:w="800"/>
              <w:gridCol w:w="848"/>
              <w:gridCol w:w="2393"/>
              <w:gridCol w:w="2063"/>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PrEx>
              <w:trPr>
                <w:trHeight w:val="270" w:hRule="atLeast"/>
                <w:tblHeader/>
                <w:jc w:val="center"/>
              </w:trPr>
              <w:tc>
                <w:tcPr>
                  <w:tcW w:w="310" w:type="pct"/>
                  <w:vAlign w:val="center"/>
                </w:tcPr>
                <w:p>
                  <w:pPr>
                    <w:widowControl/>
                    <w:jc w:val="center"/>
                    <w:rPr>
                      <w:color w:val="auto"/>
                    </w:rPr>
                  </w:pPr>
                  <w:r>
                    <w:rPr>
                      <w:color w:val="auto"/>
                    </w:rPr>
                    <w:t>序号</w:t>
                  </w:r>
                </w:p>
              </w:tc>
              <w:tc>
                <w:tcPr>
                  <w:tcW w:w="1042" w:type="pct"/>
                  <w:vAlign w:val="center"/>
                </w:tcPr>
                <w:p>
                  <w:pPr>
                    <w:widowControl/>
                    <w:jc w:val="center"/>
                    <w:rPr>
                      <w:color w:val="auto"/>
                    </w:rPr>
                  </w:pPr>
                  <w:r>
                    <w:rPr>
                      <w:color w:val="auto"/>
                    </w:rPr>
                    <w:t>材料名称</w:t>
                  </w:r>
                </w:p>
              </w:tc>
              <w:tc>
                <w:tcPr>
                  <w:tcW w:w="478" w:type="pct"/>
                  <w:vAlign w:val="center"/>
                </w:tcPr>
                <w:p>
                  <w:pPr>
                    <w:widowControl/>
                    <w:jc w:val="center"/>
                    <w:rPr>
                      <w:color w:val="auto"/>
                    </w:rPr>
                  </w:pPr>
                  <w:r>
                    <w:rPr>
                      <w:color w:val="auto"/>
                    </w:rPr>
                    <w:t>单位</w:t>
                  </w:r>
                </w:p>
              </w:tc>
              <w:tc>
                <w:tcPr>
                  <w:tcW w:w="507" w:type="pct"/>
                  <w:tcBorders>
                    <w:right w:val="single" w:color="auto" w:sz="4" w:space="0"/>
                  </w:tcBorders>
                  <w:vAlign w:val="center"/>
                </w:tcPr>
                <w:p>
                  <w:pPr>
                    <w:widowControl/>
                    <w:jc w:val="center"/>
                    <w:rPr>
                      <w:color w:val="auto"/>
                    </w:rPr>
                  </w:pPr>
                  <w:r>
                    <w:rPr>
                      <w:color w:val="auto"/>
                    </w:rPr>
                    <w:t>年用量</w:t>
                  </w:r>
                </w:p>
              </w:tc>
              <w:tc>
                <w:tcPr>
                  <w:tcW w:w="1430" w:type="pct"/>
                  <w:tcBorders>
                    <w:right w:val="single" w:color="auto" w:sz="4" w:space="0"/>
                  </w:tcBorders>
                  <w:vAlign w:val="center"/>
                </w:tcPr>
                <w:p>
                  <w:pPr>
                    <w:widowControl/>
                    <w:jc w:val="center"/>
                    <w:rPr>
                      <w:color w:val="auto"/>
                    </w:rPr>
                  </w:pPr>
                  <w:r>
                    <w:rPr>
                      <w:color w:val="auto"/>
                    </w:rPr>
                    <w:t>其它信息</w:t>
                  </w:r>
                </w:p>
              </w:tc>
              <w:tc>
                <w:tcPr>
                  <w:tcW w:w="1231" w:type="pct"/>
                  <w:tcBorders>
                    <w:left w:val="single" w:color="auto" w:sz="4" w:space="0"/>
                  </w:tcBorders>
                  <w:vAlign w:val="center"/>
                </w:tcPr>
                <w:p>
                  <w:pPr>
                    <w:widowControl/>
                    <w:jc w:val="center"/>
                    <w:rPr>
                      <w:color w:val="auto"/>
                    </w:rPr>
                  </w:pPr>
                  <w:r>
                    <w:rPr>
                      <w:color w:val="auto"/>
                    </w:rPr>
                    <w:t>污染排放</w:t>
                  </w:r>
                </w:p>
                <w:p>
                  <w:pPr>
                    <w:widowControl/>
                    <w:jc w:val="center"/>
                    <w:rPr>
                      <w:color w:val="auto"/>
                    </w:rPr>
                  </w:pPr>
                  <w:r>
                    <w:rPr>
                      <w:color w:val="auto"/>
                    </w:rPr>
                    <w:t>有关的物质</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tblHeader/>
                <w:jc w:val="center"/>
              </w:trPr>
              <w:tc>
                <w:tcPr>
                  <w:tcW w:w="5000" w:type="pct"/>
                  <w:gridSpan w:val="6"/>
                  <w:vAlign w:val="center"/>
                </w:tcPr>
                <w:p>
                  <w:pPr>
                    <w:widowControl/>
                    <w:rPr>
                      <w:color w:val="auto"/>
                    </w:rPr>
                  </w:pPr>
                  <w:r>
                    <w:rPr>
                      <w:color w:val="auto"/>
                    </w:rPr>
                    <w:t>主要原材料</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10" w:type="pct"/>
                  <w:vAlign w:val="center"/>
                </w:tcPr>
                <w:p>
                  <w:pPr>
                    <w:widowControl/>
                    <w:jc w:val="center"/>
                    <w:rPr>
                      <w:color w:val="auto"/>
                    </w:rPr>
                  </w:pPr>
                  <w:r>
                    <w:rPr>
                      <w:rFonts w:hint="eastAsia"/>
                      <w:color w:val="auto"/>
                    </w:rPr>
                    <w:t>1</w:t>
                  </w:r>
                </w:p>
              </w:tc>
              <w:tc>
                <w:tcPr>
                  <w:tcW w:w="1042" w:type="pct"/>
                  <w:vAlign w:val="center"/>
                </w:tcPr>
                <w:p>
                  <w:pPr>
                    <w:widowControl/>
                    <w:jc w:val="center"/>
                    <w:rPr>
                      <w:color w:val="auto"/>
                    </w:rPr>
                  </w:pPr>
                  <w:r>
                    <w:rPr>
                      <w:rFonts w:hint="eastAsia"/>
                      <w:color w:val="auto"/>
                      <w:highlight w:val="none"/>
                    </w:rPr>
                    <w:t>无纺布</w:t>
                  </w:r>
                </w:p>
              </w:tc>
              <w:tc>
                <w:tcPr>
                  <w:tcW w:w="478" w:type="pct"/>
                  <w:vAlign w:val="center"/>
                </w:tcPr>
                <w:p>
                  <w:pPr>
                    <w:widowControl/>
                    <w:jc w:val="center"/>
                    <w:rPr>
                      <w:color w:val="auto"/>
                    </w:rPr>
                  </w:pPr>
                  <w:r>
                    <w:rPr>
                      <w:rFonts w:hint="eastAsia"/>
                      <w:color w:val="auto"/>
                    </w:rPr>
                    <w:t>卷</w:t>
                  </w:r>
                  <w:r>
                    <w:rPr>
                      <w:color w:val="auto"/>
                    </w:rPr>
                    <w:t>/a</w:t>
                  </w:r>
                </w:p>
              </w:tc>
              <w:tc>
                <w:tcPr>
                  <w:tcW w:w="507" w:type="pct"/>
                  <w:tcBorders>
                    <w:right w:val="single" w:color="auto" w:sz="4" w:space="0"/>
                  </w:tcBorders>
                  <w:vAlign w:val="center"/>
                </w:tcPr>
                <w:p>
                  <w:pPr>
                    <w:widowControl/>
                    <w:jc w:val="center"/>
                    <w:rPr>
                      <w:color w:val="auto"/>
                    </w:rPr>
                  </w:pPr>
                  <w:r>
                    <w:rPr>
                      <w:rFonts w:hint="eastAsia"/>
                      <w:color w:val="auto"/>
                    </w:rPr>
                    <w:t>15000</w:t>
                  </w:r>
                </w:p>
              </w:tc>
              <w:tc>
                <w:tcPr>
                  <w:tcW w:w="1430" w:type="pct"/>
                  <w:tcBorders>
                    <w:right w:val="single" w:color="auto" w:sz="4" w:space="0"/>
                  </w:tcBorders>
                  <w:vAlign w:val="center"/>
                </w:tcPr>
                <w:p>
                  <w:pPr>
                    <w:widowControl/>
                    <w:rPr>
                      <w:rFonts w:hint="eastAsia" w:eastAsia="宋体"/>
                      <w:color w:val="auto"/>
                      <w:szCs w:val="21"/>
                      <w:lang w:eastAsia="zh-CN"/>
                    </w:rPr>
                  </w:pPr>
                  <w:r>
                    <w:rPr>
                      <w:rFonts w:hint="eastAsia"/>
                      <w:color w:val="auto"/>
                      <w:szCs w:val="21"/>
                    </w:rPr>
                    <w:t>规格：1.5</w:t>
                  </w:r>
                  <w:r>
                    <w:rPr>
                      <w:color w:val="auto"/>
                      <w:szCs w:val="21"/>
                    </w:rPr>
                    <w:t>×50m</w:t>
                  </w:r>
                  <w:r>
                    <w:rPr>
                      <w:rFonts w:hint="eastAsia"/>
                      <w:color w:val="auto"/>
                      <w:szCs w:val="21"/>
                    </w:rPr>
                    <w:t>，48kg/卷，</w:t>
                  </w:r>
                  <w:r>
                    <w:rPr>
                      <w:color w:val="auto"/>
                      <w:kern w:val="0"/>
                      <w:szCs w:val="21"/>
                    </w:rPr>
                    <w:t>拉幅定型无纺布</w:t>
                  </w:r>
                  <w:r>
                    <w:rPr>
                      <w:rFonts w:hint="eastAsia"/>
                      <w:color w:val="auto"/>
                      <w:kern w:val="0"/>
                      <w:szCs w:val="21"/>
                    </w:rPr>
                    <w:t>、</w:t>
                  </w:r>
                  <w:r>
                    <w:rPr>
                      <w:color w:val="auto"/>
                      <w:szCs w:val="21"/>
                    </w:rPr>
                    <w:t>淋膜无纺布</w:t>
                  </w:r>
                  <w:r>
                    <w:rPr>
                      <w:rFonts w:hint="eastAsia"/>
                      <w:color w:val="auto"/>
                      <w:szCs w:val="21"/>
                    </w:rPr>
                    <w:t>主要原材料</w:t>
                  </w:r>
                  <w:r>
                    <w:rPr>
                      <w:rFonts w:hint="eastAsia"/>
                      <w:color w:val="auto"/>
                      <w:szCs w:val="21"/>
                      <w:lang w:eastAsia="zh-CN"/>
                    </w:rPr>
                    <w:t>，外购成品</w:t>
                  </w:r>
                </w:p>
              </w:tc>
              <w:tc>
                <w:tcPr>
                  <w:tcW w:w="1231" w:type="pct"/>
                  <w:tcBorders>
                    <w:left w:val="single" w:color="auto" w:sz="4" w:space="0"/>
                  </w:tcBorders>
                  <w:vAlign w:val="center"/>
                </w:tcPr>
                <w:p>
                  <w:pPr>
                    <w:widowControl/>
                    <w:jc w:val="center"/>
                    <w:rPr>
                      <w:color w:val="auto"/>
                    </w:rPr>
                  </w:pPr>
                  <w:r>
                    <w:rPr>
                      <w:rFonts w:hint="eastAsia"/>
                      <w:color w:val="auto"/>
                    </w:rPr>
                    <w:t>/</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10" w:type="pct"/>
                  <w:vAlign w:val="center"/>
                </w:tcPr>
                <w:p>
                  <w:pPr>
                    <w:widowControl/>
                    <w:jc w:val="center"/>
                    <w:rPr>
                      <w:color w:val="auto"/>
                    </w:rPr>
                  </w:pPr>
                  <w:r>
                    <w:rPr>
                      <w:rFonts w:hint="eastAsia"/>
                      <w:color w:val="auto"/>
                    </w:rPr>
                    <w:t>2</w:t>
                  </w:r>
                </w:p>
              </w:tc>
              <w:tc>
                <w:tcPr>
                  <w:tcW w:w="1042" w:type="pct"/>
                  <w:vAlign w:val="center"/>
                </w:tcPr>
                <w:p>
                  <w:pPr>
                    <w:widowControl/>
                    <w:jc w:val="center"/>
                    <w:rPr>
                      <w:color w:val="auto"/>
                      <w:szCs w:val="21"/>
                    </w:rPr>
                  </w:pPr>
                  <w:r>
                    <w:rPr>
                      <w:rFonts w:hint="eastAsia"/>
                      <w:color w:val="auto"/>
                      <w:szCs w:val="21"/>
                      <w:lang w:val="en-US" w:eastAsia="zh-CN"/>
                    </w:rPr>
                    <w:t>PE</w:t>
                  </w:r>
                  <w:r>
                    <w:rPr>
                      <w:rFonts w:hint="eastAsia"/>
                      <w:color w:val="auto"/>
                      <w:szCs w:val="21"/>
                    </w:rPr>
                    <w:t>塑料粒</w:t>
                  </w:r>
                </w:p>
              </w:tc>
              <w:tc>
                <w:tcPr>
                  <w:tcW w:w="478" w:type="pct"/>
                  <w:vAlign w:val="center"/>
                </w:tcPr>
                <w:p>
                  <w:pPr>
                    <w:widowControl/>
                    <w:jc w:val="center"/>
                    <w:rPr>
                      <w:color w:val="auto"/>
                    </w:rPr>
                  </w:pPr>
                  <w:r>
                    <w:rPr>
                      <w:rFonts w:hint="eastAsia"/>
                      <w:color w:val="auto"/>
                    </w:rPr>
                    <w:t>t</w:t>
                  </w:r>
                  <w:r>
                    <w:rPr>
                      <w:color w:val="auto"/>
                    </w:rPr>
                    <w:t>/a</w:t>
                  </w:r>
                </w:p>
              </w:tc>
              <w:tc>
                <w:tcPr>
                  <w:tcW w:w="507" w:type="pct"/>
                  <w:tcBorders>
                    <w:right w:val="single" w:color="auto" w:sz="4" w:space="0"/>
                  </w:tcBorders>
                  <w:vAlign w:val="center"/>
                </w:tcPr>
                <w:p>
                  <w:pPr>
                    <w:widowControl/>
                    <w:jc w:val="center"/>
                    <w:rPr>
                      <w:rFonts w:hint="default" w:eastAsia="宋体"/>
                      <w:color w:val="auto"/>
                      <w:lang w:val="en-US" w:eastAsia="zh-CN"/>
                    </w:rPr>
                  </w:pPr>
                  <w:r>
                    <w:rPr>
                      <w:rFonts w:hint="eastAsia"/>
                      <w:color w:val="auto"/>
                      <w:lang w:val="en-US" w:eastAsia="zh-CN"/>
                    </w:rPr>
                    <w:t>61</w:t>
                  </w:r>
                </w:p>
              </w:tc>
              <w:tc>
                <w:tcPr>
                  <w:tcW w:w="1430" w:type="pct"/>
                  <w:tcBorders>
                    <w:right w:val="single" w:color="auto" w:sz="4" w:space="0"/>
                  </w:tcBorders>
                  <w:vAlign w:val="center"/>
                </w:tcPr>
                <w:p>
                  <w:pPr>
                    <w:widowControl/>
                    <w:rPr>
                      <w:color w:val="auto"/>
                    </w:rPr>
                  </w:pPr>
                  <w:r>
                    <w:rPr>
                      <w:color w:val="auto"/>
                      <w:kern w:val="0"/>
                      <w:szCs w:val="21"/>
                    </w:rPr>
                    <w:t>形态：颗粒状，25kg/袋，</w:t>
                  </w:r>
                  <w:r>
                    <w:rPr>
                      <w:rFonts w:hint="eastAsia"/>
                      <w:color w:val="auto"/>
                      <w:kern w:val="0"/>
                      <w:szCs w:val="21"/>
                    </w:rPr>
                    <w:t>淋膜工序</w:t>
                  </w:r>
                  <w:r>
                    <w:rPr>
                      <w:color w:val="auto"/>
                      <w:kern w:val="0"/>
                      <w:szCs w:val="21"/>
                    </w:rPr>
                    <w:t>使用</w:t>
                  </w:r>
                  <w:r>
                    <w:rPr>
                      <w:rFonts w:hint="eastAsia"/>
                      <w:color w:val="auto"/>
                      <w:kern w:val="0"/>
                      <w:szCs w:val="21"/>
                    </w:rPr>
                    <w:t>的主要</w:t>
                  </w:r>
                  <w:r>
                    <w:rPr>
                      <w:color w:val="auto"/>
                      <w:kern w:val="0"/>
                      <w:szCs w:val="21"/>
                    </w:rPr>
                    <w:t>原材料</w:t>
                  </w:r>
                </w:p>
              </w:tc>
              <w:tc>
                <w:tcPr>
                  <w:tcW w:w="1231" w:type="pct"/>
                  <w:tcBorders>
                    <w:left w:val="single" w:color="auto" w:sz="4" w:space="0"/>
                  </w:tcBorders>
                  <w:vAlign w:val="center"/>
                </w:tcPr>
                <w:p>
                  <w:pPr>
                    <w:widowControl/>
                    <w:rPr>
                      <w:color w:val="auto"/>
                    </w:rPr>
                  </w:pPr>
                  <w:r>
                    <w:rPr>
                      <w:rFonts w:hint="eastAsia"/>
                      <w:color w:val="auto"/>
                    </w:rPr>
                    <w:t>淋膜、冷却工序使用将产生挥发性有机物</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10" w:type="pct"/>
                  <w:vAlign w:val="center"/>
                </w:tcPr>
                <w:p>
                  <w:pPr>
                    <w:widowControl/>
                    <w:jc w:val="center"/>
                    <w:rPr>
                      <w:color w:val="auto"/>
                    </w:rPr>
                  </w:pPr>
                  <w:r>
                    <w:rPr>
                      <w:rFonts w:hint="eastAsia"/>
                      <w:color w:val="auto"/>
                    </w:rPr>
                    <w:t>3</w:t>
                  </w:r>
                </w:p>
              </w:tc>
              <w:tc>
                <w:tcPr>
                  <w:tcW w:w="1042" w:type="pct"/>
                  <w:vAlign w:val="center"/>
                </w:tcPr>
                <w:p>
                  <w:pPr>
                    <w:widowControl/>
                    <w:jc w:val="center"/>
                    <w:rPr>
                      <w:color w:val="auto"/>
                      <w:szCs w:val="21"/>
                    </w:rPr>
                  </w:pPr>
                  <w:r>
                    <w:rPr>
                      <w:rFonts w:hint="eastAsia"/>
                      <w:color w:val="auto"/>
                      <w:szCs w:val="21"/>
                    </w:rPr>
                    <w:t>胶粘剂</w:t>
                  </w:r>
                </w:p>
              </w:tc>
              <w:tc>
                <w:tcPr>
                  <w:tcW w:w="478" w:type="pct"/>
                  <w:vAlign w:val="center"/>
                </w:tcPr>
                <w:p>
                  <w:pPr>
                    <w:widowControl/>
                    <w:jc w:val="center"/>
                    <w:rPr>
                      <w:color w:val="auto"/>
                    </w:rPr>
                  </w:pPr>
                  <w:r>
                    <w:rPr>
                      <w:rFonts w:hint="eastAsia"/>
                      <w:color w:val="auto"/>
                    </w:rPr>
                    <w:t>t</w:t>
                  </w:r>
                  <w:r>
                    <w:rPr>
                      <w:color w:val="auto"/>
                    </w:rPr>
                    <w:t>/a</w:t>
                  </w:r>
                </w:p>
              </w:tc>
              <w:tc>
                <w:tcPr>
                  <w:tcW w:w="507" w:type="pct"/>
                  <w:tcBorders>
                    <w:right w:val="single" w:color="auto" w:sz="4" w:space="0"/>
                  </w:tcBorders>
                  <w:vAlign w:val="center"/>
                </w:tcPr>
                <w:p>
                  <w:pPr>
                    <w:widowControl/>
                    <w:jc w:val="center"/>
                    <w:rPr>
                      <w:rFonts w:hint="default" w:eastAsia="宋体"/>
                      <w:color w:val="auto"/>
                      <w:lang w:val="en-US" w:eastAsia="zh-CN"/>
                    </w:rPr>
                  </w:pPr>
                  <w:r>
                    <w:rPr>
                      <w:rFonts w:hint="eastAsia"/>
                      <w:color w:val="auto"/>
                      <w:lang w:val="en-US" w:eastAsia="zh-CN"/>
                    </w:rPr>
                    <w:t>59</w:t>
                  </w:r>
                </w:p>
              </w:tc>
              <w:tc>
                <w:tcPr>
                  <w:tcW w:w="1430" w:type="pct"/>
                  <w:tcBorders>
                    <w:right w:val="single" w:color="auto" w:sz="4" w:space="0"/>
                  </w:tcBorders>
                  <w:vAlign w:val="center"/>
                </w:tcPr>
                <w:p>
                  <w:pPr>
                    <w:widowControl/>
                    <w:rPr>
                      <w:color w:val="auto"/>
                    </w:rPr>
                  </w:pPr>
                  <w:r>
                    <w:rPr>
                      <w:rFonts w:hint="eastAsia"/>
                      <w:color w:val="auto"/>
                    </w:rPr>
                    <w:t>水性胶粘剂，规格：1t/桶，最大储存量2t（2桶），涂胶工序使用主要原材料，外购成品直接使用，不需调配。</w:t>
                  </w:r>
                </w:p>
              </w:tc>
              <w:tc>
                <w:tcPr>
                  <w:tcW w:w="1231" w:type="pct"/>
                  <w:tcBorders>
                    <w:left w:val="single" w:color="auto" w:sz="4" w:space="0"/>
                  </w:tcBorders>
                  <w:vAlign w:val="center"/>
                </w:tcPr>
                <w:p>
                  <w:pPr>
                    <w:widowControl/>
                    <w:rPr>
                      <w:color w:val="auto"/>
                    </w:rPr>
                  </w:pPr>
                  <w:r>
                    <w:rPr>
                      <w:rFonts w:hint="eastAsia"/>
                      <w:color w:val="auto"/>
                    </w:rPr>
                    <w:t>涂胶、烘干工序将产生挥发性有机物</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5000" w:type="pct"/>
                  <w:gridSpan w:val="6"/>
                  <w:vAlign w:val="center"/>
                </w:tcPr>
                <w:p>
                  <w:pPr>
                    <w:widowControl/>
                    <w:rPr>
                      <w:color w:val="auto"/>
                    </w:rPr>
                  </w:pPr>
                  <w:r>
                    <w:rPr>
                      <w:rFonts w:hint="eastAsia"/>
                      <w:color w:val="auto"/>
                    </w:rPr>
                    <w:t>主要辅助材料</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10" w:type="pct"/>
                  <w:vAlign w:val="center"/>
                </w:tcPr>
                <w:p>
                  <w:pPr>
                    <w:widowControl/>
                    <w:jc w:val="center"/>
                    <w:rPr>
                      <w:color w:val="auto"/>
                    </w:rPr>
                  </w:pPr>
                  <w:r>
                    <w:rPr>
                      <w:rFonts w:hint="eastAsia"/>
                      <w:color w:val="auto"/>
                    </w:rPr>
                    <w:t>4</w:t>
                  </w:r>
                </w:p>
              </w:tc>
              <w:tc>
                <w:tcPr>
                  <w:tcW w:w="1042" w:type="pct"/>
                  <w:vAlign w:val="center"/>
                </w:tcPr>
                <w:p>
                  <w:pPr>
                    <w:widowControl/>
                    <w:jc w:val="center"/>
                    <w:rPr>
                      <w:color w:val="auto"/>
                    </w:rPr>
                  </w:pPr>
                  <w:r>
                    <w:rPr>
                      <w:rFonts w:hint="eastAsia"/>
                      <w:color w:val="auto"/>
                    </w:rPr>
                    <w:t>机油</w:t>
                  </w:r>
                </w:p>
              </w:tc>
              <w:tc>
                <w:tcPr>
                  <w:tcW w:w="478" w:type="pct"/>
                  <w:vAlign w:val="center"/>
                </w:tcPr>
                <w:p>
                  <w:pPr>
                    <w:widowControl/>
                    <w:jc w:val="center"/>
                    <w:rPr>
                      <w:color w:val="auto"/>
                    </w:rPr>
                  </w:pPr>
                  <w:r>
                    <w:rPr>
                      <w:rFonts w:hint="eastAsia"/>
                      <w:color w:val="auto"/>
                    </w:rPr>
                    <w:t>t/a</w:t>
                  </w:r>
                </w:p>
              </w:tc>
              <w:tc>
                <w:tcPr>
                  <w:tcW w:w="507" w:type="pct"/>
                  <w:tcBorders>
                    <w:right w:val="single" w:color="auto" w:sz="4" w:space="0"/>
                  </w:tcBorders>
                  <w:vAlign w:val="center"/>
                </w:tcPr>
                <w:p>
                  <w:pPr>
                    <w:widowControl/>
                    <w:jc w:val="center"/>
                    <w:rPr>
                      <w:color w:val="auto"/>
                    </w:rPr>
                  </w:pPr>
                  <w:r>
                    <w:rPr>
                      <w:rFonts w:hint="eastAsia"/>
                      <w:color w:val="auto"/>
                    </w:rPr>
                    <w:t>0.03</w:t>
                  </w:r>
                </w:p>
              </w:tc>
              <w:tc>
                <w:tcPr>
                  <w:tcW w:w="1430" w:type="pct"/>
                  <w:tcBorders>
                    <w:right w:val="single" w:color="auto" w:sz="4" w:space="0"/>
                  </w:tcBorders>
                  <w:vAlign w:val="center"/>
                </w:tcPr>
                <w:p>
                  <w:pPr>
                    <w:widowControl/>
                    <w:rPr>
                      <w:rFonts w:cs="宋体"/>
                      <w:color w:val="auto"/>
                      <w:kern w:val="0"/>
                      <w:szCs w:val="21"/>
                    </w:rPr>
                  </w:pPr>
                  <w:r>
                    <w:rPr>
                      <w:rFonts w:hint="eastAsia"/>
                      <w:color w:val="auto"/>
                    </w:rPr>
                    <w:t>18L</w:t>
                  </w:r>
                  <w:r>
                    <w:rPr>
                      <w:color w:val="auto"/>
                    </w:rPr>
                    <w:t>/桶，最大储存量为</w:t>
                  </w:r>
                  <w:r>
                    <w:rPr>
                      <w:rFonts w:hint="eastAsia"/>
                      <w:color w:val="auto"/>
                    </w:rPr>
                    <w:t>32</w:t>
                  </w:r>
                  <w:r>
                    <w:rPr>
                      <w:color w:val="auto"/>
                    </w:rPr>
                    <w:t>kg(</w:t>
                  </w:r>
                  <w:r>
                    <w:rPr>
                      <w:rFonts w:hint="eastAsia"/>
                      <w:color w:val="auto"/>
                    </w:rPr>
                    <w:t>1</w:t>
                  </w:r>
                  <w:r>
                    <w:rPr>
                      <w:color w:val="auto"/>
                    </w:rPr>
                    <w:t>桶)，设备润滑使用</w:t>
                  </w:r>
                </w:p>
              </w:tc>
              <w:tc>
                <w:tcPr>
                  <w:tcW w:w="1231" w:type="pct"/>
                  <w:tcBorders>
                    <w:left w:val="single" w:color="auto" w:sz="4" w:space="0"/>
                  </w:tcBorders>
                  <w:vAlign w:val="center"/>
                </w:tcPr>
                <w:p>
                  <w:pPr>
                    <w:widowControl/>
                    <w:jc w:val="center"/>
                    <w:rPr>
                      <w:color w:val="auto"/>
                    </w:rPr>
                  </w:pPr>
                  <w:r>
                    <w:rPr>
                      <w:rFonts w:hint="eastAsia"/>
                      <w:color w:val="auto"/>
                    </w:rPr>
                    <w:t>/</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10" w:type="pct"/>
                  <w:vAlign w:val="center"/>
                </w:tcPr>
                <w:p>
                  <w:pPr>
                    <w:widowControl/>
                    <w:jc w:val="center"/>
                    <w:rPr>
                      <w:color w:val="auto"/>
                    </w:rPr>
                  </w:pPr>
                  <w:r>
                    <w:rPr>
                      <w:rFonts w:hint="eastAsia"/>
                      <w:color w:val="auto"/>
                    </w:rPr>
                    <w:t>5</w:t>
                  </w:r>
                </w:p>
              </w:tc>
              <w:tc>
                <w:tcPr>
                  <w:tcW w:w="1042" w:type="pct"/>
                  <w:vAlign w:val="center"/>
                </w:tcPr>
                <w:p>
                  <w:pPr>
                    <w:widowControl/>
                    <w:jc w:val="center"/>
                    <w:rPr>
                      <w:color w:val="auto"/>
                    </w:rPr>
                  </w:pPr>
                  <w:r>
                    <w:rPr>
                      <w:color w:val="auto"/>
                    </w:rPr>
                    <w:t>抹布、劳保用品</w:t>
                  </w:r>
                </w:p>
              </w:tc>
              <w:tc>
                <w:tcPr>
                  <w:tcW w:w="478" w:type="pct"/>
                  <w:vAlign w:val="center"/>
                </w:tcPr>
                <w:p>
                  <w:pPr>
                    <w:widowControl/>
                    <w:jc w:val="center"/>
                    <w:rPr>
                      <w:color w:val="auto"/>
                    </w:rPr>
                  </w:pPr>
                  <w:r>
                    <w:rPr>
                      <w:rFonts w:hint="eastAsia"/>
                      <w:color w:val="auto"/>
                    </w:rPr>
                    <w:t>t/a</w:t>
                  </w:r>
                </w:p>
              </w:tc>
              <w:tc>
                <w:tcPr>
                  <w:tcW w:w="507" w:type="pct"/>
                  <w:tcBorders>
                    <w:right w:val="single" w:color="auto" w:sz="4" w:space="0"/>
                  </w:tcBorders>
                  <w:vAlign w:val="center"/>
                </w:tcPr>
                <w:p>
                  <w:pPr>
                    <w:widowControl/>
                    <w:jc w:val="center"/>
                    <w:rPr>
                      <w:color w:val="auto"/>
                    </w:rPr>
                  </w:pPr>
                  <w:r>
                    <w:rPr>
                      <w:rFonts w:hint="eastAsia"/>
                      <w:color w:val="auto"/>
                    </w:rPr>
                    <w:t>0.03</w:t>
                  </w:r>
                </w:p>
              </w:tc>
              <w:tc>
                <w:tcPr>
                  <w:tcW w:w="1430" w:type="pct"/>
                  <w:tcBorders>
                    <w:right w:val="single" w:color="auto" w:sz="4" w:space="0"/>
                  </w:tcBorders>
                  <w:vAlign w:val="center"/>
                </w:tcPr>
                <w:p>
                  <w:pPr>
                    <w:widowControl/>
                    <w:jc w:val="center"/>
                    <w:rPr>
                      <w:color w:val="auto"/>
                    </w:rPr>
                  </w:pPr>
                  <w:r>
                    <w:rPr>
                      <w:rFonts w:hint="eastAsia"/>
                      <w:color w:val="auto"/>
                    </w:rPr>
                    <w:t>模具维护使用</w:t>
                  </w:r>
                </w:p>
              </w:tc>
              <w:tc>
                <w:tcPr>
                  <w:tcW w:w="1231" w:type="pct"/>
                  <w:tcBorders>
                    <w:left w:val="single" w:color="auto" w:sz="4" w:space="0"/>
                  </w:tcBorders>
                  <w:vAlign w:val="center"/>
                </w:tcPr>
                <w:p>
                  <w:pPr>
                    <w:widowControl/>
                    <w:jc w:val="center"/>
                    <w:rPr>
                      <w:color w:val="auto"/>
                    </w:rPr>
                  </w:pPr>
                  <w:r>
                    <w:rPr>
                      <w:rFonts w:hint="eastAsia"/>
                      <w:color w:val="auto"/>
                    </w:rPr>
                    <w:t>/</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5000" w:type="pct"/>
                  <w:gridSpan w:val="6"/>
                  <w:vAlign w:val="center"/>
                </w:tcPr>
                <w:p>
                  <w:pPr>
                    <w:widowControl/>
                    <w:rPr>
                      <w:color w:val="auto"/>
                    </w:rPr>
                  </w:pPr>
                  <w:r>
                    <w:rPr>
                      <w:color w:val="auto"/>
                    </w:rPr>
                    <w:t>能源消耗</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310" w:type="pct"/>
                  <w:vAlign w:val="center"/>
                </w:tcPr>
                <w:p>
                  <w:pPr>
                    <w:widowControl/>
                    <w:jc w:val="center"/>
                    <w:rPr>
                      <w:color w:val="auto"/>
                    </w:rPr>
                  </w:pPr>
                  <w:r>
                    <w:rPr>
                      <w:rFonts w:hint="eastAsia"/>
                      <w:color w:val="auto"/>
                    </w:rPr>
                    <w:t>5</w:t>
                  </w:r>
                </w:p>
              </w:tc>
              <w:tc>
                <w:tcPr>
                  <w:tcW w:w="1042" w:type="pct"/>
                  <w:vAlign w:val="center"/>
                </w:tcPr>
                <w:p>
                  <w:pPr>
                    <w:widowControl/>
                    <w:jc w:val="center"/>
                    <w:rPr>
                      <w:color w:val="auto"/>
                    </w:rPr>
                  </w:pPr>
                  <w:r>
                    <w:rPr>
                      <w:color w:val="auto"/>
                    </w:rPr>
                    <w:t>水</w:t>
                  </w:r>
                </w:p>
              </w:tc>
              <w:tc>
                <w:tcPr>
                  <w:tcW w:w="478" w:type="pct"/>
                  <w:vAlign w:val="center"/>
                </w:tcPr>
                <w:p>
                  <w:pPr>
                    <w:widowControl/>
                    <w:jc w:val="center"/>
                    <w:rPr>
                      <w:color w:val="auto"/>
                    </w:rPr>
                  </w:pPr>
                  <w:r>
                    <w:rPr>
                      <w:color w:val="auto"/>
                    </w:rPr>
                    <w:t>m</w:t>
                  </w:r>
                  <w:r>
                    <w:rPr>
                      <w:color w:val="auto"/>
                      <w:vertAlign w:val="superscript"/>
                    </w:rPr>
                    <w:t>3</w:t>
                  </w:r>
                  <w:r>
                    <w:rPr>
                      <w:color w:val="auto"/>
                    </w:rPr>
                    <w:t>/a</w:t>
                  </w:r>
                </w:p>
              </w:tc>
              <w:tc>
                <w:tcPr>
                  <w:tcW w:w="507" w:type="pct"/>
                  <w:tcBorders>
                    <w:right w:val="single" w:color="auto" w:sz="4" w:space="0"/>
                  </w:tcBorders>
                  <w:vAlign w:val="center"/>
                </w:tcPr>
                <w:p>
                  <w:pPr>
                    <w:widowControl/>
                    <w:jc w:val="center"/>
                    <w:rPr>
                      <w:rFonts w:hint="default" w:eastAsia="宋体"/>
                      <w:color w:val="auto"/>
                      <w:lang w:val="en-US" w:eastAsia="zh-CN"/>
                    </w:rPr>
                  </w:pPr>
                  <w:r>
                    <w:rPr>
                      <w:rFonts w:hint="eastAsia"/>
                      <w:color w:val="auto"/>
                      <w:lang w:val="en-US" w:eastAsia="zh-CN"/>
                    </w:rPr>
                    <w:t>515</w:t>
                  </w:r>
                </w:p>
              </w:tc>
              <w:tc>
                <w:tcPr>
                  <w:tcW w:w="1430" w:type="pct"/>
                  <w:tcBorders>
                    <w:right w:val="single" w:color="auto" w:sz="4" w:space="0"/>
                  </w:tcBorders>
                  <w:vAlign w:val="center"/>
                </w:tcPr>
                <w:p>
                  <w:pPr>
                    <w:widowControl/>
                    <w:jc w:val="center"/>
                    <w:rPr>
                      <w:color w:val="auto"/>
                    </w:rPr>
                  </w:pPr>
                  <w:r>
                    <w:rPr>
                      <w:color w:val="auto"/>
                    </w:rPr>
                    <w:t>园区供水网络</w:t>
                  </w:r>
                </w:p>
              </w:tc>
              <w:tc>
                <w:tcPr>
                  <w:tcW w:w="1231" w:type="pct"/>
                  <w:tcBorders>
                    <w:left w:val="single" w:color="auto" w:sz="4" w:space="0"/>
                  </w:tcBorders>
                  <w:vAlign w:val="center"/>
                </w:tcPr>
                <w:p>
                  <w:pPr>
                    <w:widowControl/>
                    <w:jc w:val="center"/>
                    <w:rPr>
                      <w:color w:val="auto"/>
                    </w:rPr>
                  </w:pPr>
                  <w:r>
                    <w:rPr>
                      <w:color w:val="auto"/>
                    </w:rPr>
                    <w:t>/</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45" w:hRule="atLeast"/>
                <w:jc w:val="center"/>
              </w:trPr>
              <w:tc>
                <w:tcPr>
                  <w:tcW w:w="310" w:type="pct"/>
                  <w:vAlign w:val="center"/>
                </w:tcPr>
                <w:p>
                  <w:pPr>
                    <w:widowControl/>
                    <w:jc w:val="center"/>
                    <w:rPr>
                      <w:color w:val="auto"/>
                    </w:rPr>
                  </w:pPr>
                  <w:r>
                    <w:rPr>
                      <w:rFonts w:hint="eastAsia"/>
                      <w:color w:val="auto"/>
                    </w:rPr>
                    <w:t>6</w:t>
                  </w:r>
                </w:p>
              </w:tc>
              <w:tc>
                <w:tcPr>
                  <w:tcW w:w="1042" w:type="pct"/>
                  <w:vAlign w:val="center"/>
                </w:tcPr>
                <w:p>
                  <w:pPr>
                    <w:widowControl/>
                    <w:jc w:val="center"/>
                    <w:rPr>
                      <w:color w:val="auto"/>
                    </w:rPr>
                  </w:pPr>
                  <w:r>
                    <w:rPr>
                      <w:color w:val="auto"/>
                    </w:rPr>
                    <w:t>电</w:t>
                  </w:r>
                </w:p>
              </w:tc>
              <w:tc>
                <w:tcPr>
                  <w:tcW w:w="478" w:type="pct"/>
                  <w:vAlign w:val="center"/>
                </w:tcPr>
                <w:p>
                  <w:pPr>
                    <w:widowControl/>
                    <w:jc w:val="center"/>
                    <w:rPr>
                      <w:color w:val="auto"/>
                    </w:rPr>
                  </w:pPr>
                  <w:r>
                    <w:rPr>
                      <w:color w:val="auto"/>
                    </w:rPr>
                    <w:t>万度/a</w:t>
                  </w:r>
                </w:p>
              </w:tc>
              <w:tc>
                <w:tcPr>
                  <w:tcW w:w="507" w:type="pct"/>
                  <w:tcBorders>
                    <w:right w:val="single" w:color="auto" w:sz="4" w:space="0"/>
                  </w:tcBorders>
                  <w:vAlign w:val="center"/>
                </w:tcPr>
                <w:p>
                  <w:pPr>
                    <w:widowControl/>
                    <w:jc w:val="center"/>
                    <w:rPr>
                      <w:color w:val="auto"/>
                    </w:rPr>
                  </w:pPr>
                  <w:r>
                    <w:rPr>
                      <w:rFonts w:hint="eastAsia"/>
                      <w:color w:val="auto"/>
                    </w:rPr>
                    <w:t>10</w:t>
                  </w:r>
                </w:p>
              </w:tc>
              <w:tc>
                <w:tcPr>
                  <w:tcW w:w="1430" w:type="pct"/>
                  <w:tcBorders>
                    <w:right w:val="single" w:color="auto" w:sz="4" w:space="0"/>
                  </w:tcBorders>
                  <w:vAlign w:val="center"/>
                </w:tcPr>
                <w:p>
                  <w:pPr>
                    <w:widowControl/>
                    <w:jc w:val="center"/>
                    <w:rPr>
                      <w:color w:val="auto"/>
                    </w:rPr>
                  </w:pPr>
                  <w:r>
                    <w:rPr>
                      <w:color w:val="auto"/>
                    </w:rPr>
                    <w:t>园区供电网络</w:t>
                  </w:r>
                </w:p>
              </w:tc>
              <w:tc>
                <w:tcPr>
                  <w:tcW w:w="1231" w:type="pct"/>
                  <w:tcBorders>
                    <w:left w:val="single" w:color="auto" w:sz="4" w:space="0"/>
                  </w:tcBorders>
                  <w:vAlign w:val="center"/>
                </w:tcPr>
                <w:p>
                  <w:pPr>
                    <w:widowControl/>
                    <w:jc w:val="center"/>
                    <w:rPr>
                      <w:color w:val="auto"/>
                    </w:rPr>
                  </w:pPr>
                  <w:r>
                    <w:rPr>
                      <w:color w:val="auto"/>
                    </w:rPr>
                    <w:t>/</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45" w:hRule="atLeast"/>
                <w:jc w:val="center"/>
              </w:trPr>
              <w:tc>
                <w:tcPr>
                  <w:tcW w:w="310" w:type="pct"/>
                  <w:vAlign w:val="center"/>
                </w:tcPr>
                <w:p>
                  <w:pPr>
                    <w:widowControl/>
                    <w:jc w:val="center"/>
                    <w:rPr>
                      <w:color w:val="auto"/>
                    </w:rPr>
                  </w:pPr>
                  <w:r>
                    <w:rPr>
                      <w:rFonts w:hint="eastAsia"/>
                      <w:color w:val="auto"/>
                    </w:rPr>
                    <w:t>7</w:t>
                  </w:r>
                </w:p>
              </w:tc>
              <w:tc>
                <w:tcPr>
                  <w:tcW w:w="1042" w:type="pct"/>
                  <w:vAlign w:val="center"/>
                </w:tcPr>
                <w:p>
                  <w:pPr>
                    <w:widowControl/>
                    <w:jc w:val="center"/>
                    <w:rPr>
                      <w:color w:val="auto"/>
                    </w:rPr>
                  </w:pPr>
                  <w:r>
                    <w:rPr>
                      <w:rFonts w:hint="eastAsia"/>
                      <w:color w:val="auto"/>
                    </w:rPr>
                    <w:t>天然气</w:t>
                  </w:r>
                </w:p>
              </w:tc>
              <w:tc>
                <w:tcPr>
                  <w:tcW w:w="478" w:type="pct"/>
                  <w:vAlign w:val="center"/>
                </w:tcPr>
                <w:p>
                  <w:pPr>
                    <w:widowControl/>
                    <w:jc w:val="center"/>
                    <w:rPr>
                      <w:color w:val="auto"/>
                    </w:rPr>
                  </w:pPr>
                  <w:r>
                    <w:rPr>
                      <w:color w:val="auto"/>
                    </w:rPr>
                    <w:t>m</w:t>
                  </w:r>
                  <w:r>
                    <w:rPr>
                      <w:color w:val="auto"/>
                      <w:vertAlign w:val="superscript"/>
                    </w:rPr>
                    <w:t>3</w:t>
                  </w:r>
                  <w:r>
                    <w:rPr>
                      <w:color w:val="auto"/>
                    </w:rPr>
                    <w:t>/a</w:t>
                  </w:r>
                </w:p>
              </w:tc>
              <w:tc>
                <w:tcPr>
                  <w:tcW w:w="507" w:type="pct"/>
                  <w:tcBorders>
                    <w:right w:val="single" w:color="auto" w:sz="4" w:space="0"/>
                  </w:tcBorders>
                  <w:vAlign w:val="center"/>
                </w:tcPr>
                <w:p>
                  <w:pPr>
                    <w:widowControl/>
                    <w:jc w:val="center"/>
                    <w:rPr>
                      <w:color w:val="auto"/>
                    </w:rPr>
                  </w:pPr>
                  <w:r>
                    <w:rPr>
                      <w:rFonts w:hint="eastAsia"/>
                      <w:color w:val="auto"/>
                    </w:rPr>
                    <w:t>273000</w:t>
                  </w:r>
                </w:p>
              </w:tc>
              <w:tc>
                <w:tcPr>
                  <w:tcW w:w="1430" w:type="pct"/>
                  <w:tcBorders>
                    <w:right w:val="single" w:color="auto" w:sz="4" w:space="0"/>
                  </w:tcBorders>
                  <w:vAlign w:val="center"/>
                </w:tcPr>
                <w:p>
                  <w:pPr>
                    <w:widowControl/>
                    <w:jc w:val="center"/>
                    <w:rPr>
                      <w:color w:val="auto"/>
                    </w:rPr>
                  </w:pPr>
                  <w:r>
                    <w:rPr>
                      <w:color w:val="auto"/>
                    </w:rPr>
                    <w:t>园区供</w:t>
                  </w:r>
                  <w:r>
                    <w:rPr>
                      <w:rFonts w:hint="eastAsia"/>
                      <w:color w:val="auto"/>
                    </w:rPr>
                    <w:t>气</w:t>
                  </w:r>
                  <w:r>
                    <w:rPr>
                      <w:color w:val="auto"/>
                    </w:rPr>
                    <w:t>网络</w:t>
                  </w:r>
                </w:p>
              </w:tc>
              <w:tc>
                <w:tcPr>
                  <w:tcW w:w="1231" w:type="pct"/>
                  <w:tcBorders>
                    <w:left w:val="single" w:color="auto" w:sz="4" w:space="0"/>
                  </w:tcBorders>
                  <w:vAlign w:val="center"/>
                </w:tcPr>
                <w:p>
                  <w:pPr>
                    <w:widowControl/>
                    <w:jc w:val="center"/>
                    <w:rPr>
                      <w:color w:val="auto"/>
                    </w:rPr>
                  </w:pPr>
                  <w:r>
                    <w:rPr>
                      <w:rFonts w:hint="eastAsia"/>
                      <w:color w:val="auto"/>
                    </w:rPr>
                    <w:t>/</w:t>
                  </w:r>
                </w:p>
              </w:tc>
            </w:tr>
          </w:tbl>
          <w:p>
            <w:pPr>
              <w:pStyle w:val="2"/>
              <w:snapToGrid w:val="0"/>
              <w:ind w:firstLine="480" w:firstLineChars="200"/>
              <w:rPr>
                <w:rFonts w:ascii="Times New Roman" w:cs="Times New Roman"/>
                <w:color w:val="auto"/>
              </w:rPr>
            </w:pPr>
            <w:r>
              <w:rPr>
                <w:rFonts w:ascii="Times New Roman" w:cs="Times New Roman"/>
                <w:color w:val="auto"/>
              </w:rPr>
              <w:t>（</w:t>
            </w:r>
            <w:r>
              <w:rPr>
                <w:rFonts w:hint="eastAsia" w:ascii="Times New Roman" w:cs="Times New Roman"/>
                <w:color w:val="auto"/>
              </w:rPr>
              <w:t>3</w:t>
            </w:r>
            <w:r>
              <w:rPr>
                <w:rFonts w:ascii="Times New Roman" w:cs="Times New Roman"/>
                <w:color w:val="auto"/>
              </w:rPr>
              <w:t>）原辅材材料理化性质</w:t>
            </w:r>
          </w:p>
          <w:p>
            <w:pPr>
              <w:pStyle w:val="2"/>
              <w:snapToGrid w:val="0"/>
              <w:ind w:firstLine="480" w:firstLineChars="200"/>
              <w:rPr>
                <w:rFonts w:ascii="Times New Roman" w:cs="Times New Roman"/>
                <w:color w:val="auto"/>
              </w:rPr>
            </w:pPr>
            <w:r>
              <w:rPr>
                <w:rFonts w:ascii="Times New Roman" w:cs="Times New Roman"/>
                <w:color w:val="auto"/>
              </w:rPr>
              <w:t>①</w:t>
            </w:r>
            <w:r>
              <w:rPr>
                <w:rFonts w:hint="eastAsia" w:ascii="Times New Roman" w:cs="Times New Roman"/>
                <w:color w:val="auto"/>
              </w:rPr>
              <w:t>胶粘剂</w:t>
            </w:r>
            <w:r>
              <w:rPr>
                <w:rFonts w:ascii="Times New Roman" w:cs="Times New Roman"/>
                <w:color w:val="auto"/>
              </w:rPr>
              <w:t>理化性质</w:t>
            </w:r>
          </w:p>
          <w:p>
            <w:pPr>
              <w:pStyle w:val="2"/>
              <w:snapToGrid w:val="0"/>
              <w:ind w:firstLine="480" w:firstLineChars="200"/>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扩建项目</w:t>
            </w:r>
            <w:r>
              <w:rPr>
                <w:rFonts w:hint="eastAsia" w:ascii="Times New Roman" w:cs="Times New Roman"/>
                <w:color w:val="auto"/>
              </w:rPr>
              <w:t>使用已经完成调配的成品水性胶粘剂，可直接使用，不需调配，根据其化学品安全技术说明书（MSDS），其</w:t>
            </w:r>
            <w:r>
              <w:rPr>
                <w:rFonts w:ascii="Times New Roman" w:hAnsi="Times New Roman" w:cs="Times New Roman"/>
                <w:color w:val="auto"/>
              </w:rPr>
              <w:t>主要成分含量见表2.</w:t>
            </w:r>
            <w:r>
              <w:rPr>
                <w:rFonts w:hint="eastAsia" w:ascii="Times New Roman" w:hAnsi="Times New Roman" w:cs="Times New Roman"/>
                <w:color w:val="auto"/>
                <w:lang w:val="en-US" w:eastAsia="zh-CN"/>
              </w:rPr>
              <w:t>10</w:t>
            </w:r>
            <w:r>
              <w:rPr>
                <w:rFonts w:hint="eastAsia" w:ascii="Times New Roman" w:cs="Times New Roman"/>
                <w:color w:val="auto"/>
                <w:lang w:val="en-US" w:eastAsia="zh-CN"/>
              </w:rPr>
              <w:t>，本项目使用的水性胶粘剂与</w:t>
            </w:r>
            <w:r>
              <w:rPr>
                <w:rFonts w:hint="default" w:ascii="Times New Roman" w:hAnsi="Times New Roman" w:eastAsia="宋体" w:cs="Times New Roman"/>
                <w:color w:val="auto"/>
                <w:kern w:val="2"/>
                <w:sz w:val="24"/>
                <w:szCs w:val="24"/>
                <w:lang w:val="en-US" w:eastAsia="zh-CN" w:bidi="ar-SA"/>
              </w:rPr>
              <w:t>《胶粘剂挥发性有机物化合物限量》（GB33372-2020）</w:t>
            </w:r>
            <w:r>
              <w:rPr>
                <w:rFonts w:hint="eastAsia" w:ascii="Times New Roman" w:hAnsi="Times New Roman" w:eastAsia="宋体" w:cs="Times New Roman"/>
                <w:color w:val="auto"/>
                <w:kern w:val="2"/>
                <w:sz w:val="24"/>
                <w:szCs w:val="24"/>
                <w:lang w:val="en-US" w:eastAsia="zh-CN" w:bidi="ar-SA"/>
              </w:rPr>
              <w:t>符合性分析见表2.11</w:t>
            </w:r>
            <w:r>
              <w:rPr>
                <w:rFonts w:ascii="Times New Roman" w:hAnsi="Times New Roman" w:cs="Times New Roman"/>
                <w:color w:val="auto"/>
              </w:rPr>
              <w:t>。</w:t>
            </w:r>
          </w:p>
          <w:p>
            <w:pPr>
              <w:adjustRightInd w:val="0"/>
              <w:snapToGrid w:val="0"/>
              <w:spacing w:line="360" w:lineRule="auto"/>
              <w:jc w:val="center"/>
              <w:rPr>
                <w:bCs/>
                <w:color w:val="auto"/>
                <w:sz w:val="21"/>
                <w:szCs w:val="21"/>
              </w:rPr>
            </w:pPr>
            <w:r>
              <w:rPr>
                <w:bCs/>
                <w:color w:val="auto"/>
                <w:sz w:val="21"/>
                <w:szCs w:val="21"/>
              </w:rPr>
              <w:t>表2</w:t>
            </w:r>
            <w:r>
              <w:rPr>
                <w:rFonts w:hint="eastAsia"/>
                <w:bCs/>
                <w:color w:val="auto"/>
                <w:sz w:val="21"/>
                <w:szCs w:val="21"/>
              </w:rPr>
              <w:t>.</w:t>
            </w:r>
            <w:r>
              <w:rPr>
                <w:rFonts w:hint="eastAsia"/>
                <w:bCs/>
                <w:color w:val="auto"/>
                <w:sz w:val="21"/>
                <w:szCs w:val="21"/>
                <w:lang w:val="en-US" w:eastAsia="zh-CN"/>
              </w:rPr>
              <w:t>10</w:t>
            </w:r>
            <w:r>
              <w:rPr>
                <w:bCs/>
                <w:color w:val="auto"/>
                <w:sz w:val="21"/>
                <w:szCs w:val="21"/>
              </w:rPr>
              <w:t xml:space="preserve"> </w:t>
            </w:r>
            <w:r>
              <w:rPr>
                <w:rFonts w:hint="eastAsia"/>
                <w:bCs/>
                <w:color w:val="auto"/>
                <w:sz w:val="21"/>
                <w:szCs w:val="21"/>
              </w:rPr>
              <w:t>水性胶粘剂</w:t>
            </w:r>
            <w:r>
              <w:rPr>
                <w:bCs/>
                <w:color w:val="auto"/>
                <w:sz w:val="21"/>
                <w:szCs w:val="21"/>
              </w:rPr>
              <w:t>主要成分含量一览表</w:t>
            </w:r>
          </w:p>
          <w:tbl>
            <w:tblPr>
              <w:tblStyle w:val="22"/>
              <w:tblW w:w="5000"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1045"/>
              <w:gridCol w:w="3374"/>
              <w:gridCol w:w="179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87" w:type="pct"/>
                  <w:tcBorders>
                    <w:tl2br w:val="nil"/>
                    <w:tr2bl w:val="nil"/>
                  </w:tcBorders>
                </w:tcPr>
                <w:p>
                  <w:pPr>
                    <w:adjustRightInd w:val="0"/>
                    <w:snapToGrid w:val="0"/>
                    <w:jc w:val="center"/>
                    <w:rPr>
                      <w:bCs/>
                      <w:color w:val="auto"/>
                      <w:szCs w:val="21"/>
                    </w:rPr>
                  </w:pPr>
                  <w:r>
                    <w:rPr>
                      <w:bCs/>
                      <w:color w:val="auto"/>
                      <w:szCs w:val="21"/>
                    </w:rPr>
                    <w:t>名称</w:t>
                  </w:r>
                </w:p>
              </w:tc>
              <w:tc>
                <w:tcPr>
                  <w:tcW w:w="2641" w:type="pct"/>
                  <w:gridSpan w:val="2"/>
                  <w:tcBorders>
                    <w:tl2br w:val="nil"/>
                    <w:tr2bl w:val="nil"/>
                  </w:tcBorders>
                </w:tcPr>
                <w:p>
                  <w:pPr>
                    <w:adjustRightInd w:val="0"/>
                    <w:snapToGrid w:val="0"/>
                    <w:jc w:val="center"/>
                    <w:rPr>
                      <w:bCs/>
                      <w:color w:val="auto"/>
                      <w:szCs w:val="21"/>
                    </w:rPr>
                  </w:pPr>
                  <w:r>
                    <w:rPr>
                      <w:bCs/>
                      <w:color w:val="auto"/>
                      <w:szCs w:val="21"/>
                    </w:rPr>
                    <w:t>主要成分</w:t>
                  </w:r>
                </w:p>
              </w:tc>
              <w:tc>
                <w:tcPr>
                  <w:tcW w:w="1071" w:type="pct"/>
                  <w:tcBorders>
                    <w:tl2br w:val="nil"/>
                    <w:tr2bl w:val="nil"/>
                  </w:tcBorders>
                </w:tcPr>
                <w:p>
                  <w:pPr>
                    <w:adjustRightInd w:val="0"/>
                    <w:snapToGrid w:val="0"/>
                    <w:jc w:val="center"/>
                    <w:rPr>
                      <w:bCs/>
                      <w:color w:val="auto"/>
                      <w:szCs w:val="21"/>
                    </w:rPr>
                  </w:pPr>
                  <w:r>
                    <w:rPr>
                      <w:bCs/>
                      <w:color w:val="auto"/>
                      <w:szCs w:val="21"/>
                    </w:rPr>
                    <w:t>成占比例（%）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7" w:type="pct"/>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水性胶粘剂</w:t>
                  </w:r>
                </w:p>
              </w:tc>
              <w:tc>
                <w:tcPr>
                  <w:tcW w:w="624" w:type="pct"/>
                  <w:tcBorders>
                    <w:tl2br w:val="nil"/>
                    <w:tr2bl w:val="nil"/>
                  </w:tcBorders>
                  <w:vAlign w:val="center"/>
                </w:tcPr>
                <w:p>
                  <w:pPr>
                    <w:widowControl/>
                    <w:adjustRightInd w:val="0"/>
                    <w:snapToGrid w:val="0"/>
                    <w:jc w:val="center"/>
                    <w:rPr>
                      <w:rFonts w:hint="eastAsia" w:eastAsia="宋体"/>
                      <w:color w:val="auto"/>
                      <w:kern w:val="0"/>
                      <w:szCs w:val="21"/>
                      <w:lang w:eastAsia="zh-CN"/>
                    </w:rPr>
                  </w:pPr>
                  <w:r>
                    <w:rPr>
                      <w:rFonts w:hint="eastAsia"/>
                      <w:color w:val="auto"/>
                      <w:kern w:val="0"/>
                      <w:szCs w:val="21"/>
                      <w:lang w:eastAsia="zh-CN"/>
                    </w:rPr>
                    <w:t>固体份</w:t>
                  </w:r>
                </w:p>
              </w:tc>
              <w:tc>
                <w:tcPr>
                  <w:tcW w:w="2016" w:type="pct"/>
                  <w:tcBorders>
                    <w:tl2br w:val="nil"/>
                    <w:tr2bl w:val="nil"/>
                  </w:tcBorders>
                  <w:vAlign w:val="center"/>
                </w:tcPr>
                <w:p>
                  <w:pPr>
                    <w:widowControl/>
                    <w:adjustRightInd w:val="0"/>
                    <w:snapToGrid w:val="0"/>
                    <w:jc w:val="center"/>
                    <w:rPr>
                      <w:rFonts w:hint="eastAsia" w:ascii="PMingLiU" w:hAnsi="PMingLiU" w:cs="PMingLiU"/>
                      <w:color w:val="auto"/>
                      <w:kern w:val="0"/>
                      <w:sz w:val="20"/>
                      <w:szCs w:val="20"/>
                      <w:lang w:eastAsia="zh-CN"/>
                    </w:rPr>
                  </w:pPr>
                  <w:r>
                    <w:rPr>
                      <w:rFonts w:hint="eastAsia" w:ascii="PMingLiU" w:hAnsi="PMingLiU" w:cs="PMingLiU"/>
                      <w:color w:val="auto"/>
                      <w:kern w:val="0"/>
                      <w:sz w:val="20"/>
                      <w:szCs w:val="20"/>
                      <w:lang w:eastAsia="zh-CN"/>
                    </w:rPr>
                    <w:t>有机硅共聚物</w:t>
                  </w:r>
                </w:p>
              </w:tc>
              <w:tc>
                <w:tcPr>
                  <w:tcW w:w="1071" w:type="pct"/>
                  <w:tcBorders>
                    <w:tl2br w:val="nil"/>
                    <w:tr2bl w:val="nil"/>
                  </w:tcBorders>
                  <w:vAlign w:val="center"/>
                </w:tcPr>
                <w:p>
                  <w:pPr>
                    <w:adjustRightInd w:val="0"/>
                    <w:snapToGrid w:val="0"/>
                    <w:jc w:val="center"/>
                    <w:rPr>
                      <w:rFonts w:hint="eastAsia" w:eastAsia="宋体"/>
                      <w:bCs/>
                      <w:color w:val="auto"/>
                      <w:szCs w:val="21"/>
                      <w:lang w:eastAsia="zh-CN"/>
                    </w:rPr>
                  </w:pPr>
                  <w:r>
                    <w:rPr>
                      <w:rFonts w:hint="eastAsia"/>
                      <w:bCs/>
                      <w:color w:val="auto"/>
                      <w:szCs w:val="21"/>
                      <w:lang w:val="en-US" w:eastAsia="zh-CN"/>
                    </w:rPr>
                    <w:t>37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287" w:type="pct"/>
                  <w:vMerge w:val="continue"/>
                  <w:tcBorders>
                    <w:tl2br w:val="nil"/>
                    <w:tr2bl w:val="nil"/>
                  </w:tcBorders>
                  <w:vAlign w:val="center"/>
                </w:tcPr>
                <w:p>
                  <w:pPr>
                    <w:adjustRightInd w:val="0"/>
                    <w:snapToGrid w:val="0"/>
                    <w:jc w:val="center"/>
                    <w:rPr>
                      <w:rFonts w:hint="eastAsia"/>
                      <w:bCs/>
                      <w:color w:val="auto"/>
                      <w:szCs w:val="21"/>
                    </w:rPr>
                  </w:pPr>
                </w:p>
              </w:tc>
              <w:tc>
                <w:tcPr>
                  <w:tcW w:w="624" w:type="pct"/>
                  <w:tcBorders>
                    <w:tl2br w:val="nil"/>
                    <w:tr2bl w:val="nil"/>
                  </w:tcBorders>
                  <w:vAlign w:val="center"/>
                </w:tcPr>
                <w:p>
                  <w:pPr>
                    <w:widowControl/>
                    <w:adjustRightInd w:val="0"/>
                    <w:snapToGrid w:val="0"/>
                    <w:jc w:val="center"/>
                    <w:rPr>
                      <w:rFonts w:hint="eastAsia" w:ascii="PMingLiU" w:hAnsi="PMingLiU" w:eastAsia="宋体" w:cs="PMingLiU"/>
                      <w:color w:val="auto"/>
                      <w:kern w:val="0"/>
                      <w:sz w:val="20"/>
                      <w:szCs w:val="20"/>
                      <w:lang w:eastAsia="zh-CN"/>
                    </w:rPr>
                  </w:pPr>
                  <w:r>
                    <w:rPr>
                      <w:rFonts w:hint="eastAsia" w:ascii="PMingLiU" w:hAnsi="PMingLiU" w:cs="PMingLiU"/>
                      <w:color w:val="auto"/>
                      <w:kern w:val="0"/>
                      <w:sz w:val="20"/>
                      <w:szCs w:val="20"/>
                      <w:lang w:eastAsia="zh-CN"/>
                    </w:rPr>
                    <w:t>挥发份</w:t>
                  </w:r>
                </w:p>
              </w:tc>
              <w:tc>
                <w:tcPr>
                  <w:tcW w:w="2016" w:type="pct"/>
                  <w:tcBorders>
                    <w:tl2br w:val="nil"/>
                    <w:tr2bl w:val="nil"/>
                  </w:tcBorders>
                  <w:vAlign w:val="center"/>
                </w:tcPr>
                <w:p>
                  <w:pPr>
                    <w:widowControl/>
                    <w:adjustRightInd w:val="0"/>
                    <w:snapToGrid w:val="0"/>
                    <w:jc w:val="center"/>
                    <w:rPr>
                      <w:rFonts w:hint="eastAsia" w:ascii="PMingLiU" w:hAnsi="PMingLiU" w:cs="PMingLiU"/>
                      <w:color w:val="auto"/>
                      <w:kern w:val="0"/>
                      <w:sz w:val="20"/>
                      <w:szCs w:val="20"/>
                    </w:rPr>
                  </w:pPr>
                  <w:r>
                    <w:rPr>
                      <w:rFonts w:hint="eastAsia" w:ascii="PMingLiU" w:hAnsi="PMingLiU" w:cs="PMingLiU"/>
                      <w:color w:val="auto"/>
                      <w:kern w:val="0"/>
                      <w:sz w:val="20"/>
                      <w:szCs w:val="20"/>
                    </w:rPr>
                    <w:t>丙烯酸</w:t>
                  </w:r>
                  <w:r>
                    <w:rPr>
                      <w:rFonts w:hint="eastAsia" w:ascii="PMingLiU" w:hAnsi="PMingLiU" w:cs="PMingLiU"/>
                      <w:color w:val="auto"/>
                      <w:kern w:val="0"/>
                      <w:sz w:val="20"/>
                      <w:szCs w:val="20"/>
                      <w:lang w:eastAsia="zh-CN"/>
                    </w:rPr>
                    <w:t>脂</w:t>
                  </w:r>
                </w:p>
              </w:tc>
              <w:tc>
                <w:tcPr>
                  <w:tcW w:w="1071" w:type="pct"/>
                  <w:tcBorders>
                    <w:tl2br w:val="nil"/>
                    <w:tr2bl w:val="nil"/>
                  </w:tcBorders>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87" w:type="pct"/>
                  <w:vMerge w:val="continue"/>
                  <w:tcBorders>
                    <w:tl2br w:val="nil"/>
                    <w:tr2bl w:val="nil"/>
                  </w:tcBorders>
                </w:tcPr>
                <w:p>
                  <w:pPr>
                    <w:adjustRightInd w:val="0"/>
                    <w:snapToGrid w:val="0"/>
                    <w:rPr>
                      <w:bCs/>
                      <w:color w:val="auto"/>
                      <w:szCs w:val="21"/>
                    </w:rPr>
                  </w:pPr>
                </w:p>
              </w:tc>
              <w:tc>
                <w:tcPr>
                  <w:tcW w:w="624" w:type="pct"/>
                  <w:tcBorders>
                    <w:tl2br w:val="nil"/>
                    <w:tr2bl w:val="nil"/>
                  </w:tcBorders>
                  <w:vAlign w:val="center"/>
                </w:tcPr>
                <w:p>
                  <w:pPr>
                    <w:widowControl/>
                    <w:adjustRightInd w:val="0"/>
                    <w:snapToGrid w:val="0"/>
                    <w:jc w:val="center"/>
                    <w:rPr>
                      <w:rFonts w:hint="eastAsia" w:eastAsia="宋体"/>
                      <w:color w:val="auto"/>
                      <w:kern w:val="0"/>
                      <w:szCs w:val="21"/>
                      <w:lang w:eastAsia="zh-CN"/>
                    </w:rPr>
                  </w:pPr>
                  <w:r>
                    <w:rPr>
                      <w:rFonts w:hint="eastAsia"/>
                      <w:color w:val="auto"/>
                      <w:kern w:val="0"/>
                      <w:szCs w:val="21"/>
                      <w:lang w:eastAsia="zh-CN"/>
                    </w:rPr>
                    <w:t>其它</w:t>
                  </w:r>
                </w:p>
              </w:tc>
              <w:tc>
                <w:tcPr>
                  <w:tcW w:w="2016" w:type="pct"/>
                  <w:tcBorders>
                    <w:tl2br w:val="nil"/>
                    <w:tr2bl w:val="nil"/>
                  </w:tcBorders>
                  <w:vAlign w:val="center"/>
                </w:tcPr>
                <w:p>
                  <w:pPr>
                    <w:widowControl/>
                    <w:adjustRightInd w:val="0"/>
                    <w:snapToGrid w:val="0"/>
                    <w:jc w:val="center"/>
                    <w:rPr>
                      <w:rFonts w:hint="eastAsia"/>
                      <w:color w:val="auto"/>
                      <w:kern w:val="0"/>
                      <w:szCs w:val="21"/>
                    </w:rPr>
                  </w:pPr>
                  <w:r>
                    <w:rPr>
                      <w:rFonts w:hint="eastAsia"/>
                      <w:color w:val="auto"/>
                      <w:kern w:val="0"/>
                      <w:szCs w:val="21"/>
                    </w:rPr>
                    <w:t>水</w:t>
                  </w:r>
                </w:p>
              </w:tc>
              <w:tc>
                <w:tcPr>
                  <w:tcW w:w="1071" w:type="pct"/>
                  <w:tcBorders>
                    <w:tl2br w:val="nil"/>
                    <w:tr2bl w:val="nil"/>
                  </w:tcBorders>
                  <w:vAlign w:val="center"/>
                </w:tcPr>
                <w:p>
                  <w:pPr>
                    <w:adjustRightInd w:val="0"/>
                    <w:snapToGrid w:val="0"/>
                    <w:jc w:val="center"/>
                    <w:rPr>
                      <w:bCs/>
                      <w:color w:val="auto"/>
                      <w:szCs w:val="21"/>
                    </w:rPr>
                  </w:pPr>
                  <w:r>
                    <w:rPr>
                      <w:rFonts w:hint="eastAsia"/>
                      <w:bCs/>
                      <w:color w:val="auto"/>
                      <w:szCs w:val="21"/>
                    </w:rPr>
                    <w:t>60</w:t>
                  </w:r>
                </w:p>
              </w:tc>
            </w:tr>
          </w:tbl>
          <w:p>
            <w:pPr>
              <w:pStyle w:val="2"/>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Times New Roman" w:cs="Times New Roman"/>
                <w:color w:val="auto"/>
                <w:sz w:val="21"/>
                <w:szCs w:val="21"/>
                <w:u w:val="none"/>
                <w:lang w:val="en-US" w:eastAsia="zh-CN"/>
              </w:rPr>
            </w:pPr>
            <w:r>
              <w:rPr>
                <w:rFonts w:hint="eastAsia" w:ascii="Times New Roman" w:hAnsi="Times New Roman" w:cs="Times New Roman"/>
                <w:color w:val="auto"/>
                <w:sz w:val="24"/>
                <w:szCs w:val="24"/>
                <w:u w:val="none"/>
                <w:lang w:val="en-US" w:eastAsia="zh-CN"/>
              </w:rPr>
              <w:t>表</w:t>
            </w:r>
            <w:r>
              <w:rPr>
                <w:rFonts w:hint="eastAsia" w:ascii="Times New Roman" w:hAnsi="Times New Roman" w:cs="Times New Roman"/>
                <w:color w:val="auto"/>
                <w:sz w:val="21"/>
                <w:szCs w:val="21"/>
                <w:u w:val="none"/>
                <w:lang w:val="en-US" w:eastAsia="zh-CN"/>
              </w:rPr>
              <w:t>2.11</w:t>
            </w:r>
            <w:r>
              <w:rPr>
                <w:rFonts w:hint="default" w:ascii="Times New Roman" w:hAnsi="Times New Roman" w:eastAsia="宋体" w:cs="Times New Roman"/>
                <w:color w:val="auto"/>
                <w:kern w:val="2"/>
                <w:sz w:val="21"/>
                <w:szCs w:val="21"/>
                <w:lang w:val="en-US" w:eastAsia="zh-CN" w:bidi="ar-SA"/>
              </w:rPr>
              <w:t>《胶粘剂挥发性有机物化合物限量》（GB33372-2020）</w:t>
            </w:r>
            <w:r>
              <w:rPr>
                <w:rFonts w:hint="eastAsia" w:ascii="Times New Roman" w:cs="Times New Roman"/>
                <w:color w:val="auto"/>
                <w:sz w:val="21"/>
                <w:szCs w:val="21"/>
                <w:u w:val="none"/>
                <w:lang w:val="en-US" w:eastAsia="zh-CN"/>
              </w:rPr>
              <w:t>符合性分析</w:t>
            </w:r>
          </w:p>
          <w:tbl>
            <w:tblPr>
              <w:tblStyle w:val="23"/>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33"/>
              <w:gridCol w:w="1382"/>
              <w:gridCol w:w="1382"/>
              <w:gridCol w:w="923"/>
              <w:gridCol w:w="184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93"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cs="Times New Roman"/>
                      <w:color w:val="auto"/>
                      <w:sz w:val="21"/>
                      <w:szCs w:val="21"/>
                      <w:u w:val="none"/>
                      <w:vertAlign w:val="baseline"/>
                      <w:lang w:val="en-US" w:eastAsia="zh-CN"/>
                    </w:rPr>
                  </w:pPr>
                  <w:r>
                    <w:rPr>
                      <w:rFonts w:hint="eastAsia" w:ascii="Times New Roman" w:cs="Times New Roman"/>
                      <w:color w:val="auto"/>
                      <w:sz w:val="21"/>
                      <w:szCs w:val="21"/>
                      <w:u w:val="none"/>
                      <w:vertAlign w:val="baseline"/>
                      <w:lang w:val="en-US" w:eastAsia="zh-CN"/>
                    </w:rPr>
                    <w:t>项目</w:t>
                  </w:r>
                </w:p>
              </w:tc>
              <w:tc>
                <w:tcPr>
                  <w:tcW w:w="826"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cs="Times New Roman"/>
                      <w:color w:val="auto"/>
                      <w:sz w:val="21"/>
                      <w:szCs w:val="21"/>
                      <w:u w:val="none"/>
                      <w:vertAlign w:val="baseline"/>
                      <w:lang w:val="en-US" w:eastAsia="zh-CN"/>
                    </w:rPr>
                  </w:pPr>
                  <w:r>
                    <w:rPr>
                      <w:rFonts w:hint="eastAsia" w:ascii="Times New Roman" w:cs="Times New Roman"/>
                      <w:color w:val="auto"/>
                      <w:sz w:val="21"/>
                      <w:szCs w:val="21"/>
                      <w:u w:val="none"/>
                      <w:vertAlign w:val="baseline"/>
                      <w:lang w:val="en-US" w:eastAsia="zh-CN"/>
                    </w:rPr>
                    <w:t>项目含量值</w:t>
                  </w:r>
                </w:p>
              </w:tc>
              <w:tc>
                <w:tcPr>
                  <w:tcW w:w="826"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cs="Times New Roman"/>
                      <w:color w:val="auto"/>
                      <w:sz w:val="21"/>
                      <w:szCs w:val="21"/>
                      <w:u w:val="none"/>
                      <w:vertAlign w:val="baseline"/>
                      <w:lang w:val="en-US" w:eastAsia="zh-CN"/>
                    </w:rPr>
                  </w:pPr>
                  <w:r>
                    <w:rPr>
                      <w:rFonts w:hint="eastAsia" w:ascii="Times New Roman" w:cs="Times New Roman"/>
                      <w:color w:val="auto"/>
                      <w:sz w:val="21"/>
                      <w:szCs w:val="21"/>
                      <w:u w:val="none"/>
                      <w:vertAlign w:val="baseline"/>
                      <w:lang w:val="en-US" w:eastAsia="zh-CN"/>
                    </w:rPr>
                    <w:t>含量限值</w:t>
                  </w:r>
                </w:p>
              </w:tc>
              <w:tc>
                <w:tcPr>
                  <w:tcW w:w="551"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cs="Times New Roman"/>
                      <w:color w:val="auto"/>
                      <w:sz w:val="21"/>
                      <w:szCs w:val="21"/>
                      <w:u w:val="none"/>
                      <w:vertAlign w:val="baseline"/>
                      <w:lang w:val="en-US" w:eastAsia="zh-CN"/>
                    </w:rPr>
                  </w:pPr>
                  <w:r>
                    <w:rPr>
                      <w:rFonts w:hint="eastAsia" w:ascii="Times New Roman" w:cs="Times New Roman"/>
                      <w:color w:val="auto"/>
                      <w:sz w:val="21"/>
                      <w:szCs w:val="21"/>
                      <w:u w:val="none"/>
                      <w:vertAlign w:val="baseline"/>
                      <w:lang w:val="en-US" w:eastAsia="zh-CN"/>
                    </w:rPr>
                    <w:t>符合性</w:t>
                  </w:r>
                </w:p>
              </w:tc>
              <w:tc>
                <w:tcPr>
                  <w:tcW w:w="1101"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cs="Times New Roman"/>
                      <w:color w:val="auto"/>
                      <w:sz w:val="21"/>
                      <w:szCs w:val="21"/>
                      <w:u w:val="none"/>
                      <w:vertAlign w:val="baseline"/>
                      <w:lang w:val="en-US" w:eastAsia="zh-CN"/>
                    </w:rPr>
                  </w:pPr>
                  <w:r>
                    <w:rPr>
                      <w:rFonts w:hint="eastAsia" w:ascii="Times New Roman" w:cs="Times New Roman"/>
                      <w:color w:val="auto"/>
                      <w:sz w:val="21"/>
                      <w:szCs w:val="21"/>
                      <w:u w:val="none"/>
                      <w:vertAlign w:val="baseline"/>
                      <w:lang w:val="en-US" w:eastAsia="zh-CN"/>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93"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cs="Times New Roman"/>
                      <w:color w:val="auto"/>
                      <w:sz w:val="21"/>
                      <w:szCs w:val="21"/>
                      <w:u w:val="none"/>
                      <w:vertAlign w:val="baseline"/>
                      <w:lang w:val="en-US" w:eastAsia="zh-CN"/>
                    </w:rPr>
                  </w:pPr>
                  <w:r>
                    <w:rPr>
                      <w:rFonts w:hint="eastAsia" w:ascii="Times New Roman" w:cs="Times New Roman"/>
                      <w:color w:val="auto"/>
                      <w:sz w:val="21"/>
                      <w:szCs w:val="21"/>
                      <w:u w:val="none"/>
                      <w:vertAlign w:val="baseline"/>
                      <w:lang w:val="en-US" w:eastAsia="zh-CN"/>
                    </w:rPr>
                    <w:t>聚乙酸乙烯脂类</w:t>
                  </w:r>
                </w:p>
              </w:tc>
              <w:tc>
                <w:tcPr>
                  <w:tcW w:w="826"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cs="Times New Roman"/>
                      <w:color w:val="auto"/>
                      <w:sz w:val="21"/>
                      <w:szCs w:val="21"/>
                      <w:u w:val="none"/>
                      <w:vertAlign w:val="baseline"/>
                      <w:lang w:val="en-US" w:eastAsia="zh-CN"/>
                    </w:rPr>
                  </w:pPr>
                  <w:r>
                    <w:rPr>
                      <w:rFonts w:hint="eastAsia" w:ascii="Times New Roman" w:cs="Times New Roman"/>
                      <w:color w:val="auto"/>
                      <w:sz w:val="21"/>
                      <w:szCs w:val="21"/>
                      <w:u w:val="none"/>
                      <w:vertAlign w:val="baseline"/>
                      <w:lang w:val="en-US" w:eastAsia="zh-CN"/>
                    </w:rPr>
                    <w:t>/</w:t>
                  </w:r>
                </w:p>
              </w:tc>
              <w:tc>
                <w:tcPr>
                  <w:tcW w:w="826"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cs="Times New Roman"/>
                      <w:color w:val="auto"/>
                      <w:sz w:val="21"/>
                      <w:szCs w:val="21"/>
                      <w:u w:val="none"/>
                      <w:vertAlign w:val="baseline"/>
                      <w:lang w:val="en-US" w:eastAsia="zh-CN"/>
                    </w:rPr>
                  </w:pPr>
                  <w:r>
                    <w:rPr>
                      <w:rFonts w:hint="eastAsia" w:ascii="Times New Roman" w:cs="Times New Roman"/>
                      <w:color w:val="auto"/>
                      <w:sz w:val="21"/>
                      <w:szCs w:val="21"/>
                      <w:u w:val="none"/>
                      <w:vertAlign w:val="baseline"/>
                      <w:lang w:val="en-US" w:eastAsia="zh-CN"/>
                    </w:rPr>
                    <w:t>50g/L</w:t>
                  </w:r>
                </w:p>
              </w:tc>
              <w:tc>
                <w:tcPr>
                  <w:tcW w:w="551"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cs="Times New Roman"/>
                      <w:color w:val="auto"/>
                      <w:sz w:val="21"/>
                      <w:szCs w:val="21"/>
                      <w:u w:val="none"/>
                      <w:vertAlign w:val="baseline"/>
                      <w:lang w:val="en-US" w:eastAsia="zh-CN"/>
                    </w:rPr>
                  </w:pPr>
                  <w:r>
                    <w:rPr>
                      <w:rFonts w:hint="eastAsia" w:ascii="Times New Roman" w:cs="Times New Roman"/>
                      <w:color w:val="auto"/>
                      <w:sz w:val="21"/>
                      <w:szCs w:val="21"/>
                      <w:u w:val="none"/>
                      <w:vertAlign w:val="baseline"/>
                      <w:lang w:val="en-US" w:eastAsia="zh-CN"/>
                    </w:rPr>
                    <w:t>符合</w:t>
                  </w:r>
                </w:p>
              </w:tc>
              <w:tc>
                <w:tcPr>
                  <w:tcW w:w="1101" w:type="pct"/>
                  <w:vMerge w:val="restar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cs="Times New Roman"/>
                      <w:color w:val="auto"/>
                      <w:sz w:val="21"/>
                      <w:szCs w:val="21"/>
                      <w:u w:val="none"/>
                      <w:vertAlign w:val="baseline"/>
                      <w:lang w:val="en-US" w:eastAsia="zh-CN"/>
                    </w:rPr>
                  </w:pPr>
                  <w:r>
                    <w:rPr>
                      <w:rFonts w:hint="eastAsia" w:ascii="Times New Roman" w:cs="Times New Roman"/>
                      <w:color w:val="auto"/>
                      <w:sz w:val="21"/>
                      <w:szCs w:val="21"/>
                      <w:u w:val="none"/>
                      <w:vertAlign w:val="baseline"/>
                      <w:lang w:val="en-US" w:eastAsia="zh-CN"/>
                    </w:rPr>
                    <w:t>水基型胶粘剂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93"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cs="Times New Roman"/>
                      <w:color w:val="auto"/>
                      <w:sz w:val="21"/>
                      <w:szCs w:val="21"/>
                      <w:u w:val="none"/>
                      <w:vertAlign w:val="baseline"/>
                      <w:lang w:val="en-US" w:eastAsia="zh-CN"/>
                    </w:rPr>
                  </w:pPr>
                  <w:r>
                    <w:rPr>
                      <w:rFonts w:hint="eastAsia" w:ascii="Times New Roman" w:cs="Times New Roman"/>
                      <w:color w:val="auto"/>
                      <w:sz w:val="21"/>
                      <w:szCs w:val="21"/>
                      <w:u w:val="none"/>
                      <w:vertAlign w:val="baseline"/>
                      <w:lang w:val="en-US" w:eastAsia="zh-CN"/>
                    </w:rPr>
                    <w:t>聚丙烯醇类</w:t>
                  </w:r>
                </w:p>
              </w:tc>
              <w:tc>
                <w:tcPr>
                  <w:tcW w:w="826"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cs="Times New Roman"/>
                      <w:color w:val="auto"/>
                      <w:sz w:val="21"/>
                      <w:szCs w:val="21"/>
                      <w:u w:val="none"/>
                      <w:vertAlign w:val="baseline"/>
                      <w:lang w:val="en-US" w:eastAsia="zh-CN"/>
                    </w:rPr>
                  </w:pPr>
                  <w:r>
                    <w:rPr>
                      <w:rFonts w:hint="eastAsia" w:ascii="Times New Roman" w:cs="Times New Roman"/>
                      <w:color w:val="auto"/>
                      <w:sz w:val="21"/>
                      <w:szCs w:val="21"/>
                      <w:u w:val="none"/>
                      <w:vertAlign w:val="baseline"/>
                      <w:lang w:val="en-US" w:eastAsia="zh-CN"/>
                    </w:rPr>
                    <w:t>/</w:t>
                  </w:r>
                </w:p>
              </w:tc>
              <w:tc>
                <w:tcPr>
                  <w:tcW w:w="826"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cs="Times New Roman"/>
                      <w:color w:val="auto"/>
                      <w:sz w:val="21"/>
                      <w:szCs w:val="21"/>
                      <w:u w:val="none"/>
                      <w:vertAlign w:val="baseline"/>
                      <w:lang w:val="en-US" w:eastAsia="zh-CN"/>
                    </w:rPr>
                  </w:pPr>
                  <w:r>
                    <w:rPr>
                      <w:rFonts w:hint="eastAsia" w:ascii="Times New Roman" w:cs="Times New Roman"/>
                      <w:color w:val="auto"/>
                      <w:sz w:val="21"/>
                      <w:szCs w:val="21"/>
                      <w:u w:val="none"/>
                      <w:vertAlign w:val="baseline"/>
                      <w:lang w:val="en-US" w:eastAsia="zh-CN"/>
                    </w:rPr>
                    <w:t>50g/L</w:t>
                  </w:r>
                </w:p>
              </w:tc>
              <w:tc>
                <w:tcPr>
                  <w:tcW w:w="551"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cs="Times New Roman"/>
                      <w:color w:val="auto"/>
                      <w:sz w:val="21"/>
                      <w:szCs w:val="21"/>
                      <w:u w:val="none"/>
                      <w:vertAlign w:val="baseline"/>
                      <w:lang w:val="en-US" w:eastAsia="zh-CN"/>
                    </w:rPr>
                  </w:pPr>
                  <w:r>
                    <w:rPr>
                      <w:rFonts w:hint="eastAsia" w:ascii="Times New Roman" w:cs="Times New Roman"/>
                      <w:color w:val="auto"/>
                      <w:sz w:val="21"/>
                      <w:szCs w:val="21"/>
                      <w:u w:val="none"/>
                      <w:vertAlign w:val="baseline"/>
                      <w:lang w:val="en-US" w:eastAsia="zh-CN"/>
                    </w:rPr>
                    <w:t>符合</w:t>
                  </w:r>
                </w:p>
              </w:tc>
              <w:tc>
                <w:tcPr>
                  <w:tcW w:w="1101" w:type="pct"/>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cs="Times New Roman"/>
                      <w:color w:val="auto"/>
                      <w:sz w:val="21"/>
                      <w:szCs w:val="21"/>
                      <w:u w:val="none"/>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93"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cs="Times New Roman"/>
                      <w:color w:val="auto"/>
                      <w:sz w:val="21"/>
                      <w:szCs w:val="21"/>
                      <w:u w:val="none"/>
                      <w:vertAlign w:val="baseline"/>
                      <w:lang w:val="en-US" w:eastAsia="zh-CN"/>
                    </w:rPr>
                  </w:pPr>
                  <w:r>
                    <w:rPr>
                      <w:rFonts w:hint="eastAsia" w:ascii="Times New Roman" w:cs="Times New Roman"/>
                      <w:color w:val="auto"/>
                      <w:sz w:val="21"/>
                      <w:szCs w:val="21"/>
                      <w:u w:val="none"/>
                      <w:vertAlign w:val="baseline"/>
                      <w:lang w:val="en-US" w:eastAsia="zh-CN"/>
                    </w:rPr>
                    <w:t>橡胶类</w:t>
                  </w:r>
                </w:p>
              </w:tc>
              <w:tc>
                <w:tcPr>
                  <w:tcW w:w="826"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cs="Times New Roman"/>
                      <w:color w:val="auto"/>
                      <w:sz w:val="21"/>
                      <w:szCs w:val="21"/>
                      <w:u w:val="none"/>
                      <w:vertAlign w:val="baseline"/>
                      <w:lang w:val="en-US" w:eastAsia="zh-CN"/>
                    </w:rPr>
                  </w:pPr>
                  <w:r>
                    <w:rPr>
                      <w:rFonts w:hint="eastAsia" w:ascii="Times New Roman" w:cs="Times New Roman"/>
                      <w:color w:val="auto"/>
                      <w:sz w:val="21"/>
                      <w:szCs w:val="21"/>
                      <w:u w:val="none"/>
                      <w:vertAlign w:val="baseline"/>
                      <w:lang w:val="en-US" w:eastAsia="zh-CN"/>
                    </w:rPr>
                    <w:t>/</w:t>
                  </w:r>
                </w:p>
              </w:tc>
              <w:tc>
                <w:tcPr>
                  <w:tcW w:w="826"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cs="Times New Roman"/>
                      <w:color w:val="auto"/>
                      <w:sz w:val="21"/>
                      <w:szCs w:val="21"/>
                      <w:u w:val="none"/>
                      <w:vertAlign w:val="baseline"/>
                      <w:lang w:val="en-US" w:eastAsia="zh-CN"/>
                    </w:rPr>
                  </w:pPr>
                  <w:r>
                    <w:rPr>
                      <w:rFonts w:hint="eastAsia" w:ascii="Times New Roman" w:cs="Times New Roman"/>
                      <w:color w:val="auto"/>
                      <w:sz w:val="21"/>
                      <w:szCs w:val="21"/>
                      <w:u w:val="none"/>
                      <w:vertAlign w:val="baseline"/>
                      <w:lang w:val="en-US" w:eastAsia="zh-CN"/>
                    </w:rPr>
                    <w:t>50g/L</w:t>
                  </w:r>
                </w:p>
              </w:tc>
              <w:tc>
                <w:tcPr>
                  <w:tcW w:w="551"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cs="Times New Roman"/>
                      <w:color w:val="auto"/>
                      <w:sz w:val="21"/>
                      <w:szCs w:val="21"/>
                      <w:u w:val="none"/>
                      <w:vertAlign w:val="baseline"/>
                      <w:lang w:val="en-US" w:eastAsia="zh-CN"/>
                    </w:rPr>
                  </w:pPr>
                  <w:r>
                    <w:rPr>
                      <w:rFonts w:hint="eastAsia" w:ascii="Times New Roman" w:cs="Times New Roman"/>
                      <w:color w:val="auto"/>
                      <w:sz w:val="21"/>
                      <w:szCs w:val="21"/>
                      <w:u w:val="none"/>
                      <w:vertAlign w:val="baseline"/>
                      <w:lang w:val="en-US" w:eastAsia="zh-CN"/>
                    </w:rPr>
                    <w:t>符合</w:t>
                  </w:r>
                </w:p>
              </w:tc>
              <w:tc>
                <w:tcPr>
                  <w:tcW w:w="1101" w:type="pct"/>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cs="Times New Roman"/>
                      <w:color w:val="auto"/>
                      <w:sz w:val="21"/>
                      <w:szCs w:val="21"/>
                      <w:u w:val="none"/>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93"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cs="Times New Roman"/>
                      <w:color w:val="auto"/>
                      <w:sz w:val="21"/>
                      <w:szCs w:val="21"/>
                      <w:u w:val="none"/>
                      <w:vertAlign w:val="baseline"/>
                      <w:lang w:val="en-US" w:eastAsia="zh-CN"/>
                    </w:rPr>
                  </w:pPr>
                  <w:r>
                    <w:rPr>
                      <w:rFonts w:hint="eastAsia" w:ascii="Times New Roman" w:cs="Times New Roman"/>
                      <w:color w:val="auto"/>
                      <w:sz w:val="21"/>
                      <w:szCs w:val="21"/>
                      <w:u w:val="none"/>
                      <w:vertAlign w:val="baseline"/>
                      <w:lang w:val="en-US" w:eastAsia="zh-CN"/>
                    </w:rPr>
                    <w:t>聚氨酯类</w:t>
                  </w:r>
                </w:p>
              </w:tc>
              <w:tc>
                <w:tcPr>
                  <w:tcW w:w="826"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cs="Times New Roman"/>
                      <w:color w:val="auto"/>
                      <w:sz w:val="21"/>
                      <w:szCs w:val="21"/>
                      <w:u w:val="none"/>
                      <w:vertAlign w:val="baseline"/>
                      <w:lang w:val="en-US" w:eastAsia="zh-CN"/>
                    </w:rPr>
                  </w:pPr>
                  <w:r>
                    <w:rPr>
                      <w:rFonts w:hint="eastAsia" w:ascii="Times New Roman" w:cs="Times New Roman"/>
                      <w:color w:val="auto"/>
                      <w:sz w:val="21"/>
                      <w:szCs w:val="21"/>
                      <w:u w:val="none"/>
                      <w:vertAlign w:val="baseline"/>
                      <w:lang w:val="en-US" w:eastAsia="zh-CN"/>
                    </w:rPr>
                    <w:t>/</w:t>
                  </w:r>
                </w:p>
              </w:tc>
              <w:tc>
                <w:tcPr>
                  <w:tcW w:w="826"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cs="Times New Roman"/>
                      <w:color w:val="auto"/>
                      <w:sz w:val="21"/>
                      <w:szCs w:val="21"/>
                      <w:u w:val="none"/>
                      <w:vertAlign w:val="baseline"/>
                      <w:lang w:val="en-US" w:eastAsia="zh-CN"/>
                    </w:rPr>
                  </w:pPr>
                  <w:r>
                    <w:rPr>
                      <w:rFonts w:hint="eastAsia" w:ascii="Times New Roman" w:cs="Times New Roman"/>
                      <w:color w:val="auto"/>
                      <w:sz w:val="21"/>
                      <w:szCs w:val="21"/>
                      <w:u w:val="none"/>
                      <w:vertAlign w:val="baseline"/>
                      <w:lang w:val="en-US" w:eastAsia="zh-CN"/>
                    </w:rPr>
                    <w:t>50g/L</w:t>
                  </w:r>
                </w:p>
              </w:tc>
              <w:tc>
                <w:tcPr>
                  <w:tcW w:w="551"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cs="Times New Roman"/>
                      <w:color w:val="auto"/>
                      <w:sz w:val="21"/>
                      <w:szCs w:val="21"/>
                      <w:u w:val="none"/>
                      <w:vertAlign w:val="baseline"/>
                      <w:lang w:val="en-US" w:eastAsia="zh-CN"/>
                    </w:rPr>
                  </w:pPr>
                  <w:r>
                    <w:rPr>
                      <w:rFonts w:hint="eastAsia" w:ascii="Times New Roman" w:cs="Times New Roman"/>
                      <w:color w:val="auto"/>
                      <w:sz w:val="21"/>
                      <w:szCs w:val="21"/>
                      <w:u w:val="none"/>
                      <w:vertAlign w:val="baseline"/>
                      <w:lang w:val="en-US" w:eastAsia="zh-CN"/>
                    </w:rPr>
                    <w:t>符合</w:t>
                  </w:r>
                </w:p>
              </w:tc>
              <w:tc>
                <w:tcPr>
                  <w:tcW w:w="1101" w:type="pct"/>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cs="Times New Roman"/>
                      <w:color w:val="auto"/>
                      <w:sz w:val="21"/>
                      <w:szCs w:val="21"/>
                      <w:u w:val="none"/>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93"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cs="Times New Roman"/>
                      <w:color w:val="auto"/>
                      <w:sz w:val="21"/>
                      <w:szCs w:val="21"/>
                      <w:u w:val="none"/>
                      <w:vertAlign w:val="baseline"/>
                      <w:lang w:val="en-US" w:eastAsia="zh-CN"/>
                    </w:rPr>
                  </w:pPr>
                  <w:r>
                    <w:rPr>
                      <w:rFonts w:hint="eastAsia" w:ascii="Times New Roman" w:cs="Times New Roman"/>
                      <w:color w:val="auto"/>
                      <w:sz w:val="21"/>
                      <w:szCs w:val="21"/>
                      <w:u w:val="none"/>
                      <w:vertAlign w:val="baseline"/>
                      <w:lang w:val="en-US" w:eastAsia="zh-CN"/>
                    </w:rPr>
                    <w:t>醋酸乙烯-乙烯共聚乳液类</w:t>
                  </w:r>
                </w:p>
              </w:tc>
              <w:tc>
                <w:tcPr>
                  <w:tcW w:w="826"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cs="Times New Roman"/>
                      <w:color w:val="auto"/>
                      <w:sz w:val="21"/>
                      <w:szCs w:val="21"/>
                      <w:u w:val="none"/>
                      <w:vertAlign w:val="baseline"/>
                      <w:lang w:val="en-US" w:eastAsia="zh-CN"/>
                    </w:rPr>
                  </w:pPr>
                  <w:r>
                    <w:rPr>
                      <w:rFonts w:hint="eastAsia" w:ascii="Times New Roman" w:cs="Times New Roman"/>
                      <w:color w:val="auto"/>
                      <w:sz w:val="21"/>
                      <w:szCs w:val="21"/>
                      <w:u w:val="none"/>
                      <w:vertAlign w:val="baseline"/>
                      <w:lang w:val="en-US" w:eastAsia="zh-CN"/>
                    </w:rPr>
                    <w:t>/</w:t>
                  </w:r>
                </w:p>
              </w:tc>
              <w:tc>
                <w:tcPr>
                  <w:tcW w:w="826"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cs="Times New Roman"/>
                      <w:color w:val="auto"/>
                      <w:sz w:val="21"/>
                      <w:szCs w:val="21"/>
                      <w:u w:val="none"/>
                      <w:vertAlign w:val="baseline"/>
                      <w:lang w:val="en-US" w:eastAsia="zh-CN"/>
                    </w:rPr>
                  </w:pPr>
                  <w:r>
                    <w:rPr>
                      <w:rFonts w:hint="eastAsia" w:ascii="Times New Roman" w:cs="Times New Roman"/>
                      <w:color w:val="auto"/>
                      <w:sz w:val="21"/>
                      <w:szCs w:val="21"/>
                      <w:u w:val="none"/>
                      <w:vertAlign w:val="baseline"/>
                      <w:lang w:val="en-US" w:eastAsia="zh-CN"/>
                    </w:rPr>
                    <w:t>50g/L</w:t>
                  </w:r>
                </w:p>
              </w:tc>
              <w:tc>
                <w:tcPr>
                  <w:tcW w:w="551"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cs="Times New Roman"/>
                      <w:color w:val="auto"/>
                      <w:sz w:val="21"/>
                      <w:szCs w:val="21"/>
                      <w:u w:val="none"/>
                      <w:vertAlign w:val="baseline"/>
                      <w:lang w:val="en-US" w:eastAsia="zh-CN"/>
                    </w:rPr>
                  </w:pPr>
                  <w:r>
                    <w:rPr>
                      <w:rFonts w:hint="eastAsia" w:ascii="Times New Roman" w:cs="Times New Roman"/>
                      <w:color w:val="auto"/>
                      <w:sz w:val="21"/>
                      <w:szCs w:val="21"/>
                      <w:u w:val="none"/>
                      <w:vertAlign w:val="baseline"/>
                      <w:lang w:val="en-US" w:eastAsia="zh-CN"/>
                    </w:rPr>
                    <w:t>符合</w:t>
                  </w:r>
                </w:p>
              </w:tc>
              <w:tc>
                <w:tcPr>
                  <w:tcW w:w="1101" w:type="pct"/>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cs="Times New Roman"/>
                      <w:color w:val="auto"/>
                      <w:sz w:val="21"/>
                      <w:szCs w:val="21"/>
                      <w:u w:val="none"/>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93"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cs="Times New Roman"/>
                      <w:color w:val="auto"/>
                      <w:sz w:val="21"/>
                      <w:szCs w:val="21"/>
                      <w:highlight w:val="none"/>
                      <w:u w:val="none"/>
                      <w:vertAlign w:val="baseline"/>
                      <w:lang w:val="en-US" w:eastAsia="zh-CN"/>
                    </w:rPr>
                  </w:pPr>
                  <w:r>
                    <w:rPr>
                      <w:rFonts w:hint="eastAsia" w:ascii="Times New Roman" w:cs="Times New Roman"/>
                      <w:color w:val="auto"/>
                      <w:sz w:val="21"/>
                      <w:szCs w:val="21"/>
                      <w:highlight w:val="none"/>
                      <w:u w:val="none"/>
                      <w:vertAlign w:val="baseline"/>
                      <w:lang w:val="en-US" w:eastAsia="zh-CN"/>
                    </w:rPr>
                    <w:t>丙烯酸脂类</w:t>
                  </w:r>
                </w:p>
              </w:tc>
              <w:tc>
                <w:tcPr>
                  <w:tcW w:w="826"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cs="Times New Roman"/>
                      <w:color w:val="auto"/>
                      <w:sz w:val="21"/>
                      <w:szCs w:val="21"/>
                      <w:highlight w:val="none"/>
                      <w:u w:val="none"/>
                      <w:vertAlign w:val="baseline"/>
                      <w:lang w:val="en-US" w:eastAsia="zh-CN"/>
                    </w:rPr>
                  </w:pPr>
                  <w:r>
                    <w:rPr>
                      <w:rFonts w:hint="eastAsia" w:ascii="Times New Roman" w:cs="Times New Roman"/>
                      <w:color w:val="auto"/>
                      <w:sz w:val="21"/>
                      <w:szCs w:val="21"/>
                      <w:highlight w:val="none"/>
                      <w:u w:val="none"/>
                      <w:vertAlign w:val="baseline"/>
                      <w:lang w:val="en-US" w:eastAsia="zh-CN"/>
                    </w:rPr>
                    <w:t>39g/L</w:t>
                  </w:r>
                </w:p>
              </w:tc>
              <w:tc>
                <w:tcPr>
                  <w:tcW w:w="826"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cs="Times New Roman"/>
                      <w:color w:val="auto"/>
                      <w:sz w:val="21"/>
                      <w:szCs w:val="21"/>
                      <w:highlight w:val="none"/>
                      <w:u w:val="none"/>
                      <w:vertAlign w:val="baseline"/>
                      <w:lang w:val="en-US" w:eastAsia="zh-CN"/>
                    </w:rPr>
                  </w:pPr>
                  <w:r>
                    <w:rPr>
                      <w:rFonts w:hint="eastAsia" w:ascii="Times New Roman" w:cs="Times New Roman"/>
                      <w:color w:val="auto"/>
                      <w:sz w:val="21"/>
                      <w:szCs w:val="21"/>
                      <w:highlight w:val="none"/>
                      <w:u w:val="none"/>
                      <w:vertAlign w:val="baseline"/>
                      <w:lang w:val="en-US" w:eastAsia="zh-CN"/>
                    </w:rPr>
                    <w:t>50g/L</w:t>
                  </w:r>
                </w:p>
              </w:tc>
              <w:tc>
                <w:tcPr>
                  <w:tcW w:w="551"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cs="Times New Roman"/>
                      <w:color w:val="auto"/>
                      <w:sz w:val="21"/>
                      <w:szCs w:val="21"/>
                      <w:highlight w:val="none"/>
                      <w:u w:val="none"/>
                      <w:vertAlign w:val="baseline"/>
                      <w:lang w:val="en-US" w:eastAsia="zh-CN"/>
                    </w:rPr>
                  </w:pPr>
                  <w:r>
                    <w:rPr>
                      <w:rFonts w:hint="eastAsia" w:ascii="Times New Roman" w:cs="Times New Roman"/>
                      <w:color w:val="auto"/>
                      <w:sz w:val="21"/>
                      <w:szCs w:val="21"/>
                      <w:highlight w:val="none"/>
                      <w:u w:val="none"/>
                      <w:vertAlign w:val="baseline"/>
                      <w:lang w:val="en-US" w:eastAsia="zh-CN"/>
                    </w:rPr>
                    <w:t>符合</w:t>
                  </w:r>
                </w:p>
              </w:tc>
              <w:tc>
                <w:tcPr>
                  <w:tcW w:w="1101" w:type="pct"/>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cs="Times New Roman"/>
                      <w:color w:val="auto"/>
                      <w:sz w:val="21"/>
                      <w:szCs w:val="21"/>
                      <w:u w:val="none"/>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93"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cs="Times New Roman"/>
                      <w:color w:val="auto"/>
                      <w:sz w:val="21"/>
                      <w:szCs w:val="21"/>
                      <w:u w:val="none"/>
                      <w:vertAlign w:val="baseline"/>
                      <w:lang w:val="en-US" w:eastAsia="zh-CN"/>
                    </w:rPr>
                  </w:pPr>
                  <w:r>
                    <w:rPr>
                      <w:rFonts w:hint="eastAsia" w:ascii="Times New Roman" w:cs="Times New Roman"/>
                      <w:color w:val="auto"/>
                      <w:sz w:val="21"/>
                      <w:szCs w:val="21"/>
                      <w:u w:val="none"/>
                      <w:vertAlign w:val="baseline"/>
                      <w:lang w:val="en-US" w:eastAsia="zh-CN"/>
                    </w:rPr>
                    <w:t>其它</w:t>
                  </w:r>
                </w:p>
              </w:tc>
              <w:tc>
                <w:tcPr>
                  <w:tcW w:w="826"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cs="Times New Roman"/>
                      <w:color w:val="auto"/>
                      <w:sz w:val="21"/>
                      <w:szCs w:val="21"/>
                      <w:u w:val="none"/>
                      <w:vertAlign w:val="baseline"/>
                      <w:lang w:val="en-US" w:eastAsia="zh-CN"/>
                    </w:rPr>
                  </w:pPr>
                  <w:r>
                    <w:rPr>
                      <w:rFonts w:hint="eastAsia" w:ascii="Times New Roman" w:cs="Times New Roman"/>
                      <w:color w:val="auto"/>
                      <w:sz w:val="21"/>
                      <w:szCs w:val="21"/>
                      <w:u w:val="none"/>
                      <w:vertAlign w:val="baseline"/>
                      <w:lang w:val="en-US" w:eastAsia="zh-CN"/>
                    </w:rPr>
                    <w:t>/</w:t>
                  </w:r>
                </w:p>
              </w:tc>
              <w:tc>
                <w:tcPr>
                  <w:tcW w:w="826"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cs="Times New Roman"/>
                      <w:color w:val="auto"/>
                      <w:sz w:val="21"/>
                      <w:szCs w:val="21"/>
                      <w:u w:val="none"/>
                      <w:vertAlign w:val="baseline"/>
                      <w:lang w:val="en-US" w:eastAsia="zh-CN"/>
                    </w:rPr>
                  </w:pPr>
                  <w:r>
                    <w:rPr>
                      <w:rFonts w:hint="eastAsia" w:ascii="Times New Roman" w:cs="Times New Roman"/>
                      <w:color w:val="auto"/>
                      <w:sz w:val="21"/>
                      <w:szCs w:val="21"/>
                      <w:u w:val="none"/>
                      <w:vertAlign w:val="baseline"/>
                      <w:lang w:val="en-US" w:eastAsia="zh-CN"/>
                    </w:rPr>
                    <w:t>50g/L</w:t>
                  </w:r>
                </w:p>
              </w:tc>
              <w:tc>
                <w:tcPr>
                  <w:tcW w:w="551" w:type="pct"/>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cs="Times New Roman"/>
                      <w:color w:val="auto"/>
                      <w:sz w:val="21"/>
                      <w:szCs w:val="21"/>
                      <w:u w:val="none"/>
                      <w:vertAlign w:val="baseline"/>
                      <w:lang w:val="en-US" w:eastAsia="zh-CN"/>
                    </w:rPr>
                  </w:pPr>
                  <w:r>
                    <w:rPr>
                      <w:rFonts w:hint="eastAsia" w:ascii="Times New Roman" w:cs="Times New Roman"/>
                      <w:color w:val="auto"/>
                      <w:sz w:val="21"/>
                      <w:szCs w:val="21"/>
                      <w:u w:val="none"/>
                      <w:vertAlign w:val="baseline"/>
                      <w:lang w:val="en-US" w:eastAsia="zh-CN"/>
                    </w:rPr>
                    <w:t>符合</w:t>
                  </w:r>
                </w:p>
              </w:tc>
              <w:tc>
                <w:tcPr>
                  <w:tcW w:w="1101" w:type="pct"/>
                  <w:vMerge w:val="continue"/>
                  <w:tcBorders>
                    <w:tl2br w:val="nil"/>
                    <w:tr2bl w:val="nil"/>
                  </w:tcBorders>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cs="Times New Roman"/>
                      <w:color w:val="auto"/>
                      <w:sz w:val="21"/>
                      <w:szCs w:val="21"/>
                      <w:u w:val="none"/>
                      <w:vertAlign w:val="baseline"/>
                      <w:lang w:val="en-US" w:eastAsia="zh-CN"/>
                    </w:rPr>
                  </w:pPr>
                </w:p>
              </w:tc>
            </w:tr>
          </w:tbl>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eastAsia="zh-CN"/>
              </w:rPr>
              <w:t>由表</w:t>
            </w:r>
            <w:r>
              <w:rPr>
                <w:rFonts w:hint="eastAsia" w:ascii="Times New Roman" w:hAnsi="Times New Roman" w:cs="Times New Roman"/>
                <w:color w:val="auto"/>
                <w:sz w:val="24"/>
                <w:szCs w:val="24"/>
                <w:highlight w:val="none"/>
                <w:lang w:val="en-US" w:eastAsia="zh-CN"/>
              </w:rPr>
              <w:t>2.11分析可知，本项目使用的胶粘剂符合</w:t>
            </w:r>
            <w:r>
              <w:rPr>
                <w:rFonts w:hint="default" w:ascii="Times New Roman" w:hAnsi="Times New Roman" w:eastAsia="宋体" w:cs="Times New Roman"/>
                <w:color w:val="auto"/>
                <w:kern w:val="2"/>
                <w:sz w:val="24"/>
                <w:szCs w:val="24"/>
                <w:lang w:val="en-US" w:eastAsia="zh-CN" w:bidi="ar-SA"/>
              </w:rPr>
              <w:t>《胶粘剂挥发性有机物化合物限量》（GB33372-2020）</w:t>
            </w:r>
            <w:r>
              <w:rPr>
                <w:rFonts w:hint="eastAsia" w:ascii="Times New Roman" w:hAnsi="Times New Roman" w:cs="Times New Roman"/>
                <w:color w:val="auto"/>
                <w:kern w:val="2"/>
                <w:sz w:val="24"/>
                <w:szCs w:val="24"/>
                <w:lang w:val="en-US" w:eastAsia="zh-CN" w:bidi="ar-SA"/>
              </w:rPr>
              <w:t>的相关要求。</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b/>
                <w:bCs/>
                <w:color w:val="auto"/>
                <w:lang w:val="en-US" w:eastAsia="zh-CN"/>
              </w:rPr>
            </w:pPr>
            <w:r>
              <w:rPr>
                <w:rFonts w:hint="default" w:ascii="Times New Roman" w:hAnsi="Times New Roman" w:eastAsia="宋体" w:cs="Times New Roman"/>
                <w:color w:val="auto"/>
                <w:highlight w:val="none"/>
              </w:rPr>
              <w:t>②</w:t>
            </w:r>
            <w:r>
              <w:rPr>
                <w:rFonts w:hint="default" w:ascii="Times New Roman" w:hAnsi="Times New Roman" w:eastAsia="宋体" w:cs="Times New Roman"/>
                <w:color w:val="auto"/>
                <w:sz w:val="24"/>
                <w:szCs w:val="24"/>
                <w:lang w:val="en-US" w:eastAsia="zh-CN"/>
              </w:rPr>
              <w:t>聚乙烯塑料粒（PE）：PE</w:t>
            </w:r>
            <w:r>
              <w:rPr>
                <w:rFonts w:hint="default" w:ascii="Times New Roman" w:hAnsi="Times New Roman" w:eastAsia="宋体" w:cs="Times New Roman"/>
                <w:i w:val="0"/>
                <w:iCs w:val="0"/>
                <w:caps w:val="0"/>
                <w:color w:val="auto"/>
                <w:spacing w:val="0"/>
                <w:sz w:val="24"/>
                <w:szCs w:val="24"/>
                <w:shd w:val="clear" w:fill="FFFFFF"/>
              </w:rPr>
              <w:t>是</w:t>
            </w:r>
            <w:r>
              <w:rPr>
                <w:rFonts w:hint="default" w:ascii="Times New Roman" w:hAnsi="Times New Roman" w:eastAsia="宋体" w:cs="Times New Roman"/>
                <w:i w:val="0"/>
                <w:iCs w:val="0"/>
                <w:caps w:val="0"/>
                <w:color w:val="auto"/>
                <w:spacing w:val="0"/>
                <w:sz w:val="24"/>
                <w:szCs w:val="24"/>
                <w:u w:val="none"/>
                <w:shd w:val="clear" w:fill="FFFFFF"/>
              </w:rPr>
              <w:fldChar w:fldCharType="begin"/>
            </w:r>
            <w:r>
              <w:rPr>
                <w:rFonts w:hint="default" w:ascii="Times New Roman" w:hAnsi="Times New Roman" w:eastAsia="宋体" w:cs="Times New Roman"/>
                <w:i w:val="0"/>
                <w:iCs w:val="0"/>
                <w:caps w:val="0"/>
                <w:color w:val="auto"/>
                <w:spacing w:val="0"/>
                <w:sz w:val="24"/>
                <w:szCs w:val="24"/>
                <w:u w:val="none"/>
                <w:shd w:val="clear" w:fill="FFFFFF"/>
              </w:rPr>
              <w:instrText xml:space="preserve"> HYPERLINK "https://baike.baidu.com/item/%E4%B9%99%E7%83%AF/312903" \t "https://baike.baidu.com/item/%E8%81%9A%E4%B9%99%E7%83%AF/_blank" </w:instrText>
            </w:r>
            <w:r>
              <w:rPr>
                <w:rFonts w:hint="default" w:ascii="Times New Roman" w:hAnsi="Times New Roman" w:eastAsia="宋体" w:cs="Times New Roman"/>
                <w:i w:val="0"/>
                <w:iCs w:val="0"/>
                <w:caps w:val="0"/>
                <w:color w:val="auto"/>
                <w:spacing w:val="0"/>
                <w:sz w:val="24"/>
                <w:szCs w:val="24"/>
                <w:u w:val="none"/>
                <w:shd w:val="clear" w:fill="FFFFFF"/>
              </w:rPr>
              <w:fldChar w:fldCharType="separate"/>
            </w:r>
            <w:r>
              <w:rPr>
                <w:rStyle w:val="26"/>
                <w:rFonts w:hint="default" w:ascii="Times New Roman" w:hAnsi="Times New Roman" w:eastAsia="宋体" w:cs="Times New Roman"/>
                <w:i w:val="0"/>
                <w:iCs w:val="0"/>
                <w:caps w:val="0"/>
                <w:color w:val="auto"/>
                <w:spacing w:val="0"/>
                <w:sz w:val="24"/>
                <w:szCs w:val="24"/>
                <w:u w:val="none"/>
                <w:shd w:val="clear" w:fill="FFFFFF"/>
              </w:rPr>
              <w:t>乙烯</w:t>
            </w:r>
            <w:r>
              <w:rPr>
                <w:rFonts w:hint="default" w:ascii="Times New Roman" w:hAnsi="Times New Roman" w:eastAsia="宋体" w:cs="Times New Roman"/>
                <w:i w:val="0"/>
                <w:iCs w:val="0"/>
                <w:caps w:val="0"/>
                <w:color w:val="auto"/>
                <w:spacing w:val="0"/>
                <w:sz w:val="24"/>
                <w:szCs w:val="24"/>
                <w:u w:val="none"/>
                <w:shd w:val="clear" w:fill="FFFFFF"/>
              </w:rPr>
              <w:fldChar w:fldCharType="end"/>
            </w:r>
            <w:r>
              <w:rPr>
                <w:rFonts w:hint="default" w:ascii="Times New Roman" w:hAnsi="Times New Roman" w:eastAsia="宋体" w:cs="Times New Roman"/>
                <w:i w:val="0"/>
                <w:iCs w:val="0"/>
                <w:caps w:val="0"/>
                <w:color w:val="auto"/>
                <w:spacing w:val="0"/>
                <w:sz w:val="24"/>
                <w:szCs w:val="24"/>
                <w:shd w:val="clear" w:fill="FFFFFF"/>
              </w:rPr>
              <w:t>经聚合制得的一种</w:t>
            </w:r>
            <w:r>
              <w:rPr>
                <w:rFonts w:hint="default" w:ascii="Times New Roman" w:hAnsi="Times New Roman" w:eastAsia="宋体" w:cs="Times New Roman"/>
                <w:i w:val="0"/>
                <w:iCs w:val="0"/>
                <w:caps w:val="0"/>
                <w:color w:val="auto"/>
                <w:spacing w:val="0"/>
                <w:sz w:val="24"/>
                <w:szCs w:val="24"/>
                <w:u w:val="none"/>
                <w:shd w:val="clear" w:fill="FFFFFF"/>
              </w:rPr>
              <w:fldChar w:fldCharType="begin"/>
            </w:r>
            <w:r>
              <w:rPr>
                <w:rFonts w:hint="default" w:ascii="Times New Roman" w:hAnsi="Times New Roman" w:eastAsia="宋体" w:cs="Times New Roman"/>
                <w:i w:val="0"/>
                <w:iCs w:val="0"/>
                <w:caps w:val="0"/>
                <w:color w:val="auto"/>
                <w:spacing w:val="0"/>
                <w:sz w:val="24"/>
                <w:szCs w:val="24"/>
                <w:u w:val="none"/>
                <w:shd w:val="clear" w:fill="FFFFFF"/>
              </w:rPr>
              <w:instrText xml:space="preserve"> HYPERLINK "https://baike.baidu.com/item/%E7%83%AD%E5%A1%91%E6%80%A7%E6%A0%91%E8%84%82/2750555" \t "https://baike.baidu.com/item/%E8%81%9A%E4%B9%99%E7%83%AF/_blank" </w:instrText>
            </w:r>
            <w:r>
              <w:rPr>
                <w:rFonts w:hint="default" w:ascii="Times New Roman" w:hAnsi="Times New Roman" w:eastAsia="宋体" w:cs="Times New Roman"/>
                <w:i w:val="0"/>
                <w:iCs w:val="0"/>
                <w:caps w:val="0"/>
                <w:color w:val="auto"/>
                <w:spacing w:val="0"/>
                <w:sz w:val="24"/>
                <w:szCs w:val="24"/>
                <w:u w:val="none"/>
                <w:shd w:val="clear" w:fill="FFFFFF"/>
              </w:rPr>
              <w:fldChar w:fldCharType="separate"/>
            </w:r>
            <w:r>
              <w:rPr>
                <w:rStyle w:val="26"/>
                <w:rFonts w:hint="default" w:ascii="Times New Roman" w:hAnsi="Times New Roman" w:eastAsia="宋体" w:cs="Times New Roman"/>
                <w:i w:val="0"/>
                <w:iCs w:val="0"/>
                <w:caps w:val="0"/>
                <w:color w:val="auto"/>
                <w:spacing w:val="0"/>
                <w:sz w:val="24"/>
                <w:szCs w:val="24"/>
                <w:u w:val="none"/>
                <w:shd w:val="clear" w:fill="FFFFFF"/>
              </w:rPr>
              <w:t>热塑性树脂</w:t>
            </w:r>
            <w:r>
              <w:rPr>
                <w:rFonts w:hint="default" w:ascii="Times New Roman" w:hAnsi="Times New Roman" w:eastAsia="宋体" w:cs="Times New Roman"/>
                <w:i w:val="0"/>
                <w:iCs w:val="0"/>
                <w:caps w:val="0"/>
                <w:color w:val="auto"/>
                <w:spacing w:val="0"/>
                <w:sz w:val="24"/>
                <w:szCs w:val="24"/>
                <w:u w:val="none"/>
                <w:shd w:val="clear" w:fill="FFFFFF"/>
              </w:rPr>
              <w:fldChar w:fldCharType="end"/>
            </w:r>
            <w:r>
              <w:rPr>
                <w:rFonts w:hint="default" w:ascii="Times New Roman" w:hAnsi="Times New Roman" w:eastAsia="宋体" w:cs="Times New Roman"/>
                <w:i w:val="0"/>
                <w:iCs w:val="0"/>
                <w:caps w:val="0"/>
                <w:color w:val="auto"/>
                <w:spacing w:val="0"/>
                <w:sz w:val="24"/>
                <w:szCs w:val="24"/>
                <w:u w:val="none"/>
                <w:shd w:val="clear" w:fill="FFFFFF"/>
                <w:lang w:eastAsia="zh-CN"/>
              </w:rPr>
              <w:t>，</w:t>
            </w:r>
            <w:r>
              <w:rPr>
                <w:rFonts w:hint="default" w:ascii="Times New Roman" w:hAnsi="Times New Roman" w:eastAsia="宋体" w:cs="Times New Roman"/>
                <w:color w:val="auto"/>
                <w:sz w:val="24"/>
                <w:szCs w:val="24"/>
                <w:lang w:val="en-US" w:eastAsia="zh-CN"/>
              </w:rPr>
              <w:t>外观呈</w:t>
            </w:r>
            <w:r>
              <w:rPr>
                <w:rFonts w:hint="default" w:ascii="Times New Roman" w:hAnsi="Times New Roman" w:eastAsia="宋体" w:cs="Times New Roman"/>
                <w:i w:val="0"/>
                <w:iCs w:val="0"/>
                <w:caps w:val="0"/>
                <w:color w:val="auto"/>
                <w:spacing w:val="0"/>
                <w:sz w:val="24"/>
                <w:szCs w:val="24"/>
                <w:shd w:val="clear" w:fill="FFFFFF"/>
              </w:rPr>
              <w:t>颗粒状</w:t>
            </w:r>
            <w:r>
              <w:rPr>
                <w:rFonts w:hint="default" w:ascii="Times New Roman" w:hAnsi="Times New Roman" w:eastAsia="宋体" w:cs="Times New Roman"/>
                <w:i w:val="0"/>
                <w:iCs w:val="0"/>
                <w:caps w:val="0"/>
                <w:color w:val="auto"/>
                <w:spacing w:val="0"/>
                <w:sz w:val="24"/>
                <w:szCs w:val="24"/>
                <w:shd w:val="clear" w:fill="FFFFFF"/>
                <w:lang w:eastAsia="zh-CN"/>
              </w:rPr>
              <w:t>，</w:t>
            </w:r>
            <w:r>
              <w:rPr>
                <w:rFonts w:hint="default" w:ascii="Times New Roman" w:hAnsi="Times New Roman" w:eastAsia="宋体" w:cs="Times New Roman"/>
                <w:i w:val="0"/>
                <w:iCs w:val="0"/>
                <w:caps w:val="0"/>
                <w:color w:val="auto"/>
                <w:spacing w:val="0"/>
                <w:sz w:val="24"/>
                <w:szCs w:val="24"/>
                <w:shd w:val="clear" w:fill="FFFFFF"/>
              </w:rPr>
              <w:t>无毒，无味，</w:t>
            </w:r>
            <w:r>
              <w:rPr>
                <w:rFonts w:hint="default" w:ascii="Times New Roman" w:hAnsi="Times New Roman" w:eastAsia="宋体" w:cs="Times New Roman"/>
                <w:i w:val="0"/>
                <w:iCs w:val="0"/>
                <w:caps w:val="0"/>
                <w:color w:val="auto"/>
                <w:spacing w:val="0"/>
                <w:sz w:val="24"/>
                <w:szCs w:val="24"/>
                <w:shd w:val="clear" w:fill="FFFFFF"/>
                <w:lang w:eastAsia="zh-CN"/>
              </w:rPr>
              <w:t>密度为</w:t>
            </w:r>
            <w:r>
              <w:rPr>
                <w:rFonts w:hint="default" w:ascii="Times New Roman" w:hAnsi="Times New Roman" w:eastAsia="Helvetica" w:cs="Times New Roman"/>
                <w:i w:val="0"/>
                <w:iCs w:val="0"/>
                <w:caps w:val="0"/>
                <w:color w:val="auto"/>
                <w:spacing w:val="0"/>
                <w:sz w:val="24"/>
                <w:szCs w:val="24"/>
                <w:shd w:val="clear" w:fill="FFFFFF"/>
              </w:rPr>
              <w:t>0.941~0.960</w:t>
            </w:r>
            <w:r>
              <w:rPr>
                <w:rFonts w:hint="default" w:ascii="Times New Roman" w:hAnsi="Times New Roman" w:cs="Times New Roman"/>
                <w:color w:val="auto"/>
                <w:sz w:val="24"/>
                <w:szCs w:val="24"/>
                <w:highlight w:val="none"/>
              </w:rPr>
              <w:t>g/cm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w:t>
            </w:r>
            <w:r>
              <w:rPr>
                <w:rFonts w:hint="default" w:ascii="Times New Roman" w:hAnsi="Times New Roman" w:eastAsia="宋体" w:cs="Times New Roman"/>
                <w:i w:val="0"/>
                <w:iCs w:val="0"/>
                <w:caps w:val="0"/>
                <w:color w:val="auto"/>
                <w:spacing w:val="0"/>
                <w:sz w:val="24"/>
                <w:szCs w:val="24"/>
                <w:shd w:val="clear" w:fill="FFFFFF"/>
              </w:rPr>
              <w:t>结晶度为80%～90%，软化点为125～135℃，使用温度可达100℃</w:t>
            </w:r>
            <w:r>
              <w:rPr>
                <w:rFonts w:hint="default" w:ascii="Times New Roman" w:hAnsi="Times New Roman" w:eastAsia="宋体" w:cs="Times New Roman"/>
                <w:color w:val="auto"/>
                <w:sz w:val="24"/>
                <w:szCs w:val="24"/>
                <w:highlight w:val="none"/>
              </w:rPr>
              <w:t>，分解温度为</w:t>
            </w:r>
            <w:r>
              <w:rPr>
                <w:rFonts w:hint="default" w:ascii="Times New Roman" w:hAnsi="Times New Roman" w:eastAsia="宋体" w:cs="Times New Roman"/>
                <w:color w:val="auto"/>
                <w:sz w:val="24"/>
                <w:szCs w:val="24"/>
                <w:highlight w:val="none"/>
                <w:lang w:val="en-US" w:eastAsia="zh-CN"/>
              </w:rPr>
              <w:t>335</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450</w:t>
            </w:r>
            <w:r>
              <w:rPr>
                <w:rFonts w:hint="default" w:ascii="Times New Roman" w:hAnsi="Times New Roman" w:eastAsia="宋体" w:cs="Times New Roman"/>
                <w:color w:val="auto"/>
                <w:sz w:val="24"/>
                <w:szCs w:val="24"/>
                <w:highlight w:val="none"/>
              </w:rPr>
              <w:t>℃，熔融段温度最好在240℃。</w:t>
            </w:r>
            <w:r>
              <w:rPr>
                <w:rFonts w:hint="default" w:ascii="Times New Roman" w:hAnsi="Times New Roman" w:eastAsia="宋体" w:cs="Times New Roman"/>
                <w:color w:val="auto"/>
                <w:sz w:val="24"/>
                <w:szCs w:val="24"/>
                <w:lang w:val="en-US" w:eastAsia="zh-CN"/>
              </w:rPr>
              <w:t>高密度聚乙烯</w:t>
            </w:r>
            <w:r>
              <w:rPr>
                <w:rFonts w:hint="default" w:ascii="Times New Roman" w:hAnsi="Times New Roman" w:eastAsia="宋体" w:cs="Times New Roman"/>
                <w:i w:val="0"/>
                <w:iCs w:val="0"/>
                <w:caps w:val="0"/>
                <w:color w:val="auto"/>
                <w:spacing w:val="0"/>
                <w:sz w:val="24"/>
                <w:szCs w:val="24"/>
                <w:shd w:val="clear" w:fill="FFFFFF"/>
              </w:rPr>
              <w:t>硬度、拉伸强度和蠕变性优于</w:t>
            </w:r>
            <w:r>
              <w:rPr>
                <w:rFonts w:hint="default" w:ascii="Times New Roman" w:hAnsi="Times New Roman" w:eastAsia="宋体" w:cs="Times New Roman"/>
                <w:i w:val="0"/>
                <w:iCs w:val="0"/>
                <w:caps w:val="0"/>
                <w:color w:val="auto"/>
                <w:spacing w:val="0"/>
                <w:sz w:val="24"/>
                <w:szCs w:val="24"/>
                <w:u w:val="none"/>
                <w:shd w:val="clear" w:fill="FFFFFF"/>
              </w:rPr>
              <w:fldChar w:fldCharType="begin"/>
            </w:r>
            <w:r>
              <w:rPr>
                <w:rFonts w:hint="default" w:ascii="Times New Roman" w:hAnsi="Times New Roman" w:eastAsia="宋体" w:cs="Times New Roman"/>
                <w:i w:val="0"/>
                <w:iCs w:val="0"/>
                <w:caps w:val="0"/>
                <w:color w:val="auto"/>
                <w:spacing w:val="0"/>
                <w:sz w:val="24"/>
                <w:szCs w:val="24"/>
                <w:u w:val="none"/>
                <w:shd w:val="clear" w:fill="FFFFFF"/>
              </w:rPr>
              <w:instrText xml:space="preserve"> HYPERLINK "https://baike.baidu.com/item/%E4%BD%8E%E5%AF%86%E5%BA%A6%E8%81%9A%E4%B9%99%E7%83%AF/4905186" \t "https://baike.baidu.com/item/%E9%AB%98%E5%AF%86%E5%BA%A6%E8%81%9A%E4%B9%99%E7%83%AF/_blank" </w:instrText>
            </w:r>
            <w:r>
              <w:rPr>
                <w:rFonts w:hint="default" w:ascii="Times New Roman" w:hAnsi="Times New Roman" w:eastAsia="宋体" w:cs="Times New Roman"/>
                <w:i w:val="0"/>
                <w:iCs w:val="0"/>
                <w:caps w:val="0"/>
                <w:color w:val="auto"/>
                <w:spacing w:val="0"/>
                <w:sz w:val="24"/>
                <w:szCs w:val="24"/>
                <w:u w:val="none"/>
                <w:shd w:val="clear" w:fill="FFFFFF"/>
              </w:rPr>
              <w:fldChar w:fldCharType="separate"/>
            </w:r>
            <w:r>
              <w:rPr>
                <w:rStyle w:val="26"/>
                <w:rFonts w:hint="default" w:ascii="Times New Roman" w:hAnsi="Times New Roman" w:eastAsia="宋体" w:cs="Times New Roman"/>
                <w:i w:val="0"/>
                <w:iCs w:val="0"/>
                <w:caps w:val="0"/>
                <w:color w:val="auto"/>
                <w:spacing w:val="0"/>
                <w:sz w:val="24"/>
                <w:szCs w:val="24"/>
                <w:u w:val="none"/>
                <w:shd w:val="clear" w:fill="FFFFFF"/>
              </w:rPr>
              <w:t>低密度聚乙烯</w:t>
            </w:r>
            <w:r>
              <w:rPr>
                <w:rFonts w:hint="default" w:ascii="Times New Roman" w:hAnsi="Times New Roman" w:eastAsia="宋体" w:cs="Times New Roman"/>
                <w:i w:val="0"/>
                <w:iCs w:val="0"/>
                <w:caps w:val="0"/>
                <w:color w:val="auto"/>
                <w:spacing w:val="0"/>
                <w:sz w:val="24"/>
                <w:szCs w:val="24"/>
                <w:u w:val="none"/>
                <w:shd w:val="clear" w:fill="FFFFFF"/>
              </w:rPr>
              <w:fldChar w:fldCharType="end"/>
            </w:r>
            <w:r>
              <w:rPr>
                <w:rFonts w:hint="default" w:ascii="Times New Roman" w:hAnsi="Times New Roman" w:eastAsia="宋体" w:cs="Times New Roman"/>
                <w:i w:val="0"/>
                <w:iCs w:val="0"/>
                <w:caps w:val="0"/>
                <w:color w:val="auto"/>
                <w:spacing w:val="0"/>
                <w:sz w:val="24"/>
                <w:szCs w:val="24"/>
                <w:shd w:val="clear" w:fill="FFFFFF"/>
              </w:rPr>
              <w:t>；耐磨性、电绝缘性、韧性及耐寒性较好；</w:t>
            </w:r>
            <w:r>
              <w:rPr>
                <w:rFonts w:hint="default" w:ascii="Times New Roman" w:hAnsi="Times New Roman" w:eastAsia="宋体" w:cs="Times New Roman"/>
                <w:i w:val="0"/>
                <w:iCs w:val="0"/>
                <w:caps w:val="0"/>
                <w:color w:val="auto"/>
                <w:spacing w:val="0"/>
                <w:sz w:val="24"/>
                <w:szCs w:val="24"/>
                <w:u w:val="none"/>
                <w:shd w:val="clear" w:fill="FFFFFF"/>
              </w:rPr>
              <w:fldChar w:fldCharType="begin"/>
            </w:r>
            <w:r>
              <w:rPr>
                <w:rFonts w:hint="default" w:ascii="Times New Roman" w:hAnsi="Times New Roman" w:eastAsia="宋体" w:cs="Times New Roman"/>
                <w:i w:val="0"/>
                <w:iCs w:val="0"/>
                <w:caps w:val="0"/>
                <w:color w:val="auto"/>
                <w:spacing w:val="0"/>
                <w:sz w:val="24"/>
                <w:szCs w:val="24"/>
                <w:u w:val="none"/>
                <w:shd w:val="clear" w:fill="FFFFFF"/>
              </w:rPr>
              <w:instrText xml:space="preserve"> HYPERLINK "https://baike.baidu.com/item/%E5%8C%96%E5%AD%A6%E7%A8%B3%E5%AE%9A%E6%80%A7/1850096" \t "https://baike.baidu.com/item/%E9%AB%98%E5%AF%86%E5%BA%A6%E8%81%9A%E4%B9%99%E7%83%AF/_blank" </w:instrText>
            </w:r>
            <w:r>
              <w:rPr>
                <w:rFonts w:hint="default" w:ascii="Times New Roman" w:hAnsi="Times New Roman" w:eastAsia="宋体" w:cs="Times New Roman"/>
                <w:i w:val="0"/>
                <w:iCs w:val="0"/>
                <w:caps w:val="0"/>
                <w:color w:val="auto"/>
                <w:spacing w:val="0"/>
                <w:sz w:val="24"/>
                <w:szCs w:val="24"/>
                <w:u w:val="none"/>
                <w:shd w:val="clear" w:fill="FFFFFF"/>
              </w:rPr>
              <w:fldChar w:fldCharType="separate"/>
            </w:r>
            <w:r>
              <w:rPr>
                <w:rStyle w:val="26"/>
                <w:rFonts w:hint="default" w:ascii="Times New Roman" w:hAnsi="Times New Roman" w:eastAsia="宋体" w:cs="Times New Roman"/>
                <w:i w:val="0"/>
                <w:iCs w:val="0"/>
                <w:caps w:val="0"/>
                <w:color w:val="auto"/>
                <w:spacing w:val="0"/>
                <w:sz w:val="24"/>
                <w:szCs w:val="24"/>
                <w:u w:val="none"/>
                <w:shd w:val="clear" w:fill="FFFFFF"/>
              </w:rPr>
              <w:t>化学稳定性</w:t>
            </w:r>
            <w:r>
              <w:rPr>
                <w:rFonts w:hint="default" w:ascii="Times New Roman" w:hAnsi="Times New Roman" w:eastAsia="宋体" w:cs="Times New Roman"/>
                <w:i w:val="0"/>
                <w:iCs w:val="0"/>
                <w:caps w:val="0"/>
                <w:color w:val="auto"/>
                <w:spacing w:val="0"/>
                <w:sz w:val="24"/>
                <w:szCs w:val="24"/>
                <w:u w:val="none"/>
                <w:shd w:val="clear" w:fill="FFFFFF"/>
              </w:rPr>
              <w:fldChar w:fldCharType="end"/>
            </w:r>
            <w:r>
              <w:rPr>
                <w:rFonts w:hint="default" w:ascii="Times New Roman" w:hAnsi="Times New Roman" w:eastAsia="宋体" w:cs="Times New Roman"/>
                <w:i w:val="0"/>
                <w:iCs w:val="0"/>
                <w:caps w:val="0"/>
                <w:color w:val="auto"/>
                <w:spacing w:val="0"/>
                <w:sz w:val="24"/>
                <w:szCs w:val="24"/>
                <w:shd w:val="clear" w:fill="FFFFFF"/>
              </w:rPr>
              <w:t>好，在室温条件下，不溶于任何有机溶剂，耐酸、碱和各种盐类的腐蚀。</w:t>
            </w:r>
          </w:p>
          <w:p>
            <w:pPr>
              <w:pStyle w:val="2"/>
              <w:rPr>
                <w:rFonts w:ascii="Times New Roman" w:cs="Times New Roman"/>
                <w:b/>
                <w:bCs/>
                <w:color w:val="auto"/>
                <w:highlight w:val="yellow"/>
              </w:rPr>
            </w:pPr>
            <w:r>
              <w:rPr>
                <w:rFonts w:ascii="Times New Roman" w:cs="Times New Roman"/>
                <w:b/>
                <w:bCs/>
                <w:color w:val="auto"/>
              </w:rPr>
              <w:t>总平面布置及合理性分析</w:t>
            </w:r>
          </w:p>
          <w:p>
            <w:pPr>
              <w:pStyle w:val="2"/>
              <w:ind w:firstLine="480" w:firstLineChars="200"/>
              <w:rPr>
                <w:rFonts w:ascii="Times New Roman" w:hAnsi="Times New Roman" w:cs="Times New Roman"/>
                <w:color w:val="auto"/>
              </w:rPr>
            </w:pPr>
            <w:r>
              <w:rPr>
                <w:rFonts w:hint="eastAsia" w:ascii="Times New Roman" w:cs="Times New Roman"/>
                <w:color w:val="auto"/>
              </w:rPr>
              <w:t>本项目地块呈矩形，厂区由东南向西北依次布置1#综合楼、2#厂房、3#厂房。2#厂房高1层，现有工程的复合区、横切区、裁剪区、缝纫区设置在2#厂房的东南部，现有工程的冲切区、平切区、模具区设置在2#厂房的西部，现有工程的无纺布生产线布置</w:t>
            </w:r>
            <w:r>
              <w:rPr>
                <w:rFonts w:ascii="Times New Roman" w:hAnsi="Times New Roman" w:cs="Times New Roman"/>
                <w:color w:val="auto"/>
              </w:rPr>
              <w:t>在2#厂房的东部，新增的拉幅定型无纺布生产线、淋膜无纺布生产线布置在2#厂房中部，2#厂房的西北部设置为原材料堆放区、成品堆放区；3#厂房高1层，西北角区域设置现有工程的开花区、打包区，其它区域设置为原材料及成品堆放区；1#综合楼高3层，</w:t>
            </w:r>
            <w:r>
              <w:rPr>
                <w:rFonts w:ascii="Times New Roman" w:hAnsi="Times New Roman" w:cs="Times New Roman"/>
                <w:color w:val="auto"/>
                <w:szCs w:val="21"/>
              </w:rPr>
              <w:t>其中1F设置为员工食堂、展览大厅、检验区；2F设置为行政办公室；3F设置为员工宿舍。</w:t>
            </w:r>
          </w:p>
          <w:p>
            <w:pPr>
              <w:pStyle w:val="2"/>
              <w:ind w:firstLine="480" w:firstLineChars="200"/>
              <w:rPr>
                <w:rFonts w:ascii="Times New Roman" w:hAnsi="Times New Roman" w:cs="Times New Roman"/>
                <w:color w:val="auto"/>
              </w:rPr>
            </w:pPr>
            <w:r>
              <w:rPr>
                <w:rFonts w:ascii="Times New Roman" w:hAnsi="Times New Roman" w:cs="Times New Roman"/>
                <w:color w:val="auto"/>
              </w:rPr>
              <w:t>厂区内污水处理设施设置地块东南角，其地势相对较低，并临近生产厂房，便于收集本项目废水；2#车间现有工程复合区产生的废气经收集、处理后引至15mg高1#排气筒排放，2#车间新增拉幅定型无纺布生产线、淋膜无纺布生产线产生的废气经收集、处理后引至15m高的3#排气排放；3#车间现有工程开花区、打包区产生的废气经收集、处理后引至15高的2#排气筒排放；危险废物暂存间设置在2#厂房的东北侧，一般工业固废暂存间设置在3#厂房的西南部，便于收集产生的固体废物。</w:t>
            </w:r>
          </w:p>
          <w:p>
            <w:pPr>
              <w:adjustRightInd w:val="0"/>
              <w:snapToGrid w:val="0"/>
              <w:spacing w:line="360" w:lineRule="auto"/>
              <w:ind w:firstLine="480" w:firstLineChars="200"/>
              <w:rPr>
                <w:color w:val="auto"/>
                <w:sz w:val="24"/>
              </w:rPr>
            </w:pPr>
            <w:r>
              <w:rPr>
                <w:color w:val="auto"/>
                <w:sz w:val="24"/>
              </w:rPr>
              <w:t>综上所述，本项目总体布局能够满足生产的需要，进、出物料运输便捷，功能分区明确，对外联系方便、总体布局合理</w:t>
            </w:r>
            <w:r>
              <w:rPr>
                <w:rFonts w:hint="eastAsia"/>
                <w:color w:val="auto"/>
                <w:sz w:val="24"/>
              </w:rPr>
              <w:t>。</w:t>
            </w:r>
          </w:p>
          <w:p>
            <w:pPr>
              <w:adjustRightInd w:val="0"/>
              <w:snapToGrid w:val="0"/>
              <w:spacing w:line="360" w:lineRule="auto"/>
              <w:rPr>
                <w:color w:val="auto"/>
              </w:rPr>
            </w:pPr>
            <w:r>
              <w:rPr>
                <w:b/>
                <w:color w:val="auto"/>
                <w:sz w:val="24"/>
              </w:rPr>
              <w:t>项目</w:t>
            </w:r>
            <w:r>
              <w:rPr>
                <w:rFonts w:hint="eastAsia"/>
                <w:b/>
                <w:color w:val="auto"/>
                <w:sz w:val="24"/>
              </w:rPr>
              <w:t>改扩建</w:t>
            </w:r>
            <w:r>
              <w:rPr>
                <w:b/>
                <w:color w:val="auto"/>
                <w:sz w:val="24"/>
              </w:rPr>
              <w:t>前后基本情况变化</w:t>
            </w:r>
          </w:p>
          <w:p>
            <w:pPr>
              <w:pStyle w:val="11"/>
              <w:adjustRightInd w:val="0"/>
              <w:snapToGrid w:val="0"/>
              <w:spacing w:after="0" w:line="360" w:lineRule="auto"/>
              <w:ind w:left="0" w:leftChars="0"/>
              <w:jc w:val="center"/>
              <w:rPr>
                <w:color w:val="auto"/>
                <w:sz w:val="21"/>
                <w:szCs w:val="21"/>
              </w:rPr>
            </w:pPr>
            <w:r>
              <w:rPr>
                <w:color w:val="auto"/>
                <w:sz w:val="21"/>
                <w:szCs w:val="21"/>
              </w:rPr>
              <w:t>表</w:t>
            </w:r>
            <w:r>
              <w:rPr>
                <w:rFonts w:hint="eastAsia"/>
                <w:color w:val="auto"/>
                <w:sz w:val="21"/>
                <w:szCs w:val="21"/>
              </w:rPr>
              <w:t>2.</w:t>
            </w:r>
            <w:r>
              <w:rPr>
                <w:rFonts w:hint="eastAsia"/>
                <w:color w:val="auto"/>
                <w:sz w:val="21"/>
                <w:szCs w:val="21"/>
                <w:lang w:val="en-US" w:eastAsia="zh-CN"/>
              </w:rPr>
              <w:t>12</w:t>
            </w:r>
            <w:r>
              <w:rPr>
                <w:rFonts w:hint="eastAsia"/>
                <w:color w:val="auto"/>
                <w:sz w:val="21"/>
                <w:szCs w:val="21"/>
              </w:rPr>
              <w:t xml:space="preserve"> 项目扩建前后</w:t>
            </w:r>
            <w:r>
              <w:rPr>
                <w:color w:val="auto"/>
                <w:sz w:val="21"/>
                <w:szCs w:val="21"/>
              </w:rPr>
              <w:t>基本情况对照表</w:t>
            </w:r>
          </w:p>
          <w:tbl>
            <w:tblPr>
              <w:tblStyle w:val="22"/>
              <w:tblW w:w="4998" w:type="pct"/>
              <w:tblInd w:w="0"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41"/>
              <w:gridCol w:w="1790"/>
              <w:gridCol w:w="1898"/>
              <w:gridCol w:w="1949"/>
              <w:gridCol w:w="2285"/>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1332" w:type="pct"/>
                  <w:gridSpan w:val="2"/>
                  <w:vAlign w:val="center"/>
                </w:tcPr>
                <w:p>
                  <w:pPr>
                    <w:pStyle w:val="62"/>
                    <w:adjustRightInd w:val="0"/>
                    <w:snapToGrid w:val="0"/>
                    <w:spacing w:line="240" w:lineRule="auto"/>
                    <w:ind w:firstLine="0"/>
                    <w:rPr>
                      <w:rFonts w:ascii="Times New Roman" w:hAnsi="Times New Roman"/>
                      <w:color w:val="auto"/>
                      <w:sz w:val="21"/>
                      <w:szCs w:val="21"/>
                    </w:rPr>
                  </w:pPr>
                  <w:r>
                    <w:rPr>
                      <w:rFonts w:ascii="Times New Roman" w:hAnsi="Times New Roman"/>
                      <w:color w:val="auto"/>
                      <w:sz w:val="21"/>
                      <w:szCs w:val="21"/>
                    </w:rPr>
                    <w:t>项目</w:t>
                  </w:r>
                </w:p>
              </w:tc>
              <w:tc>
                <w:tcPr>
                  <w:tcW w:w="1135" w:type="pct"/>
                  <w:vAlign w:val="center"/>
                </w:tcPr>
                <w:p>
                  <w:pPr>
                    <w:pStyle w:val="62"/>
                    <w:adjustRightInd w:val="0"/>
                    <w:snapToGrid w:val="0"/>
                    <w:spacing w:line="240" w:lineRule="auto"/>
                    <w:ind w:firstLine="0"/>
                    <w:rPr>
                      <w:rFonts w:ascii="Times New Roman" w:hAnsi="Times New Roman"/>
                      <w:color w:val="auto"/>
                      <w:sz w:val="21"/>
                      <w:szCs w:val="21"/>
                    </w:rPr>
                  </w:pPr>
                  <w:r>
                    <w:rPr>
                      <w:rFonts w:ascii="Times New Roman" w:hAnsi="Times New Roman"/>
                      <w:color w:val="auto"/>
                      <w:sz w:val="21"/>
                      <w:szCs w:val="21"/>
                    </w:rPr>
                    <w:t>现有工程</w:t>
                  </w:r>
                </w:p>
              </w:tc>
              <w:tc>
                <w:tcPr>
                  <w:tcW w:w="1165" w:type="pct"/>
                  <w:vAlign w:val="center"/>
                </w:tcPr>
                <w:p>
                  <w:pPr>
                    <w:pStyle w:val="11"/>
                    <w:adjustRightInd w:val="0"/>
                    <w:snapToGrid w:val="0"/>
                    <w:spacing w:after="0"/>
                    <w:ind w:left="0" w:leftChars="0"/>
                    <w:jc w:val="center"/>
                    <w:rPr>
                      <w:color w:val="auto"/>
                      <w:szCs w:val="21"/>
                    </w:rPr>
                  </w:pPr>
                  <w:r>
                    <w:rPr>
                      <w:color w:val="auto"/>
                      <w:szCs w:val="21"/>
                    </w:rPr>
                    <w:t>扩建工程</w:t>
                  </w:r>
                </w:p>
              </w:tc>
              <w:tc>
                <w:tcPr>
                  <w:tcW w:w="1365" w:type="pct"/>
                  <w:vAlign w:val="center"/>
                </w:tcPr>
                <w:p>
                  <w:pPr>
                    <w:pStyle w:val="11"/>
                    <w:adjustRightInd w:val="0"/>
                    <w:snapToGrid w:val="0"/>
                    <w:spacing w:after="0"/>
                    <w:ind w:left="0" w:leftChars="0"/>
                    <w:jc w:val="center"/>
                    <w:rPr>
                      <w:color w:val="auto"/>
                      <w:szCs w:val="21"/>
                    </w:rPr>
                  </w:pPr>
                  <w:r>
                    <w:rPr>
                      <w:color w:val="auto"/>
                      <w:szCs w:val="21"/>
                    </w:rPr>
                    <w:t>总体工程</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197" w:hRule="atLeast"/>
              </w:trPr>
              <w:tc>
                <w:tcPr>
                  <w:tcW w:w="261" w:type="pct"/>
                  <w:vMerge w:val="restart"/>
                  <w:vAlign w:val="center"/>
                </w:tcPr>
                <w:p>
                  <w:pPr>
                    <w:pStyle w:val="11"/>
                    <w:adjustRightInd w:val="0"/>
                    <w:snapToGrid w:val="0"/>
                    <w:spacing w:after="0"/>
                    <w:ind w:left="0" w:leftChars="0"/>
                    <w:jc w:val="center"/>
                    <w:rPr>
                      <w:color w:val="auto"/>
                      <w:szCs w:val="21"/>
                    </w:rPr>
                  </w:pPr>
                  <w:r>
                    <w:rPr>
                      <w:color w:val="auto"/>
                      <w:szCs w:val="21"/>
                    </w:rPr>
                    <w:t>生产规模</w:t>
                  </w:r>
                </w:p>
              </w:tc>
              <w:tc>
                <w:tcPr>
                  <w:tcW w:w="1070" w:type="pct"/>
                  <w:vAlign w:val="center"/>
                </w:tcPr>
                <w:p>
                  <w:pPr>
                    <w:pStyle w:val="11"/>
                    <w:adjustRightInd w:val="0"/>
                    <w:snapToGrid w:val="0"/>
                    <w:spacing w:after="0"/>
                    <w:ind w:left="0" w:leftChars="0"/>
                    <w:jc w:val="center"/>
                    <w:rPr>
                      <w:color w:val="auto"/>
                      <w:szCs w:val="21"/>
                    </w:rPr>
                  </w:pPr>
                  <w:r>
                    <w:rPr>
                      <w:rFonts w:hint="eastAsia"/>
                      <w:color w:val="auto"/>
                      <w:szCs w:val="21"/>
                    </w:rPr>
                    <w:t>拉幅定型无纺布</w:t>
                  </w:r>
                </w:p>
              </w:tc>
              <w:tc>
                <w:tcPr>
                  <w:tcW w:w="1135" w:type="pct"/>
                  <w:vAlign w:val="center"/>
                </w:tcPr>
                <w:p>
                  <w:pPr>
                    <w:pStyle w:val="62"/>
                    <w:adjustRightInd w:val="0"/>
                    <w:snapToGrid w:val="0"/>
                    <w:spacing w:line="240" w:lineRule="auto"/>
                    <w:ind w:firstLine="0"/>
                    <w:rPr>
                      <w:rFonts w:ascii="Times New Roman" w:hAnsi="Times New Roman"/>
                      <w:color w:val="auto"/>
                      <w:sz w:val="21"/>
                      <w:szCs w:val="21"/>
                    </w:rPr>
                  </w:pPr>
                  <w:r>
                    <w:rPr>
                      <w:rFonts w:ascii="Times New Roman" w:hAnsi="Times New Roman"/>
                      <w:color w:val="auto"/>
                      <w:sz w:val="21"/>
                      <w:szCs w:val="21"/>
                    </w:rPr>
                    <w:t>0t/a</w:t>
                  </w:r>
                </w:p>
              </w:tc>
              <w:tc>
                <w:tcPr>
                  <w:tcW w:w="1165" w:type="pct"/>
                  <w:vAlign w:val="center"/>
                </w:tcPr>
                <w:p>
                  <w:pPr>
                    <w:widowControl/>
                    <w:adjustRightInd w:val="0"/>
                    <w:snapToGrid w:val="0"/>
                    <w:jc w:val="center"/>
                    <w:rPr>
                      <w:color w:val="auto"/>
                      <w:szCs w:val="21"/>
                    </w:rPr>
                  </w:pPr>
                  <w:r>
                    <w:rPr>
                      <w:rFonts w:hint="eastAsia"/>
                      <w:color w:val="auto"/>
                      <w:szCs w:val="21"/>
                    </w:rPr>
                    <w:t>50</w:t>
                  </w:r>
                  <w:r>
                    <w:rPr>
                      <w:color w:val="auto"/>
                      <w:szCs w:val="21"/>
                    </w:rPr>
                    <w:t>0t/a</w:t>
                  </w:r>
                </w:p>
              </w:tc>
              <w:tc>
                <w:tcPr>
                  <w:tcW w:w="1365" w:type="pct"/>
                  <w:vAlign w:val="center"/>
                </w:tcPr>
                <w:p>
                  <w:pPr>
                    <w:widowControl/>
                    <w:adjustRightInd w:val="0"/>
                    <w:snapToGrid w:val="0"/>
                    <w:jc w:val="center"/>
                    <w:rPr>
                      <w:color w:val="auto"/>
                      <w:szCs w:val="21"/>
                    </w:rPr>
                  </w:pPr>
                  <w:r>
                    <w:rPr>
                      <w:rFonts w:hint="eastAsia"/>
                      <w:color w:val="auto"/>
                      <w:kern w:val="0"/>
                      <w:szCs w:val="21"/>
                    </w:rPr>
                    <w:t>500t/a</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7" w:hRule="atLeast"/>
              </w:trPr>
              <w:tc>
                <w:tcPr>
                  <w:tcW w:w="261" w:type="pct"/>
                  <w:vMerge w:val="continue"/>
                  <w:vAlign w:val="center"/>
                </w:tcPr>
                <w:p>
                  <w:pPr>
                    <w:pStyle w:val="11"/>
                    <w:adjustRightInd w:val="0"/>
                    <w:snapToGrid w:val="0"/>
                    <w:spacing w:after="0"/>
                    <w:ind w:left="0" w:leftChars="0"/>
                    <w:jc w:val="center"/>
                    <w:rPr>
                      <w:color w:val="auto"/>
                      <w:szCs w:val="21"/>
                    </w:rPr>
                  </w:pPr>
                </w:p>
              </w:tc>
              <w:tc>
                <w:tcPr>
                  <w:tcW w:w="1070" w:type="pct"/>
                  <w:vAlign w:val="center"/>
                </w:tcPr>
                <w:p>
                  <w:pPr>
                    <w:pStyle w:val="11"/>
                    <w:adjustRightInd w:val="0"/>
                    <w:snapToGrid w:val="0"/>
                    <w:spacing w:after="0"/>
                    <w:ind w:left="0" w:leftChars="0"/>
                    <w:jc w:val="center"/>
                    <w:rPr>
                      <w:color w:val="auto"/>
                      <w:szCs w:val="21"/>
                    </w:rPr>
                  </w:pPr>
                  <w:r>
                    <w:rPr>
                      <w:rFonts w:hint="eastAsia"/>
                      <w:color w:val="auto"/>
                      <w:szCs w:val="21"/>
                    </w:rPr>
                    <w:t>淋膜无纺布</w:t>
                  </w:r>
                </w:p>
              </w:tc>
              <w:tc>
                <w:tcPr>
                  <w:tcW w:w="1135" w:type="pct"/>
                  <w:vAlign w:val="center"/>
                </w:tcPr>
                <w:p>
                  <w:pPr>
                    <w:pStyle w:val="62"/>
                    <w:adjustRightInd w:val="0"/>
                    <w:snapToGrid w:val="0"/>
                    <w:spacing w:line="240" w:lineRule="auto"/>
                    <w:ind w:firstLine="0"/>
                    <w:rPr>
                      <w:rFonts w:ascii="Times New Roman" w:hAnsi="Times New Roman"/>
                      <w:color w:val="auto"/>
                      <w:sz w:val="21"/>
                      <w:szCs w:val="21"/>
                    </w:rPr>
                  </w:pPr>
                  <w:r>
                    <w:rPr>
                      <w:rFonts w:ascii="Times New Roman" w:hAnsi="Times New Roman"/>
                      <w:color w:val="auto"/>
                      <w:sz w:val="21"/>
                      <w:szCs w:val="21"/>
                    </w:rPr>
                    <w:t>0t/a</w:t>
                  </w:r>
                </w:p>
              </w:tc>
              <w:tc>
                <w:tcPr>
                  <w:tcW w:w="1165" w:type="pct"/>
                  <w:vAlign w:val="center"/>
                </w:tcPr>
                <w:p>
                  <w:pPr>
                    <w:widowControl/>
                    <w:adjustRightInd w:val="0"/>
                    <w:snapToGrid w:val="0"/>
                    <w:jc w:val="center"/>
                    <w:rPr>
                      <w:color w:val="auto"/>
                      <w:szCs w:val="21"/>
                    </w:rPr>
                  </w:pPr>
                  <w:r>
                    <w:rPr>
                      <w:rFonts w:hint="eastAsia"/>
                      <w:color w:val="auto"/>
                      <w:szCs w:val="21"/>
                    </w:rPr>
                    <w:t>30</w:t>
                  </w:r>
                  <w:r>
                    <w:rPr>
                      <w:color w:val="auto"/>
                      <w:szCs w:val="21"/>
                    </w:rPr>
                    <w:t>0t/a</w:t>
                  </w:r>
                </w:p>
              </w:tc>
              <w:tc>
                <w:tcPr>
                  <w:tcW w:w="1365" w:type="pct"/>
                  <w:vAlign w:val="center"/>
                </w:tcPr>
                <w:p>
                  <w:pPr>
                    <w:widowControl/>
                    <w:adjustRightInd w:val="0"/>
                    <w:snapToGrid w:val="0"/>
                    <w:jc w:val="center"/>
                    <w:rPr>
                      <w:color w:val="auto"/>
                      <w:szCs w:val="21"/>
                    </w:rPr>
                  </w:pPr>
                  <w:r>
                    <w:rPr>
                      <w:rFonts w:hint="eastAsia"/>
                      <w:color w:val="auto"/>
                      <w:szCs w:val="21"/>
                    </w:rPr>
                    <w:t>30</w:t>
                  </w:r>
                  <w:r>
                    <w:rPr>
                      <w:color w:val="auto"/>
                      <w:szCs w:val="21"/>
                    </w:rPr>
                    <w:t>0t/a</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47" w:hRule="atLeast"/>
              </w:trPr>
              <w:tc>
                <w:tcPr>
                  <w:tcW w:w="261" w:type="pct"/>
                  <w:vMerge w:val="continue"/>
                  <w:vAlign w:val="center"/>
                </w:tcPr>
                <w:p>
                  <w:pPr>
                    <w:pStyle w:val="11"/>
                    <w:adjustRightInd w:val="0"/>
                    <w:snapToGrid w:val="0"/>
                    <w:spacing w:after="0"/>
                    <w:ind w:left="0" w:leftChars="0"/>
                    <w:jc w:val="center"/>
                    <w:rPr>
                      <w:color w:val="auto"/>
                      <w:szCs w:val="21"/>
                    </w:rPr>
                  </w:pPr>
                </w:p>
              </w:tc>
              <w:tc>
                <w:tcPr>
                  <w:tcW w:w="1070" w:type="pct"/>
                  <w:vAlign w:val="center"/>
                </w:tcPr>
                <w:p>
                  <w:pPr>
                    <w:pStyle w:val="11"/>
                    <w:adjustRightInd w:val="0"/>
                    <w:snapToGrid w:val="0"/>
                    <w:spacing w:after="0"/>
                    <w:ind w:left="0" w:leftChars="0"/>
                    <w:jc w:val="center"/>
                    <w:rPr>
                      <w:color w:val="auto"/>
                      <w:kern w:val="0"/>
                      <w:szCs w:val="21"/>
                    </w:rPr>
                  </w:pPr>
                  <w:r>
                    <w:rPr>
                      <w:rFonts w:hint="eastAsia"/>
                      <w:color w:val="auto"/>
                      <w:kern w:val="0"/>
                      <w:szCs w:val="21"/>
                    </w:rPr>
                    <w:t>汽车纤维材料</w:t>
                  </w:r>
                </w:p>
              </w:tc>
              <w:tc>
                <w:tcPr>
                  <w:tcW w:w="1135" w:type="pct"/>
                  <w:vAlign w:val="center"/>
                </w:tcPr>
                <w:p>
                  <w:pPr>
                    <w:pStyle w:val="62"/>
                    <w:adjustRightInd w:val="0"/>
                    <w:snapToGrid w:val="0"/>
                    <w:spacing w:line="240" w:lineRule="auto"/>
                    <w:ind w:firstLine="0"/>
                    <w:rPr>
                      <w:rFonts w:ascii="Times New Roman" w:hAnsi="Times New Roman"/>
                      <w:color w:val="auto"/>
                      <w:sz w:val="21"/>
                      <w:szCs w:val="21"/>
                    </w:rPr>
                  </w:pPr>
                  <w:r>
                    <w:rPr>
                      <w:rFonts w:hint="eastAsia" w:ascii="Times New Roman" w:hAnsi="Times New Roman"/>
                      <w:color w:val="auto"/>
                      <w:sz w:val="21"/>
                      <w:szCs w:val="21"/>
                    </w:rPr>
                    <w:t>4000</w:t>
                  </w:r>
                  <w:r>
                    <w:rPr>
                      <w:rFonts w:ascii="Times New Roman" w:hAnsi="Times New Roman"/>
                      <w:color w:val="auto"/>
                      <w:sz w:val="21"/>
                      <w:szCs w:val="21"/>
                    </w:rPr>
                    <w:t>t/a</w:t>
                  </w:r>
                </w:p>
              </w:tc>
              <w:tc>
                <w:tcPr>
                  <w:tcW w:w="1165" w:type="pct"/>
                  <w:vAlign w:val="center"/>
                </w:tcPr>
                <w:p>
                  <w:pPr>
                    <w:adjustRightInd w:val="0"/>
                    <w:snapToGrid w:val="0"/>
                    <w:jc w:val="center"/>
                    <w:rPr>
                      <w:color w:val="auto"/>
                      <w:szCs w:val="21"/>
                    </w:rPr>
                  </w:pPr>
                  <w:r>
                    <w:rPr>
                      <w:color w:val="auto"/>
                      <w:szCs w:val="21"/>
                    </w:rPr>
                    <w:t>0t/a</w:t>
                  </w:r>
                </w:p>
              </w:tc>
              <w:tc>
                <w:tcPr>
                  <w:tcW w:w="1365" w:type="pct"/>
                  <w:vAlign w:val="center"/>
                </w:tcPr>
                <w:p>
                  <w:pPr>
                    <w:adjustRightInd w:val="0"/>
                    <w:snapToGrid w:val="0"/>
                    <w:jc w:val="center"/>
                    <w:rPr>
                      <w:color w:val="auto"/>
                      <w:szCs w:val="21"/>
                    </w:rPr>
                  </w:pPr>
                  <w:r>
                    <w:rPr>
                      <w:rFonts w:hint="eastAsia"/>
                      <w:color w:val="auto"/>
                      <w:szCs w:val="21"/>
                    </w:rPr>
                    <w:t>4000</w:t>
                  </w:r>
                  <w:r>
                    <w:rPr>
                      <w:color w:val="auto"/>
                      <w:szCs w:val="21"/>
                    </w:rPr>
                    <w:t>t/a</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7" w:hRule="atLeast"/>
              </w:trPr>
              <w:tc>
                <w:tcPr>
                  <w:tcW w:w="261" w:type="pct"/>
                  <w:vMerge w:val="continue"/>
                  <w:vAlign w:val="center"/>
                </w:tcPr>
                <w:p>
                  <w:pPr>
                    <w:pStyle w:val="11"/>
                    <w:adjustRightInd w:val="0"/>
                    <w:snapToGrid w:val="0"/>
                    <w:spacing w:after="0"/>
                    <w:ind w:left="0" w:leftChars="0"/>
                    <w:jc w:val="center"/>
                    <w:rPr>
                      <w:color w:val="auto"/>
                      <w:szCs w:val="21"/>
                    </w:rPr>
                  </w:pPr>
                </w:p>
              </w:tc>
              <w:tc>
                <w:tcPr>
                  <w:tcW w:w="1070" w:type="pct"/>
                  <w:vAlign w:val="center"/>
                </w:tcPr>
                <w:p>
                  <w:pPr>
                    <w:pStyle w:val="11"/>
                    <w:adjustRightInd w:val="0"/>
                    <w:snapToGrid w:val="0"/>
                    <w:spacing w:after="0"/>
                    <w:ind w:left="0" w:leftChars="0"/>
                    <w:jc w:val="center"/>
                    <w:rPr>
                      <w:color w:val="auto"/>
                      <w:szCs w:val="21"/>
                    </w:rPr>
                  </w:pPr>
                  <w:r>
                    <w:rPr>
                      <w:rFonts w:hint="eastAsia"/>
                      <w:color w:val="auto"/>
                      <w:szCs w:val="21"/>
                    </w:rPr>
                    <w:t>汽车内饰件</w:t>
                  </w:r>
                </w:p>
              </w:tc>
              <w:tc>
                <w:tcPr>
                  <w:tcW w:w="1135" w:type="pct"/>
                  <w:vAlign w:val="center"/>
                </w:tcPr>
                <w:p>
                  <w:pPr>
                    <w:pStyle w:val="62"/>
                    <w:adjustRightInd w:val="0"/>
                    <w:snapToGrid w:val="0"/>
                    <w:spacing w:line="240" w:lineRule="auto"/>
                    <w:ind w:firstLine="0"/>
                    <w:rPr>
                      <w:rFonts w:ascii="Times New Roman" w:hAnsi="Times New Roman"/>
                      <w:color w:val="auto"/>
                      <w:sz w:val="21"/>
                      <w:szCs w:val="21"/>
                    </w:rPr>
                  </w:pPr>
                  <w:r>
                    <w:rPr>
                      <w:rFonts w:hint="eastAsia" w:ascii="Times New Roman" w:hAnsi="Times New Roman"/>
                      <w:color w:val="auto"/>
                      <w:sz w:val="21"/>
                      <w:szCs w:val="21"/>
                    </w:rPr>
                    <w:t>337</w:t>
                  </w:r>
                  <w:r>
                    <w:rPr>
                      <w:rFonts w:ascii="Times New Roman" w:hAnsi="Times New Roman"/>
                      <w:color w:val="auto"/>
                      <w:sz w:val="21"/>
                      <w:szCs w:val="21"/>
                    </w:rPr>
                    <w:t>万t/a</w:t>
                  </w:r>
                </w:p>
              </w:tc>
              <w:tc>
                <w:tcPr>
                  <w:tcW w:w="1165" w:type="pct"/>
                </w:tcPr>
                <w:p>
                  <w:pPr>
                    <w:adjustRightInd w:val="0"/>
                    <w:snapToGrid w:val="0"/>
                    <w:jc w:val="center"/>
                    <w:rPr>
                      <w:color w:val="auto"/>
                      <w:szCs w:val="21"/>
                    </w:rPr>
                  </w:pPr>
                  <w:r>
                    <w:rPr>
                      <w:color w:val="auto"/>
                      <w:szCs w:val="21"/>
                    </w:rPr>
                    <w:t>0t/a</w:t>
                  </w:r>
                </w:p>
              </w:tc>
              <w:tc>
                <w:tcPr>
                  <w:tcW w:w="1365" w:type="pct"/>
                  <w:vAlign w:val="center"/>
                </w:tcPr>
                <w:p>
                  <w:pPr>
                    <w:pStyle w:val="62"/>
                    <w:adjustRightInd w:val="0"/>
                    <w:snapToGrid w:val="0"/>
                    <w:spacing w:line="240" w:lineRule="auto"/>
                    <w:ind w:firstLine="0"/>
                    <w:rPr>
                      <w:rFonts w:ascii="Times New Roman" w:hAnsi="Times New Roman"/>
                      <w:color w:val="auto"/>
                      <w:sz w:val="21"/>
                      <w:szCs w:val="21"/>
                    </w:rPr>
                  </w:pPr>
                  <w:r>
                    <w:rPr>
                      <w:rFonts w:hint="eastAsia" w:ascii="Times New Roman" w:hAnsi="Times New Roman"/>
                      <w:color w:val="auto"/>
                      <w:sz w:val="21"/>
                      <w:szCs w:val="21"/>
                    </w:rPr>
                    <w:t>337</w:t>
                  </w:r>
                  <w:r>
                    <w:rPr>
                      <w:rFonts w:ascii="Times New Roman" w:hAnsi="Times New Roman"/>
                      <w:color w:val="auto"/>
                      <w:sz w:val="21"/>
                      <w:szCs w:val="21"/>
                    </w:rPr>
                    <w:t>万t/a</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1332" w:type="pct"/>
                  <w:gridSpan w:val="2"/>
                  <w:vAlign w:val="center"/>
                </w:tcPr>
                <w:p>
                  <w:pPr>
                    <w:pStyle w:val="11"/>
                    <w:adjustRightInd w:val="0"/>
                    <w:snapToGrid w:val="0"/>
                    <w:spacing w:after="0"/>
                    <w:ind w:left="0" w:leftChars="0"/>
                    <w:jc w:val="center"/>
                    <w:rPr>
                      <w:color w:val="auto"/>
                      <w:szCs w:val="21"/>
                    </w:rPr>
                  </w:pPr>
                  <w:r>
                    <w:rPr>
                      <w:color w:val="auto"/>
                      <w:szCs w:val="21"/>
                    </w:rPr>
                    <w:t>工作制度及劳动定员</w:t>
                  </w:r>
                </w:p>
              </w:tc>
              <w:tc>
                <w:tcPr>
                  <w:tcW w:w="1135" w:type="pct"/>
                  <w:vAlign w:val="center"/>
                </w:tcPr>
                <w:p>
                  <w:pPr>
                    <w:pStyle w:val="62"/>
                    <w:adjustRightInd w:val="0"/>
                    <w:snapToGrid w:val="0"/>
                    <w:spacing w:line="240" w:lineRule="auto"/>
                    <w:ind w:firstLine="0"/>
                    <w:rPr>
                      <w:rFonts w:ascii="Times New Roman" w:hAnsi="Times New Roman"/>
                      <w:color w:val="auto"/>
                      <w:sz w:val="21"/>
                      <w:szCs w:val="21"/>
                    </w:rPr>
                  </w:pPr>
                  <w:r>
                    <w:rPr>
                      <w:rFonts w:hint="eastAsia" w:ascii="Times New Roman" w:hAnsi="Times New Roman"/>
                      <w:color w:val="auto"/>
                      <w:sz w:val="21"/>
                      <w:szCs w:val="21"/>
                    </w:rPr>
                    <w:t>75</w:t>
                  </w:r>
                  <w:r>
                    <w:rPr>
                      <w:rFonts w:ascii="Times New Roman" w:hAnsi="Times New Roman"/>
                      <w:color w:val="auto"/>
                      <w:sz w:val="21"/>
                      <w:szCs w:val="21"/>
                    </w:rPr>
                    <w:t>人，300天，</w:t>
                  </w:r>
                  <w:r>
                    <w:rPr>
                      <w:rFonts w:hint="eastAsia" w:ascii="Times New Roman" w:hAnsi="Times New Roman"/>
                      <w:color w:val="auto"/>
                      <w:sz w:val="21"/>
                      <w:szCs w:val="21"/>
                    </w:rPr>
                    <w:t>2</w:t>
                  </w:r>
                  <w:r>
                    <w:rPr>
                      <w:rFonts w:ascii="Times New Roman" w:hAnsi="Times New Roman"/>
                      <w:color w:val="auto"/>
                      <w:sz w:val="21"/>
                      <w:szCs w:val="21"/>
                    </w:rPr>
                    <w:t>班、8小时/班</w:t>
                  </w:r>
                </w:p>
              </w:tc>
              <w:tc>
                <w:tcPr>
                  <w:tcW w:w="1165" w:type="pct"/>
                  <w:vAlign w:val="center"/>
                </w:tcPr>
                <w:p>
                  <w:pPr>
                    <w:pStyle w:val="62"/>
                    <w:adjustRightInd w:val="0"/>
                    <w:snapToGrid w:val="0"/>
                    <w:spacing w:line="240" w:lineRule="auto"/>
                    <w:ind w:firstLine="0"/>
                    <w:rPr>
                      <w:rFonts w:ascii="Times New Roman" w:hAnsi="Times New Roman"/>
                      <w:color w:val="auto"/>
                      <w:sz w:val="21"/>
                      <w:szCs w:val="21"/>
                    </w:rPr>
                  </w:pPr>
                  <w:r>
                    <w:rPr>
                      <w:rFonts w:hint="eastAsia" w:ascii="Times New Roman" w:hAnsi="Times New Roman"/>
                      <w:color w:val="auto"/>
                      <w:sz w:val="21"/>
                      <w:szCs w:val="21"/>
                    </w:rPr>
                    <w:t>4</w:t>
                  </w:r>
                  <w:r>
                    <w:rPr>
                      <w:rFonts w:ascii="Times New Roman" w:hAnsi="Times New Roman"/>
                      <w:color w:val="auto"/>
                      <w:sz w:val="21"/>
                      <w:szCs w:val="21"/>
                    </w:rPr>
                    <w:t>人，300天，</w:t>
                  </w:r>
                  <w:r>
                    <w:rPr>
                      <w:rFonts w:hint="eastAsia" w:ascii="Times New Roman" w:hAnsi="Times New Roman"/>
                      <w:color w:val="auto"/>
                      <w:sz w:val="21"/>
                      <w:szCs w:val="21"/>
                    </w:rPr>
                    <w:t>1</w:t>
                  </w:r>
                  <w:r>
                    <w:rPr>
                      <w:rFonts w:ascii="Times New Roman" w:hAnsi="Times New Roman"/>
                      <w:color w:val="auto"/>
                      <w:sz w:val="21"/>
                      <w:szCs w:val="21"/>
                    </w:rPr>
                    <w:t>班、8小时/班</w:t>
                  </w:r>
                </w:p>
              </w:tc>
              <w:tc>
                <w:tcPr>
                  <w:tcW w:w="1365" w:type="pct"/>
                  <w:vAlign w:val="center"/>
                </w:tcPr>
                <w:p>
                  <w:pPr>
                    <w:pStyle w:val="11"/>
                    <w:adjustRightInd w:val="0"/>
                    <w:snapToGrid w:val="0"/>
                    <w:spacing w:after="0"/>
                    <w:ind w:left="0" w:leftChars="0"/>
                    <w:jc w:val="center"/>
                    <w:rPr>
                      <w:color w:val="auto"/>
                      <w:szCs w:val="21"/>
                    </w:rPr>
                  </w:pPr>
                  <w:r>
                    <w:rPr>
                      <w:rFonts w:hint="eastAsia"/>
                      <w:color w:val="auto"/>
                      <w:szCs w:val="21"/>
                    </w:rPr>
                    <w:t>79</w:t>
                  </w:r>
                  <w:r>
                    <w:rPr>
                      <w:color w:val="auto"/>
                      <w:szCs w:val="21"/>
                    </w:rPr>
                    <w:t>人，300天，</w:t>
                  </w:r>
                  <w:r>
                    <w:rPr>
                      <w:rFonts w:hint="eastAsia"/>
                      <w:color w:val="auto"/>
                      <w:szCs w:val="21"/>
                    </w:rPr>
                    <w:t>现有工程2班制、扩建工程1班制，</w:t>
                  </w:r>
                  <w:r>
                    <w:rPr>
                      <w:color w:val="auto"/>
                      <w:szCs w:val="21"/>
                    </w:rPr>
                    <w:t>8小时/班</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261" w:type="pct"/>
                  <w:vMerge w:val="restart"/>
                  <w:vAlign w:val="center"/>
                </w:tcPr>
                <w:p>
                  <w:pPr>
                    <w:pStyle w:val="11"/>
                    <w:adjustRightInd w:val="0"/>
                    <w:snapToGrid w:val="0"/>
                    <w:spacing w:after="0"/>
                    <w:ind w:left="0" w:leftChars="0"/>
                    <w:jc w:val="center"/>
                    <w:rPr>
                      <w:color w:val="auto"/>
                      <w:szCs w:val="21"/>
                    </w:rPr>
                  </w:pPr>
                  <w:r>
                    <w:rPr>
                      <w:color w:val="auto"/>
                      <w:szCs w:val="21"/>
                    </w:rPr>
                    <w:t>原辅材料消耗</w:t>
                  </w:r>
                </w:p>
              </w:tc>
              <w:tc>
                <w:tcPr>
                  <w:tcW w:w="1070" w:type="pct"/>
                  <w:vAlign w:val="center"/>
                </w:tcPr>
                <w:p>
                  <w:pPr>
                    <w:adjustRightInd w:val="0"/>
                    <w:snapToGrid w:val="0"/>
                    <w:jc w:val="center"/>
                    <w:rPr>
                      <w:color w:val="auto"/>
                      <w:szCs w:val="21"/>
                    </w:rPr>
                  </w:pPr>
                  <w:r>
                    <w:rPr>
                      <w:rFonts w:hint="eastAsia"/>
                      <w:color w:val="auto"/>
                      <w:szCs w:val="21"/>
                    </w:rPr>
                    <w:t>无纺布</w:t>
                  </w:r>
                </w:p>
              </w:tc>
              <w:tc>
                <w:tcPr>
                  <w:tcW w:w="1135" w:type="pct"/>
                  <w:vAlign w:val="center"/>
                </w:tcPr>
                <w:p>
                  <w:pPr>
                    <w:widowControl/>
                    <w:adjustRightInd w:val="0"/>
                    <w:snapToGrid w:val="0"/>
                    <w:jc w:val="center"/>
                    <w:rPr>
                      <w:color w:val="auto"/>
                      <w:szCs w:val="21"/>
                    </w:rPr>
                  </w:pPr>
                  <w:r>
                    <w:rPr>
                      <w:rFonts w:hint="eastAsia"/>
                      <w:color w:val="auto"/>
                      <w:szCs w:val="21"/>
                    </w:rPr>
                    <w:t>0卷/a</w:t>
                  </w:r>
                </w:p>
              </w:tc>
              <w:tc>
                <w:tcPr>
                  <w:tcW w:w="1165" w:type="pct"/>
                  <w:vAlign w:val="center"/>
                </w:tcPr>
                <w:p>
                  <w:pPr>
                    <w:adjustRightInd w:val="0"/>
                    <w:snapToGrid w:val="0"/>
                    <w:jc w:val="center"/>
                    <w:rPr>
                      <w:color w:val="auto"/>
                      <w:szCs w:val="21"/>
                    </w:rPr>
                  </w:pPr>
                  <w:r>
                    <w:rPr>
                      <w:rFonts w:hint="eastAsia"/>
                      <w:color w:val="auto"/>
                      <w:szCs w:val="21"/>
                    </w:rPr>
                    <w:t>15000卷/a</w:t>
                  </w:r>
                </w:p>
              </w:tc>
              <w:tc>
                <w:tcPr>
                  <w:tcW w:w="1365" w:type="pct"/>
                  <w:vAlign w:val="center"/>
                </w:tcPr>
                <w:p>
                  <w:pPr>
                    <w:adjustRightInd w:val="0"/>
                    <w:snapToGrid w:val="0"/>
                    <w:jc w:val="center"/>
                    <w:rPr>
                      <w:color w:val="auto"/>
                      <w:kern w:val="0"/>
                      <w:szCs w:val="21"/>
                      <w:lang w:bidi="ar"/>
                    </w:rPr>
                  </w:pPr>
                  <w:r>
                    <w:rPr>
                      <w:rFonts w:hint="eastAsia"/>
                      <w:color w:val="auto"/>
                      <w:szCs w:val="21"/>
                    </w:rPr>
                    <w:t>15000卷/a</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261" w:type="pct"/>
                  <w:vMerge w:val="continue"/>
                  <w:vAlign w:val="center"/>
                </w:tcPr>
                <w:p>
                  <w:pPr>
                    <w:pStyle w:val="11"/>
                    <w:adjustRightInd w:val="0"/>
                    <w:snapToGrid w:val="0"/>
                    <w:spacing w:after="0"/>
                    <w:ind w:left="0" w:leftChars="0"/>
                    <w:jc w:val="center"/>
                    <w:rPr>
                      <w:color w:val="auto"/>
                      <w:szCs w:val="21"/>
                    </w:rPr>
                  </w:pPr>
                </w:p>
              </w:tc>
              <w:tc>
                <w:tcPr>
                  <w:tcW w:w="1070" w:type="pct"/>
                  <w:vAlign w:val="center"/>
                </w:tcPr>
                <w:p>
                  <w:pPr>
                    <w:adjustRightInd w:val="0"/>
                    <w:snapToGrid w:val="0"/>
                    <w:jc w:val="center"/>
                    <w:rPr>
                      <w:color w:val="auto"/>
                      <w:szCs w:val="21"/>
                    </w:rPr>
                  </w:pPr>
                  <w:r>
                    <w:rPr>
                      <w:rFonts w:hint="eastAsia"/>
                      <w:color w:val="auto"/>
                      <w:szCs w:val="21"/>
                    </w:rPr>
                    <w:t>PET纤维</w:t>
                  </w:r>
                </w:p>
              </w:tc>
              <w:tc>
                <w:tcPr>
                  <w:tcW w:w="1135" w:type="pct"/>
                  <w:vAlign w:val="center"/>
                </w:tcPr>
                <w:p>
                  <w:pPr>
                    <w:widowControl/>
                    <w:adjustRightInd w:val="0"/>
                    <w:snapToGrid w:val="0"/>
                    <w:jc w:val="center"/>
                    <w:rPr>
                      <w:color w:val="auto"/>
                      <w:szCs w:val="21"/>
                    </w:rPr>
                  </w:pPr>
                  <w:r>
                    <w:rPr>
                      <w:rFonts w:hint="eastAsia"/>
                      <w:color w:val="auto"/>
                      <w:szCs w:val="21"/>
                    </w:rPr>
                    <w:t>420t/a</w:t>
                  </w:r>
                </w:p>
              </w:tc>
              <w:tc>
                <w:tcPr>
                  <w:tcW w:w="1165" w:type="pct"/>
                  <w:vAlign w:val="center"/>
                </w:tcPr>
                <w:p>
                  <w:pPr>
                    <w:adjustRightInd w:val="0"/>
                    <w:snapToGrid w:val="0"/>
                    <w:jc w:val="center"/>
                    <w:rPr>
                      <w:color w:val="auto"/>
                      <w:szCs w:val="21"/>
                    </w:rPr>
                  </w:pPr>
                  <w:r>
                    <w:rPr>
                      <w:rFonts w:hint="eastAsia"/>
                      <w:color w:val="auto"/>
                      <w:szCs w:val="21"/>
                    </w:rPr>
                    <w:t>0t/a</w:t>
                  </w:r>
                </w:p>
              </w:tc>
              <w:tc>
                <w:tcPr>
                  <w:tcW w:w="1365" w:type="pct"/>
                  <w:vAlign w:val="center"/>
                </w:tcPr>
                <w:p>
                  <w:pPr>
                    <w:adjustRightInd w:val="0"/>
                    <w:snapToGrid w:val="0"/>
                    <w:jc w:val="center"/>
                    <w:rPr>
                      <w:color w:val="auto"/>
                      <w:szCs w:val="21"/>
                    </w:rPr>
                  </w:pPr>
                  <w:r>
                    <w:rPr>
                      <w:rFonts w:hint="eastAsia"/>
                      <w:color w:val="auto"/>
                      <w:szCs w:val="21"/>
                    </w:rPr>
                    <w:t>420t/a</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261" w:type="pct"/>
                  <w:vMerge w:val="continue"/>
                  <w:vAlign w:val="center"/>
                </w:tcPr>
                <w:p>
                  <w:pPr>
                    <w:pStyle w:val="11"/>
                    <w:adjustRightInd w:val="0"/>
                    <w:snapToGrid w:val="0"/>
                    <w:spacing w:after="0"/>
                    <w:ind w:left="0" w:leftChars="0"/>
                    <w:jc w:val="center"/>
                    <w:rPr>
                      <w:color w:val="auto"/>
                      <w:szCs w:val="21"/>
                    </w:rPr>
                  </w:pPr>
                </w:p>
              </w:tc>
              <w:tc>
                <w:tcPr>
                  <w:tcW w:w="1070" w:type="pct"/>
                  <w:vAlign w:val="center"/>
                </w:tcPr>
                <w:p>
                  <w:pPr>
                    <w:pStyle w:val="5"/>
                    <w:adjustRightInd w:val="0"/>
                    <w:snapToGrid w:val="0"/>
                    <w:spacing w:beforeLines="0" w:line="240" w:lineRule="auto"/>
                    <w:jc w:val="center"/>
                    <w:rPr>
                      <w:rFonts w:ascii="Times New Roman" w:hAnsi="Times New Roman"/>
                      <w:b w:val="0"/>
                      <w:bCs w:val="0"/>
                      <w:color w:val="auto"/>
                      <w:sz w:val="21"/>
                    </w:rPr>
                  </w:pPr>
                  <w:r>
                    <w:rPr>
                      <w:rFonts w:hint="eastAsia" w:ascii="Times New Roman" w:hAnsi="Times New Roman"/>
                      <w:b w:val="0"/>
                      <w:bCs w:val="0"/>
                      <w:color w:val="auto"/>
                      <w:sz w:val="21"/>
                    </w:rPr>
                    <w:t>P</w:t>
                  </w:r>
                  <w:r>
                    <w:rPr>
                      <w:rFonts w:hint="eastAsia" w:ascii="Times New Roman" w:hAnsi="Times New Roman"/>
                      <w:b w:val="0"/>
                      <w:bCs w:val="0"/>
                      <w:color w:val="auto"/>
                      <w:sz w:val="21"/>
                      <w:lang w:val="en-US" w:eastAsia="zh-CN"/>
                    </w:rPr>
                    <w:t>E</w:t>
                  </w:r>
                  <w:r>
                    <w:rPr>
                      <w:rFonts w:hint="eastAsia" w:ascii="Times New Roman" w:hAnsi="Times New Roman"/>
                      <w:b w:val="0"/>
                      <w:bCs w:val="0"/>
                      <w:color w:val="auto"/>
                      <w:sz w:val="21"/>
                    </w:rPr>
                    <w:t>塑料粒</w:t>
                  </w:r>
                </w:p>
              </w:tc>
              <w:tc>
                <w:tcPr>
                  <w:tcW w:w="1135" w:type="pct"/>
                  <w:vAlign w:val="center"/>
                </w:tcPr>
                <w:p>
                  <w:pPr>
                    <w:widowControl/>
                    <w:adjustRightInd w:val="0"/>
                    <w:snapToGrid w:val="0"/>
                    <w:jc w:val="center"/>
                    <w:rPr>
                      <w:color w:val="auto"/>
                      <w:szCs w:val="21"/>
                    </w:rPr>
                  </w:pPr>
                  <w:r>
                    <w:rPr>
                      <w:rFonts w:hint="eastAsia"/>
                      <w:color w:val="auto"/>
                      <w:szCs w:val="21"/>
                    </w:rPr>
                    <w:t>0</w:t>
                  </w:r>
                  <w:r>
                    <w:rPr>
                      <w:color w:val="auto"/>
                      <w:szCs w:val="21"/>
                    </w:rPr>
                    <w:t>t/a</w:t>
                  </w:r>
                </w:p>
              </w:tc>
              <w:tc>
                <w:tcPr>
                  <w:tcW w:w="1165" w:type="pct"/>
                  <w:vAlign w:val="center"/>
                </w:tcPr>
                <w:p>
                  <w:pPr>
                    <w:adjustRightInd w:val="0"/>
                    <w:snapToGrid w:val="0"/>
                    <w:jc w:val="center"/>
                    <w:rPr>
                      <w:color w:val="auto"/>
                      <w:szCs w:val="21"/>
                    </w:rPr>
                  </w:pPr>
                  <w:r>
                    <w:rPr>
                      <w:rFonts w:hint="eastAsia"/>
                      <w:color w:val="auto"/>
                      <w:szCs w:val="21"/>
                      <w:lang w:val="en-US" w:eastAsia="zh-CN"/>
                    </w:rPr>
                    <w:t>61</w:t>
                  </w:r>
                  <w:r>
                    <w:rPr>
                      <w:color w:val="auto"/>
                      <w:szCs w:val="21"/>
                    </w:rPr>
                    <w:t>t/a</w:t>
                  </w:r>
                </w:p>
              </w:tc>
              <w:tc>
                <w:tcPr>
                  <w:tcW w:w="1365" w:type="pct"/>
                  <w:vAlign w:val="center"/>
                </w:tcPr>
                <w:p>
                  <w:pPr>
                    <w:adjustRightInd w:val="0"/>
                    <w:snapToGrid w:val="0"/>
                    <w:jc w:val="center"/>
                    <w:rPr>
                      <w:color w:val="auto"/>
                      <w:kern w:val="0"/>
                      <w:szCs w:val="21"/>
                      <w:lang w:bidi="ar"/>
                    </w:rPr>
                  </w:pPr>
                  <w:r>
                    <w:rPr>
                      <w:rFonts w:hint="eastAsia"/>
                      <w:color w:val="auto"/>
                      <w:szCs w:val="21"/>
                      <w:lang w:val="en-US" w:eastAsia="zh-CN"/>
                    </w:rPr>
                    <w:t>61</w:t>
                  </w:r>
                  <w:r>
                    <w:rPr>
                      <w:color w:val="auto"/>
                      <w:szCs w:val="21"/>
                    </w:rPr>
                    <w:t>t/a</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261" w:type="pct"/>
                  <w:vMerge w:val="continue"/>
                  <w:vAlign w:val="center"/>
                </w:tcPr>
                <w:p>
                  <w:pPr>
                    <w:pStyle w:val="10"/>
                    <w:adjustRightInd w:val="0"/>
                    <w:spacing w:line="240" w:lineRule="auto"/>
                    <w:jc w:val="center"/>
                    <w:rPr>
                      <w:color w:val="auto"/>
                      <w:szCs w:val="21"/>
                    </w:rPr>
                  </w:pPr>
                </w:p>
              </w:tc>
              <w:tc>
                <w:tcPr>
                  <w:tcW w:w="1070" w:type="pct"/>
                  <w:vAlign w:val="center"/>
                </w:tcPr>
                <w:p>
                  <w:pPr>
                    <w:adjustRightInd w:val="0"/>
                    <w:snapToGrid w:val="0"/>
                    <w:jc w:val="center"/>
                    <w:rPr>
                      <w:color w:val="auto"/>
                      <w:szCs w:val="21"/>
                    </w:rPr>
                  </w:pPr>
                  <w:r>
                    <w:rPr>
                      <w:color w:val="auto"/>
                      <w:szCs w:val="21"/>
                    </w:rPr>
                    <w:t>水性胶粘剂</w:t>
                  </w:r>
                </w:p>
              </w:tc>
              <w:tc>
                <w:tcPr>
                  <w:tcW w:w="1135" w:type="pct"/>
                  <w:tcBorders>
                    <w:right w:val="single" w:color="auto" w:sz="4" w:space="0"/>
                  </w:tcBorders>
                  <w:vAlign w:val="center"/>
                </w:tcPr>
                <w:p>
                  <w:pPr>
                    <w:pStyle w:val="62"/>
                    <w:adjustRightInd w:val="0"/>
                    <w:snapToGrid w:val="0"/>
                    <w:spacing w:line="240" w:lineRule="auto"/>
                    <w:ind w:firstLine="0"/>
                    <w:rPr>
                      <w:rFonts w:ascii="Times New Roman" w:hAnsi="Times New Roman"/>
                      <w:color w:val="auto"/>
                      <w:sz w:val="21"/>
                      <w:szCs w:val="21"/>
                    </w:rPr>
                  </w:pPr>
                  <w:r>
                    <w:rPr>
                      <w:rFonts w:ascii="Times New Roman" w:hAnsi="Times New Roman"/>
                      <w:color w:val="auto"/>
                      <w:sz w:val="21"/>
                      <w:szCs w:val="21"/>
                    </w:rPr>
                    <w:t>0t/a</w:t>
                  </w:r>
                </w:p>
              </w:tc>
              <w:tc>
                <w:tcPr>
                  <w:tcW w:w="1165" w:type="pct"/>
                  <w:tcBorders>
                    <w:left w:val="single" w:color="auto" w:sz="4" w:space="0"/>
                  </w:tcBorders>
                  <w:vAlign w:val="center"/>
                </w:tcPr>
                <w:p>
                  <w:pPr>
                    <w:adjustRightInd w:val="0"/>
                    <w:snapToGrid w:val="0"/>
                    <w:jc w:val="center"/>
                    <w:rPr>
                      <w:color w:val="auto"/>
                      <w:szCs w:val="21"/>
                    </w:rPr>
                  </w:pPr>
                  <w:r>
                    <w:rPr>
                      <w:rFonts w:hint="eastAsia"/>
                      <w:color w:val="auto"/>
                      <w:szCs w:val="21"/>
                      <w:lang w:val="en-US" w:eastAsia="zh-CN"/>
                    </w:rPr>
                    <w:t>59</w:t>
                  </w:r>
                  <w:r>
                    <w:rPr>
                      <w:color w:val="auto"/>
                      <w:szCs w:val="21"/>
                    </w:rPr>
                    <w:t>t/a</w:t>
                  </w:r>
                </w:p>
              </w:tc>
              <w:tc>
                <w:tcPr>
                  <w:tcW w:w="1365" w:type="pct"/>
                  <w:tcBorders>
                    <w:left w:val="single" w:color="auto" w:sz="4" w:space="0"/>
                  </w:tcBorders>
                  <w:vAlign w:val="center"/>
                </w:tcPr>
                <w:p>
                  <w:pPr>
                    <w:pStyle w:val="62"/>
                    <w:adjustRightInd w:val="0"/>
                    <w:snapToGrid w:val="0"/>
                    <w:spacing w:line="240" w:lineRule="auto"/>
                    <w:ind w:firstLine="0"/>
                    <w:rPr>
                      <w:rFonts w:ascii="Times New Roman" w:hAnsi="Times New Roman"/>
                      <w:color w:val="auto"/>
                      <w:sz w:val="21"/>
                      <w:szCs w:val="21"/>
                    </w:rPr>
                  </w:pPr>
                  <w:r>
                    <w:rPr>
                      <w:rFonts w:hint="eastAsia" w:ascii="Times New Roman" w:hAnsi="Times New Roman"/>
                      <w:color w:val="auto"/>
                      <w:sz w:val="21"/>
                      <w:szCs w:val="21"/>
                      <w:lang w:val="en-US" w:eastAsia="zh-CN"/>
                    </w:rPr>
                    <w:t>59</w:t>
                  </w:r>
                  <w:r>
                    <w:rPr>
                      <w:rFonts w:ascii="Times New Roman" w:hAnsi="Times New Roman"/>
                      <w:color w:val="auto"/>
                      <w:sz w:val="21"/>
                      <w:szCs w:val="21"/>
                    </w:rPr>
                    <w:t>t/a</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261" w:type="pct"/>
                  <w:vMerge w:val="continue"/>
                  <w:vAlign w:val="center"/>
                </w:tcPr>
                <w:p>
                  <w:pPr>
                    <w:pStyle w:val="10"/>
                    <w:adjustRightInd w:val="0"/>
                    <w:spacing w:line="240" w:lineRule="auto"/>
                    <w:jc w:val="center"/>
                    <w:rPr>
                      <w:color w:val="auto"/>
                      <w:szCs w:val="21"/>
                    </w:rPr>
                  </w:pPr>
                </w:p>
              </w:tc>
              <w:tc>
                <w:tcPr>
                  <w:tcW w:w="1070" w:type="pct"/>
                  <w:vAlign w:val="center"/>
                </w:tcPr>
                <w:p>
                  <w:pPr>
                    <w:adjustRightInd w:val="0"/>
                    <w:snapToGrid w:val="0"/>
                    <w:jc w:val="center"/>
                    <w:rPr>
                      <w:color w:val="auto"/>
                      <w:szCs w:val="21"/>
                    </w:rPr>
                  </w:pPr>
                  <w:r>
                    <w:rPr>
                      <w:rFonts w:hint="eastAsia"/>
                      <w:color w:val="auto"/>
                      <w:szCs w:val="21"/>
                    </w:rPr>
                    <w:t>碎布条</w:t>
                  </w:r>
                </w:p>
              </w:tc>
              <w:tc>
                <w:tcPr>
                  <w:tcW w:w="1135" w:type="pct"/>
                  <w:tcBorders>
                    <w:right w:val="single" w:color="auto" w:sz="4" w:space="0"/>
                  </w:tcBorders>
                  <w:vAlign w:val="center"/>
                </w:tcPr>
                <w:p>
                  <w:pPr>
                    <w:pStyle w:val="62"/>
                    <w:adjustRightInd w:val="0"/>
                    <w:snapToGrid w:val="0"/>
                    <w:spacing w:line="240" w:lineRule="auto"/>
                    <w:ind w:firstLine="0"/>
                    <w:rPr>
                      <w:rFonts w:ascii="Times New Roman" w:hAnsi="Times New Roman"/>
                      <w:color w:val="auto"/>
                      <w:sz w:val="21"/>
                      <w:szCs w:val="21"/>
                    </w:rPr>
                  </w:pPr>
                  <w:r>
                    <w:rPr>
                      <w:rFonts w:hint="eastAsia" w:ascii="Times New Roman" w:hAnsi="Times New Roman"/>
                      <w:color w:val="auto"/>
                      <w:sz w:val="21"/>
                      <w:szCs w:val="21"/>
                    </w:rPr>
                    <w:t>4000</w:t>
                  </w:r>
                  <w:r>
                    <w:rPr>
                      <w:rFonts w:ascii="Times New Roman" w:hAnsi="Times New Roman"/>
                      <w:color w:val="auto"/>
                      <w:sz w:val="21"/>
                      <w:szCs w:val="21"/>
                    </w:rPr>
                    <w:t>t/a</w:t>
                  </w:r>
                </w:p>
              </w:tc>
              <w:tc>
                <w:tcPr>
                  <w:tcW w:w="1165" w:type="pct"/>
                  <w:tcBorders>
                    <w:left w:val="single" w:color="auto" w:sz="4" w:space="0"/>
                  </w:tcBorders>
                  <w:vAlign w:val="center"/>
                </w:tcPr>
                <w:p>
                  <w:pPr>
                    <w:adjustRightInd w:val="0"/>
                    <w:snapToGrid w:val="0"/>
                    <w:jc w:val="center"/>
                    <w:rPr>
                      <w:color w:val="auto"/>
                      <w:szCs w:val="21"/>
                    </w:rPr>
                  </w:pPr>
                  <w:r>
                    <w:rPr>
                      <w:color w:val="auto"/>
                      <w:szCs w:val="21"/>
                    </w:rPr>
                    <w:t>0t/a</w:t>
                  </w:r>
                </w:p>
              </w:tc>
              <w:tc>
                <w:tcPr>
                  <w:tcW w:w="1365" w:type="pct"/>
                  <w:tcBorders>
                    <w:left w:val="single" w:color="auto" w:sz="4" w:space="0"/>
                  </w:tcBorders>
                  <w:vAlign w:val="center"/>
                </w:tcPr>
                <w:p>
                  <w:pPr>
                    <w:pStyle w:val="62"/>
                    <w:adjustRightInd w:val="0"/>
                    <w:snapToGrid w:val="0"/>
                    <w:spacing w:line="240" w:lineRule="auto"/>
                    <w:ind w:firstLine="0"/>
                    <w:rPr>
                      <w:rFonts w:ascii="Times New Roman" w:hAnsi="Times New Roman"/>
                      <w:color w:val="auto"/>
                      <w:sz w:val="21"/>
                      <w:szCs w:val="21"/>
                    </w:rPr>
                  </w:pPr>
                  <w:r>
                    <w:rPr>
                      <w:rFonts w:hint="eastAsia" w:ascii="Times New Roman" w:hAnsi="Times New Roman"/>
                      <w:color w:val="auto"/>
                      <w:sz w:val="21"/>
                      <w:szCs w:val="21"/>
                    </w:rPr>
                    <w:t>4000</w:t>
                  </w:r>
                  <w:r>
                    <w:rPr>
                      <w:rFonts w:ascii="Times New Roman" w:hAnsi="Times New Roman"/>
                      <w:color w:val="auto"/>
                      <w:sz w:val="21"/>
                      <w:szCs w:val="21"/>
                    </w:rPr>
                    <w:t>t/a</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261" w:type="pct"/>
                  <w:vMerge w:val="continue"/>
                  <w:vAlign w:val="center"/>
                </w:tcPr>
                <w:p>
                  <w:pPr>
                    <w:pStyle w:val="10"/>
                    <w:adjustRightInd w:val="0"/>
                    <w:spacing w:line="240" w:lineRule="auto"/>
                    <w:jc w:val="center"/>
                    <w:rPr>
                      <w:color w:val="auto"/>
                      <w:szCs w:val="21"/>
                    </w:rPr>
                  </w:pPr>
                </w:p>
              </w:tc>
              <w:tc>
                <w:tcPr>
                  <w:tcW w:w="1070" w:type="pct"/>
                  <w:vAlign w:val="center"/>
                </w:tcPr>
                <w:p>
                  <w:pPr>
                    <w:adjustRightInd w:val="0"/>
                    <w:snapToGrid w:val="0"/>
                    <w:jc w:val="center"/>
                    <w:rPr>
                      <w:color w:val="auto"/>
                      <w:szCs w:val="21"/>
                    </w:rPr>
                  </w:pPr>
                  <w:r>
                    <w:rPr>
                      <w:rFonts w:hint="eastAsia"/>
                      <w:color w:val="auto"/>
                      <w:szCs w:val="21"/>
                    </w:rPr>
                    <w:t>共聚酯胶粘剂</w:t>
                  </w:r>
                </w:p>
              </w:tc>
              <w:tc>
                <w:tcPr>
                  <w:tcW w:w="1135" w:type="pct"/>
                  <w:tcBorders>
                    <w:right w:val="single" w:color="auto" w:sz="4" w:space="0"/>
                  </w:tcBorders>
                  <w:vAlign w:val="center"/>
                </w:tcPr>
                <w:p>
                  <w:pPr>
                    <w:pStyle w:val="62"/>
                    <w:adjustRightInd w:val="0"/>
                    <w:snapToGrid w:val="0"/>
                    <w:spacing w:line="240" w:lineRule="auto"/>
                    <w:ind w:firstLine="0"/>
                    <w:rPr>
                      <w:rFonts w:ascii="Times New Roman" w:hAnsi="Times New Roman"/>
                      <w:color w:val="auto"/>
                      <w:sz w:val="21"/>
                      <w:szCs w:val="21"/>
                    </w:rPr>
                  </w:pPr>
                  <w:r>
                    <w:rPr>
                      <w:rFonts w:hint="eastAsia" w:ascii="Times New Roman" w:hAnsi="Times New Roman"/>
                      <w:color w:val="auto"/>
                      <w:sz w:val="21"/>
                      <w:szCs w:val="21"/>
                    </w:rPr>
                    <w:t>2</w:t>
                  </w:r>
                  <w:r>
                    <w:rPr>
                      <w:rFonts w:ascii="Times New Roman" w:hAnsi="Times New Roman"/>
                      <w:color w:val="auto"/>
                      <w:sz w:val="21"/>
                      <w:szCs w:val="21"/>
                    </w:rPr>
                    <w:t>t/a</w:t>
                  </w:r>
                </w:p>
              </w:tc>
              <w:tc>
                <w:tcPr>
                  <w:tcW w:w="1165" w:type="pct"/>
                  <w:tcBorders>
                    <w:left w:val="single" w:color="auto" w:sz="4" w:space="0"/>
                  </w:tcBorders>
                  <w:vAlign w:val="center"/>
                </w:tcPr>
                <w:p>
                  <w:pPr>
                    <w:adjustRightInd w:val="0"/>
                    <w:snapToGrid w:val="0"/>
                    <w:jc w:val="center"/>
                    <w:rPr>
                      <w:color w:val="auto"/>
                      <w:szCs w:val="21"/>
                    </w:rPr>
                  </w:pPr>
                  <w:r>
                    <w:rPr>
                      <w:color w:val="auto"/>
                      <w:szCs w:val="21"/>
                    </w:rPr>
                    <w:t>0t/a</w:t>
                  </w:r>
                </w:p>
              </w:tc>
              <w:tc>
                <w:tcPr>
                  <w:tcW w:w="1365" w:type="pct"/>
                  <w:tcBorders>
                    <w:left w:val="single" w:color="auto" w:sz="4" w:space="0"/>
                  </w:tcBorders>
                  <w:vAlign w:val="center"/>
                </w:tcPr>
                <w:p>
                  <w:pPr>
                    <w:pStyle w:val="62"/>
                    <w:adjustRightInd w:val="0"/>
                    <w:snapToGrid w:val="0"/>
                    <w:spacing w:line="240" w:lineRule="auto"/>
                    <w:ind w:firstLine="0"/>
                    <w:rPr>
                      <w:rFonts w:ascii="Times New Roman" w:hAnsi="Times New Roman"/>
                      <w:color w:val="auto"/>
                      <w:sz w:val="21"/>
                      <w:szCs w:val="21"/>
                    </w:rPr>
                  </w:pPr>
                  <w:r>
                    <w:rPr>
                      <w:rFonts w:hint="eastAsia" w:ascii="Times New Roman" w:hAnsi="Times New Roman"/>
                      <w:color w:val="auto"/>
                      <w:sz w:val="21"/>
                      <w:szCs w:val="21"/>
                    </w:rPr>
                    <w:t>2</w:t>
                  </w:r>
                  <w:r>
                    <w:rPr>
                      <w:rFonts w:ascii="Times New Roman" w:hAnsi="Times New Roman"/>
                      <w:color w:val="auto"/>
                      <w:sz w:val="21"/>
                      <w:szCs w:val="21"/>
                    </w:rPr>
                    <w:t>t/a</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261" w:type="pct"/>
                  <w:vMerge w:val="continue"/>
                  <w:vAlign w:val="center"/>
                </w:tcPr>
                <w:p>
                  <w:pPr>
                    <w:pStyle w:val="10"/>
                    <w:adjustRightInd w:val="0"/>
                    <w:spacing w:line="240" w:lineRule="auto"/>
                    <w:jc w:val="center"/>
                    <w:rPr>
                      <w:color w:val="auto"/>
                      <w:szCs w:val="21"/>
                    </w:rPr>
                  </w:pPr>
                </w:p>
              </w:tc>
              <w:tc>
                <w:tcPr>
                  <w:tcW w:w="1070" w:type="pct"/>
                  <w:vAlign w:val="center"/>
                </w:tcPr>
                <w:p>
                  <w:pPr>
                    <w:adjustRightInd w:val="0"/>
                    <w:snapToGrid w:val="0"/>
                    <w:jc w:val="center"/>
                    <w:rPr>
                      <w:color w:val="auto"/>
                      <w:szCs w:val="21"/>
                    </w:rPr>
                  </w:pPr>
                  <w:r>
                    <w:rPr>
                      <w:rFonts w:hint="eastAsia"/>
                      <w:color w:val="auto"/>
                      <w:szCs w:val="21"/>
                    </w:rPr>
                    <w:t>液压油</w:t>
                  </w:r>
                </w:p>
              </w:tc>
              <w:tc>
                <w:tcPr>
                  <w:tcW w:w="1135" w:type="pct"/>
                  <w:tcBorders>
                    <w:right w:val="single" w:color="auto" w:sz="4" w:space="0"/>
                  </w:tcBorders>
                  <w:vAlign w:val="center"/>
                </w:tcPr>
                <w:p>
                  <w:pPr>
                    <w:pStyle w:val="62"/>
                    <w:adjustRightInd w:val="0"/>
                    <w:snapToGrid w:val="0"/>
                    <w:spacing w:line="240" w:lineRule="auto"/>
                    <w:ind w:firstLine="0"/>
                    <w:rPr>
                      <w:rFonts w:ascii="Times New Roman" w:hAnsi="Times New Roman"/>
                      <w:color w:val="auto"/>
                      <w:sz w:val="21"/>
                      <w:szCs w:val="21"/>
                    </w:rPr>
                  </w:pPr>
                  <w:r>
                    <w:rPr>
                      <w:rFonts w:hint="eastAsia" w:ascii="Times New Roman" w:hAnsi="Times New Roman"/>
                      <w:color w:val="auto"/>
                      <w:sz w:val="21"/>
                      <w:szCs w:val="21"/>
                    </w:rPr>
                    <w:t>0.5t/a</w:t>
                  </w:r>
                </w:p>
              </w:tc>
              <w:tc>
                <w:tcPr>
                  <w:tcW w:w="1165" w:type="pct"/>
                  <w:tcBorders>
                    <w:left w:val="single" w:color="auto" w:sz="4" w:space="0"/>
                  </w:tcBorders>
                  <w:vAlign w:val="center"/>
                </w:tcPr>
                <w:p>
                  <w:pPr>
                    <w:adjustRightInd w:val="0"/>
                    <w:snapToGrid w:val="0"/>
                    <w:jc w:val="center"/>
                    <w:rPr>
                      <w:color w:val="auto"/>
                      <w:szCs w:val="21"/>
                    </w:rPr>
                  </w:pPr>
                  <w:r>
                    <w:rPr>
                      <w:rFonts w:hint="eastAsia"/>
                      <w:color w:val="auto"/>
                      <w:szCs w:val="21"/>
                    </w:rPr>
                    <w:t>0t/a</w:t>
                  </w:r>
                </w:p>
              </w:tc>
              <w:tc>
                <w:tcPr>
                  <w:tcW w:w="1365" w:type="pct"/>
                  <w:tcBorders>
                    <w:left w:val="single" w:color="auto" w:sz="4" w:space="0"/>
                  </w:tcBorders>
                  <w:vAlign w:val="center"/>
                </w:tcPr>
                <w:p>
                  <w:pPr>
                    <w:adjustRightInd w:val="0"/>
                    <w:snapToGrid w:val="0"/>
                    <w:jc w:val="center"/>
                    <w:rPr>
                      <w:color w:val="auto"/>
                      <w:kern w:val="0"/>
                      <w:szCs w:val="21"/>
                    </w:rPr>
                  </w:pPr>
                  <w:r>
                    <w:rPr>
                      <w:rFonts w:hint="eastAsia"/>
                      <w:color w:val="auto"/>
                      <w:szCs w:val="21"/>
                    </w:rPr>
                    <w:t>0.5t/a</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261" w:type="pct"/>
                  <w:vMerge w:val="continue"/>
                  <w:vAlign w:val="center"/>
                </w:tcPr>
                <w:p>
                  <w:pPr>
                    <w:pStyle w:val="10"/>
                    <w:adjustRightInd w:val="0"/>
                    <w:spacing w:line="240" w:lineRule="auto"/>
                    <w:jc w:val="center"/>
                    <w:rPr>
                      <w:color w:val="auto"/>
                      <w:szCs w:val="21"/>
                    </w:rPr>
                  </w:pPr>
                </w:p>
              </w:tc>
              <w:tc>
                <w:tcPr>
                  <w:tcW w:w="1070" w:type="pct"/>
                  <w:vAlign w:val="center"/>
                </w:tcPr>
                <w:p>
                  <w:pPr>
                    <w:adjustRightInd w:val="0"/>
                    <w:snapToGrid w:val="0"/>
                    <w:jc w:val="center"/>
                    <w:rPr>
                      <w:color w:val="auto"/>
                      <w:szCs w:val="21"/>
                    </w:rPr>
                  </w:pPr>
                  <w:r>
                    <w:rPr>
                      <w:rFonts w:hint="eastAsia"/>
                      <w:color w:val="auto"/>
                      <w:szCs w:val="21"/>
                    </w:rPr>
                    <w:t>机油</w:t>
                  </w:r>
                </w:p>
              </w:tc>
              <w:tc>
                <w:tcPr>
                  <w:tcW w:w="1135" w:type="pct"/>
                  <w:tcBorders>
                    <w:right w:val="single" w:color="auto" w:sz="4" w:space="0"/>
                  </w:tcBorders>
                  <w:vAlign w:val="center"/>
                </w:tcPr>
                <w:p>
                  <w:pPr>
                    <w:pStyle w:val="62"/>
                    <w:adjustRightInd w:val="0"/>
                    <w:snapToGrid w:val="0"/>
                    <w:spacing w:line="240" w:lineRule="auto"/>
                    <w:ind w:firstLine="0"/>
                    <w:rPr>
                      <w:rFonts w:ascii="Times New Roman" w:hAnsi="Times New Roman"/>
                      <w:color w:val="auto"/>
                      <w:sz w:val="21"/>
                      <w:szCs w:val="21"/>
                    </w:rPr>
                  </w:pPr>
                  <w:r>
                    <w:rPr>
                      <w:rFonts w:hint="eastAsia" w:ascii="Times New Roman" w:hAnsi="Times New Roman"/>
                      <w:color w:val="auto"/>
                      <w:sz w:val="21"/>
                      <w:szCs w:val="21"/>
                    </w:rPr>
                    <w:t>0.02t/a</w:t>
                  </w:r>
                </w:p>
              </w:tc>
              <w:tc>
                <w:tcPr>
                  <w:tcW w:w="1165" w:type="pct"/>
                  <w:tcBorders>
                    <w:left w:val="single" w:color="auto" w:sz="4" w:space="0"/>
                  </w:tcBorders>
                  <w:vAlign w:val="center"/>
                </w:tcPr>
                <w:p>
                  <w:pPr>
                    <w:adjustRightInd w:val="0"/>
                    <w:snapToGrid w:val="0"/>
                    <w:jc w:val="center"/>
                    <w:rPr>
                      <w:color w:val="auto"/>
                      <w:szCs w:val="21"/>
                    </w:rPr>
                  </w:pPr>
                  <w:r>
                    <w:rPr>
                      <w:rFonts w:hint="eastAsia"/>
                      <w:color w:val="auto"/>
                      <w:szCs w:val="21"/>
                    </w:rPr>
                    <w:t>0.03t/a</w:t>
                  </w:r>
                </w:p>
              </w:tc>
              <w:tc>
                <w:tcPr>
                  <w:tcW w:w="1365" w:type="pct"/>
                  <w:tcBorders>
                    <w:left w:val="single" w:color="auto" w:sz="4" w:space="0"/>
                  </w:tcBorders>
                  <w:vAlign w:val="center"/>
                </w:tcPr>
                <w:p>
                  <w:pPr>
                    <w:adjustRightInd w:val="0"/>
                    <w:snapToGrid w:val="0"/>
                    <w:jc w:val="center"/>
                    <w:rPr>
                      <w:color w:val="auto"/>
                      <w:kern w:val="0"/>
                      <w:szCs w:val="21"/>
                    </w:rPr>
                  </w:pPr>
                  <w:r>
                    <w:rPr>
                      <w:rFonts w:hint="eastAsia"/>
                      <w:color w:val="auto"/>
                      <w:kern w:val="0"/>
                      <w:szCs w:val="21"/>
                    </w:rPr>
                    <w:t>0.05t/a</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261" w:type="pct"/>
                  <w:vMerge w:val="continue"/>
                  <w:vAlign w:val="center"/>
                </w:tcPr>
                <w:p>
                  <w:pPr>
                    <w:pStyle w:val="10"/>
                    <w:adjustRightInd w:val="0"/>
                    <w:spacing w:line="240" w:lineRule="auto"/>
                    <w:jc w:val="center"/>
                    <w:rPr>
                      <w:color w:val="auto"/>
                      <w:szCs w:val="21"/>
                    </w:rPr>
                  </w:pPr>
                </w:p>
              </w:tc>
              <w:tc>
                <w:tcPr>
                  <w:tcW w:w="1070" w:type="pct"/>
                  <w:vAlign w:val="center"/>
                </w:tcPr>
                <w:p>
                  <w:pPr>
                    <w:adjustRightInd w:val="0"/>
                    <w:snapToGrid w:val="0"/>
                    <w:jc w:val="center"/>
                    <w:rPr>
                      <w:color w:val="auto"/>
                      <w:szCs w:val="21"/>
                    </w:rPr>
                  </w:pPr>
                  <w:r>
                    <w:rPr>
                      <w:color w:val="auto"/>
                    </w:rPr>
                    <w:t>抹布、劳保用品</w:t>
                  </w:r>
                </w:p>
              </w:tc>
              <w:tc>
                <w:tcPr>
                  <w:tcW w:w="1135" w:type="pct"/>
                  <w:tcBorders>
                    <w:right w:val="single" w:color="auto" w:sz="4" w:space="0"/>
                  </w:tcBorders>
                  <w:vAlign w:val="center"/>
                </w:tcPr>
                <w:p>
                  <w:pPr>
                    <w:pStyle w:val="62"/>
                    <w:adjustRightInd w:val="0"/>
                    <w:snapToGrid w:val="0"/>
                    <w:spacing w:line="240" w:lineRule="auto"/>
                    <w:ind w:firstLine="0"/>
                    <w:rPr>
                      <w:rFonts w:ascii="Times New Roman" w:hAnsi="Times New Roman"/>
                      <w:color w:val="auto"/>
                      <w:sz w:val="21"/>
                      <w:szCs w:val="21"/>
                    </w:rPr>
                  </w:pPr>
                  <w:r>
                    <w:rPr>
                      <w:rFonts w:hint="eastAsia" w:ascii="Times New Roman" w:hAnsi="Times New Roman"/>
                      <w:color w:val="auto"/>
                      <w:sz w:val="21"/>
                      <w:szCs w:val="21"/>
                    </w:rPr>
                    <w:t>0.2t/a</w:t>
                  </w:r>
                </w:p>
              </w:tc>
              <w:tc>
                <w:tcPr>
                  <w:tcW w:w="1165" w:type="pct"/>
                  <w:tcBorders>
                    <w:left w:val="single" w:color="auto" w:sz="4" w:space="0"/>
                  </w:tcBorders>
                  <w:vAlign w:val="center"/>
                </w:tcPr>
                <w:p>
                  <w:pPr>
                    <w:adjustRightInd w:val="0"/>
                    <w:snapToGrid w:val="0"/>
                    <w:jc w:val="center"/>
                    <w:rPr>
                      <w:color w:val="auto"/>
                      <w:szCs w:val="21"/>
                    </w:rPr>
                  </w:pPr>
                  <w:r>
                    <w:rPr>
                      <w:rFonts w:hint="eastAsia"/>
                      <w:color w:val="auto"/>
                      <w:szCs w:val="21"/>
                    </w:rPr>
                    <w:t>0.03t/a</w:t>
                  </w:r>
                </w:p>
              </w:tc>
              <w:tc>
                <w:tcPr>
                  <w:tcW w:w="1365" w:type="pct"/>
                  <w:tcBorders>
                    <w:left w:val="single" w:color="auto" w:sz="4" w:space="0"/>
                  </w:tcBorders>
                  <w:vAlign w:val="center"/>
                </w:tcPr>
                <w:p>
                  <w:pPr>
                    <w:adjustRightInd w:val="0"/>
                    <w:snapToGrid w:val="0"/>
                    <w:jc w:val="center"/>
                    <w:rPr>
                      <w:color w:val="auto"/>
                      <w:kern w:val="0"/>
                      <w:szCs w:val="21"/>
                    </w:rPr>
                  </w:pPr>
                  <w:r>
                    <w:rPr>
                      <w:rFonts w:hint="eastAsia"/>
                      <w:color w:val="auto"/>
                      <w:kern w:val="0"/>
                      <w:szCs w:val="21"/>
                    </w:rPr>
                    <w:t>0.23t/a</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1332" w:type="pct"/>
                  <w:gridSpan w:val="2"/>
                  <w:vAlign w:val="center"/>
                </w:tcPr>
                <w:p>
                  <w:pPr>
                    <w:adjustRightInd w:val="0"/>
                    <w:snapToGrid w:val="0"/>
                    <w:jc w:val="center"/>
                    <w:rPr>
                      <w:color w:val="auto"/>
                      <w:szCs w:val="21"/>
                    </w:rPr>
                  </w:pPr>
                  <w:r>
                    <w:rPr>
                      <w:color w:val="auto"/>
                      <w:szCs w:val="21"/>
                    </w:rPr>
                    <w:t>生产工艺</w:t>
                  </w:r>
                </w:p>
              </w:tc>
              <w:tc>
                <w:tcPr>
                  <w:tcW w:w="3667" w:type="pct"/>
                  <w:gridSpan w:val="3"/>
                  <w:vAlign w:val="center"/>
                </w:tcPr>
                <w:p>
                  <w:pPr>
                    <w:adjustRightInd w:val="0"/>
                    <w:snapToGrid w:val="0"/>
                    <w:rPr>
                      <w:color w:val="auto"/>
                      <w:szCs w:val="21"/>
                    </w:rPr>
                  </w:pPr>
                  <w:r>
                    <w:rPr>
                      <w:rFonts w:hint="eastAsia"/>
                      <w:color w:val="auto"/>
                      <w:szCs w:val="21"/>
                    </w:rPr>
                    <w:t>现有工程生产工艺不发生变化</w:t>
                  </w:r>
                  <w:r>
                    <w:rPr>
                      <w:color w:val="auto"/>
                      <w:szCs w:val="21"/>
                    </w:rPr>
                    <w:t>，新增</w:t>
                  </w:r>
                  <w:r>
                    <w:rPr>
                      <w:color w:val="auto"/>
                      <w:kern w:val="0"/>
                      <w:szCs w:val="21"/>
                    </w:rPr>
                    <w:t>拉幅定型无纺布生产线</w:t>
                  </w:r>
                  <w:r>
                    <w:rPr>
                      <w:rFonts w:hint="eastAsia"/>
                      <w:color w:val="auto"/>
                      <w:kern w:val="0"/>
                      <w:szCs w:val="21"/>
                    </w:rPr>
                    <w:t>、</w:t>
                  </w:r>
                  <w:r>
                    <w:rPr>
                      <w:color w:val="auto"/>
                      <w:szCs w:val="21"/>
                    </w:rPr>
                    <w:t>淋膜无纺布</w:t>
                  </w:r>
                  <w:r>
                    <w:rPr>
                      <w:rFonts w:hint="eastAsia"/>
                      <w:color w:val="auto"/>
                      <w:szCs w:val="21"/>
                    </w:rPr>
                    <w:t>生产线</w:t>
                  </w:r>
                  <w:r>
                    <w:rPr>
                      <w:color w:val="auto"/>
                      <w:szCs w:val="21"/>
                    </w:rPr>
                    <w:t>，其工艺流程简介详见工艺流程简介</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264" w:type="pct"/>
                  <w:vMerge w:val="restart"/>
                  <w:tcBorders>
                    <w:right w:val="single" w:color="auto" w:sz="4" w:space="0"/>
                  </w:tcBorders>
                  <w:vAlign w:val="center"/>
                </w:tcPr>
                <w:p>
                  <w:pPr>
                    <w:adjustRightInd w:val="0"/>
                    <w:snapToGrid w:val="0"/>
                    <w:jc w:val="center"/>
                    <w:rPr>
                      <w:color w:val="auto"/>
                      <w:szCs w:val="21"/>
                    </w:rPr>
                  </w:pPr>
                  <w:r>
                    <w:rPr>
                      <w:rFonts w:hint="eastAsia"/>
                      <w:color w:val="auto"/>
                      <w:szCs w:val="21"/>
                    </w:rPr>
                    <w:t>污染治理措施</w:t>
                  </w:r>
                </w:p>
              </w:tc>
              <w:tc>
                <w:tcPr>
                  <w:tcW w:w="1067" w:type="pct"/>
                  <w:tcBorders>
                    <w:left w:val="single" w:color="auto" w:sz="4" w:space="0"/>
                  </w:tcBorders>
                  <w:vAlign w:val="center"/>
                </w:tcPr>
                <w:p>
                  <w:pPr>
                    <w:adjustRightInd w:val="0"/>
                    <w:snapToGrid w:val="0"/>
                    <w:jc w:val="center"/>
                    <w:rPr>
                      <w:color w:val="auto"/>
                      <w:szCs w:val="21"/>
                    </w:rPr>
                  </w:pPr>
                  <w:r>
                    <w:rPr>
                      <w:rFonts w:hint="eastAsia"/>
                      <w:color w:val="auto"/>
                      <w:szCs w:val="21"/>
                    </w:rPr>
                    <w:t>废水</w:t>
                  </w:r>
                </w:p>
                <w:p>
                  <w:pPr>
                    <w:adjustRightInd w:val="0"/>
                    <w:snapToGrid w:val="0"/>
                    <w:jc w:val="center"/>
                    <w:rPr>
                      <w:color w:val="auto"/>
                      <w:szCs w:val="21"/>
                    </w:rPr>
                  </w:pPr>
                  <w:r>
                    <w:rPr>
                      <w:rFonts w:hint="eastAsia"/>
                      <w:color w:val="auto"/>
                      <w:szCs w:val="21"/>
                    </w:rPr>
                    <w:t>处理</w:t>
                  </w:r>
                </w:p>
              </w:tc>
              <w:tc>
                <w:tcPr>
                  <w:tcW w:w="1135" w:type="pct"/>
                  <w:tcBorders>
                    <w:right w:val="single" w:color="auto" w:sz="4" w:space="0"/>
                  </w:tcBorders>
                  <w:vAlign w:val="center"/>
                </w:tcPr>
                <w:p>
                  <w:pPr>
                    <w:adjustRightInd w:val="0"/>
                    <w:snapToGrid w:val="0"/>
                    <w:rPr>
                      <w:rFonts w:ascii="宋体" w:hAnsi="宋体"/>
                      <w:color w:val="auto"/>
                      <w:szCs w:val="21"/>
                    </w:rPr>
                  </w:pPr>
                  <w:r>
                    <w:rPr>
                      <w:rFonts w:hint="eastAsia"/>
                      <w:color w:val="auto"/>
                    </w:rPr>
                    <w:t>员工食堂建有处理能力为2m</w:t>
                  </w:r>
                  <w:r>
                    <w:rPr>
                      <w:rFonts w:hint="eastAsia"/>
                      <w:color w:val="auto"/>
                      <w:vertAlign w:val="superscript"/>
                    </w:rPr>
                    <w:t>3</w:t>
                  </w:r>
                  <w:r>
                    <w:rPr>
                      <w:rFonts w:hint="eastAsia"/>
                      <w:color w:val="auto"/>
                    </w:rPr>
                    <w:t>/d的隔油池、厂区东南角建有处理能力为20m</w:t>
                  </w:r>
                  <w:r>
                    <w:rPr>
                      <w:rFonts w:hint="eastAsia"/>
                      <w:color w:val="auto"/>
                      <w:vertAlign w:val="superscript"/>
                    </w:rPr>
                    <w:t>3</w:t>
                  </w:r>
                  <w:r>
                    <w:rPr>
                      <w:rFonts w:hint="eastAsia"/>
                      <w:color w:val="auto"/>
                    </w:rPr>
                    <w:t>/d的生化池，食堂废水经隔油处理后与生活污水进入生化池处理达三级标准后排入市政污水管网，经东城污水处理厂深度处理达一级B标后排入淮远河。</w:t>
                  </w:r>
                </w:p>
              </w:tc>
              <w:tc>
                <w:tcPr>
                  <w:tcW w:w="1165" w:type="pct"/>
                  <w:tcBorders>
                    <w:left w:val="single" w:color="auto" w:sz="4" w:space="0"/>
                  </w:tcBorders>
                  <w:vAlign w:val="center"/>
                </w:tcPr>
                <w:p>
                  <w:pPr>
                    <w:adjustRightInd w:val="0"/>
                    <w:snapToGrid w:val="0"/>
                    <w:rPr>
                      <w:rFonts w:ascii="宋体" w:hAnsi="宋体"/>
                      <w:color w:val="auto"/>
                      <w:szCs w:val="21"/>
                    </w:rPr>
                  </w:pPr>
                  <w:r>
                    <w:rPr>
                      <w:rFonts w:hint="eastAsia" w:ascii="宋体" w:hAnsi="宋体"/>
                      <w:color w:val="auto"/>
                      <w:szCs w:val="21"/>
                    </w:rPr>
                    <w:t>依托厂区现有污水处理设施处理</w:t>
                  </w:r>
                </w:p>
              </w:tc>
              <w:tc>
                <w:tcPr>
                  <w:tcW w:w="1365" w:type="pct"/>
                  <w:tcBorders>
                    <w:left w:val="single" w:color="auto" w:sz="4" w:space="0"/>
                  </w:tcBorders>
                  <w:vAlign w:val="center"/>
                </w:tcPr>
                <w:p>
                  <w:pPr>
                    <w:adjustRightInd w:val="0"/>
                    <w:snapToGrid w:val="0"/>
                    <w:jc w:val="center"/>
                    <w:rPr>
                      <w:color w:val="auto"/>
                      <w:szCs w:val="21"/>
                    </w:rPr>
                  </w:pPr>
                  <w:r>
                    <w:rPr>
                      <w:rFonts w:hint="eastAsia"/>
                      <w:color w:val="auto"/>
                      <w:szCs w:val="21"/>
                    </w:rPr>
                    <w:t>厂区现有污水处理设施不发生变化</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264" w:type="pct"/>
                  <w:vMerge w:val="continue"/>
                  <w:tcBorders>
                    <w:right w:val="single" w:color="auto" w:sz="4" w:space="0"/>
                  </w:tcBorders>
                  <w:vAlign w:val="center"/>
                </w:tcPr>
                <w:p>
                  <w:pPr>
                    <w:adjustRightInd w:val="0"/>
                    <w:snapToGrid w:val="0"/>
                    <w:jc w:val="center"/>
                    <w:rPr>
                      <w:color w:val="auto"/>
                      <w:szCs w:val="21"/>
                    </w:rPr>
                  </w:pPr>
                </w:p>
              </w:tc>
              <w:tc>
                <w:tcPr>
                  <w:tcW w:w="1067" w:type="pct"/>
                  <w:tcBorders>
                    <w:left w:val="single" w:color="auto" w:sz="4" w:space="0"/>
                  </w:tcBorders>
                  <w:vAlign w:val="center"/>
                </w:tcPr>
                <w:p>
                  <w:pPr>
                    <w:adjustRightInd w:val="0"/>
                    <w:snapToGrid w:val="0"/>
                    <w:jc w:val="center"/>
                    <w:rPr>
                      <w:color w:val="auto"/>
                      <w:szCs w:val="21"/>
                    </w:rPr>
                  </w:pPr>
                  <w:r>
                    <w:rPr>
                      <w:rFonts w:hint="eastAsia"/>
                      <w:color w:val="auto"/>
                      <w:szCs w:val="21"/>
                    </w:rPr>
                    <w:t>废气</w:t>
                  </w:r>
                </w:p>
                <w:p>
                  <w:pPr>
                    <w:adjustRightInd w:val="0"/>
                    <w:snapToGrid w:val="0"/>
                    <w:jc w:val="center"/>
                    <w:rPr>
                      <w:color w:val="auto"/>
                      <w:szCs w:val="21"/>
                    </w:rPr>
                  </w:pPr>
                  <w:r>
                    <w:rPr>
                      <w:rFonts w:hint="eastAsia"/>
                      <w:color w:val="auto"/>
                      <w:szCs w:val="21"/>
                    </w:rPr>
                    <w:t>处理</w:t>
                  </w:r>
                </w:p>
              </w:tc>
              <w:tc>
                <w:tcPr>
                  <w:tcW w:w="1135" w:type="pct"/>
                  <w:tcBorders>
                    <w:right w:val="single" w:color="auto" w:sz="4" w:space="0"/>
                  </w:tcBorders>
                  <w:vAlign w:val="center"/>
                </w:tcPr>
                <w:p>
                  <w:pPr>
                    <w:adjustRightInd w:val="0"/>
                    <w:snapToGrid w:val="0"/>
                    <w:rPr>
                      <w:rFonts w:ascii="宋体" w:hAnsi="宋体"/>
                      <w:color w:val="auto"/>
                      <w:szCs w:val="21"/>
                    </w:rPr>
                  </w:pPr>
                  <w:r>
                    <w:rPr>
                      <w:rFonts w:hint="eastAsia"/>
                      <w:color w:val="auto"/>
                    </w:rPr>
                    <w:t>2#厂房复合区产生非甲烷总烃、颗粒物采用“滤筒除尘器+活性炭吸附”处理后引至15m高的1#排气筒排放；3#厂房开花区、打包区产生的颗粒物采用“布袋除尘器”处理后引至15m高的2#排气筒排放；3#厂房碎布区产生的颗粒物采用“布袋除尘器”处理后在厂房内无组织排放；员工食堂产生的油烟经油烟净化器处理后引至综合楼屋顶排放。</w:t>
                  </w:r>
                </w:p>
              </w:tc>
              <w:tc>
                <w:tcPr>
                  <w:tcW w:w="1165" w:type="pct"/>
                  <w:tcBorders>
                    <w:left w:val="single" w:color="auto" w:sz="4" w:space="0"/>
                  </w:tcBorders>
                  <w:vAlign w:val="center"/>
                </w:tcPr>
                <w:p>
                  <w:pPr>
                    <w:adjustRightInd w:val="0"/>
                    <w:snapToGrid w:val="0"/>
                    <w:rPr>
                      <w:rFonts w:ascii="宋体" w:hAnsi="宋体"/>
                      <w:color w:val="auto"/>
                      <w:szCs w:val="21"/>
                    </w:rPr>
                  </w:pPr>
                  <w:r>
                    <w:rPr>
                      <w:rFonts w:hint="eastAsia"/>
                      <w:color w:val="auto"/>
                    </w:rPr>
                    <w:t>涂胶、烘干工序产生的挥发性有机物经集气罩收集后采用“二级活性炭吸附”处理后，最后引至15m高的3#排气筒排放；淋膜、冷却工序产生的挥发性有机物经集气罩收集后采用“活性炭吸附”处理后，最后引至15m高的4#排气筒排放</w:t>
                  </w:r>
                </w:p>
              </w:tc>
              <w:tc>
                <w:tcPr>
                  <w:tcW w:w="1365" w:type="pct"/>
                  <w:tcBorders>
                    <w:left w:val="single" w:color="auto" w:sz="4" w:space="0"/>
                  </w:tcBorders>
                  <w:vAlign w:val="center"/>
                </w:tcPr>
                <w:p>
                  <w:pPr>
                    <w:adjustRightInd w:val="0"/>
                    <w:snapToGrid w:val="0"/>
                    <w:rPr>
                      <w:rFonts w:hint="eastAsia"/>
                      <w:color w:val="auto"/>
                      <w:highlight w:val="none"/>
                      <w:lang w:val="en-US" w:eastAsia="zh-CN"/>
                    </w:rPr>
                  </w:pPr>
                  <w:r>
                    <w:rPr>
                      <w:rFonts w:hint="eastAsia"/>
                      <w:color w:val="auto"/>
                      <w:highlight w:val="none"/>
                      <w:lang w:val="en-US" w:eastAsia="zh-CN"/>
                    </w:rPr>
                    <w:t>1#、2#排气筒、员工食堂采取的废气治理设施不发生变化。</w:t>
                  </w:r>
                </w:p>
                <w:p>
                  <w:pPr>
                    <w:adjustRightInd w:val="0"/>
                    <w:snapToGrid w:val="0"/>
                    <w:rPr>
                      <w:color w:val="auto"/>
                      <w:szCs w:val="21"/>
                      <w:highlight w:val="none"/>
                    </w:rPr>
                  </w:pPr>
                  <w:r>
                    <w:rPr>
                      <w:rFonts w:hint="eastAsia"/>
                      <w:color w:val="auto"/>
                      <w:highlight w:val="none"/>
                      <w:lang w:val="en-US" w:eastAsia="zh-CN"/>
                    </w:rPr>
                    <w:t>新增：</w:t>
                  </w:r>
                  <w:r>
                    <w:rPr>
                      <w:rFonts w:hint="eastAsia"/>
                      <w:color w:val="auto"/>
                      <w:highlight w:val="none"/>
                    </w:rPr>
                    <w:t>涂胶、烘干工序产生的挥发性有机物经集气罩收集后采用“二级活性炭吸附”处理后，最后引至15m高的3#排气筒排放；淋膜、冷却工序产生的挥发性有机物经集气罩收集后采用“活性炭吸附”处理后，最后引至15m高的4#排气筒排放；</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264" w:type="pct"/>
                  <w:vMerge w:val="continue"/>
                  <w:tcBorders>
                    <w:right w:val="single" w:color="auto" w:sz="4" w:space="0"/>
                  </w:tcBorders>
                  <w:vAlign w:val="center"/>
                </w:tcPr>
                <w:p>
                  <w:pPr>
                    <w:adjustRightInd w:val="0"/>
                    <w:snapToGrid w:val="0"/>
                    <w:jc w:val="center"/>
                    <w:rPr>
                      <w:color w:val="auto"/>
                      <w:szCs w:val="21"/>
                    </w:rPr>
                  </w:pPr>
                </w:p>
              </w:tc>
              <w:tc>
                <w:tcPr>
                  <w:tcW w:w="1067" w:type="pct"/>
                  <w:tcBorders>
                    <w:left w:val="single" w:color="auto" w:sz="4" w:space="0"/>
                  </w:tcBorders>
                  <w:vAlign w:val="center"/>
                </w:tcPr>
                <w:p>
                  <w:pPr>
                    <w:adjustRightInd w:val="0"/>
                    <w:snapToGrid w:val="0"/>
                    <w:jc w:val="center"/>
                    <w:rPr>
                      <w:color w:val="auto"/>
                      <w:szCs w:val="21"/>
                    </w:rPr>
                  </w:pPr>
                  <w:r>
                    <w:rPr>
                      <w:rFonts w:hint="eastAsia"/>
                      <w:color w:val="auto"/>
                      <w:szCs w:val="21"/>
                    </w:rPr>
                    <w:t>固废处理</w:t>
                  </w:r>
                </w:p>
              </w:tc>
              <w:tc>
                <w:tcPr>
                  <w:tcW w:w="1135" w:type="pct"/>
                  <w:tcBorders>
                    <w:right w:val="single" w:color="auto" w:sz="4" w:space="0"/>
                  </w:tcBorders>
                  <w:vAlign w:val="center"/>
                </w:tcPr>
                <w:p>
                  <w:pPr>
                    <w:adjustRightInd w:val="0"/>
                    <w:snapToGrid w:val="0"/>
                    <w:rPr>
                      <w:rFonts w:ascii="宋体" w:hAnsi="宋体"/>
                      <w:color w:val="auto"/>
                      <w:szCs w:val="21"/>
                    </w:rPr>
                  </w:pPr>
                  <w:r>
                    <w:rPr>
                      <w:rFonts w:hint="eastAsia"/>
                      <w:color w:val="auto"/>
                    </w:rPr>
                    <w:t>2#</w:t>
                  </w:r>
                  <w:r>
                    <w:rPr>
                      <w:color w:val="auto"/>
                    </w:rPr>
                    <w:t>厂房</w:t>
                  </w:r>
                  <w:r>
                    <w:rPr>
                      <w:rFonts w:hint="eastAsia"/>
                      <w:color w:val="auto"/>
                    </w:rPr>
                    <w:t>东北侧</w:t>
                  </w:r>
                  <w:r>
                    <w:rPr>
                      <w:color w:val="auto"/>
                    </w:rPr>
                    <w:t>设置1个面积为</w:t>
                  </w:r>
                  <w:r>
                    <w:rPr>
                      <w:rFonts w:hint="eastAsia"/>
                      <w:color w:val="auto"/>
                    </w:rPr>
                    <w:t>10</w:t>
                  </w:r>
                  <w:r>
                    <w:rPr>
                      <w:color w:val="auto"/>
                    </w:rPr>
                    <w:t>m</w:t>
                  </w:r>
                  <w:r>
                    <w:rPr>
                      <w:color w:val="auto"/>
                      <w:vertAlign w:val="superscript"/>
                    </w:rPr>
                    <w:t>2</w:t>
                  </w:r>
                  <w:r>
                    <w:rPr>
                      <w:color w:val="auto"/>
                    </w:rPr>
                    <w:t>危险废物暂存间，其地面及裙角进行防腐、防渗处理，并设置</w:t>
                  </w:r>
                  <w:r>
                    <w:rPr>
                      <w:rFonts w:hint="eastAsia"/>
                      <w:color w:val="auto"/>
                      <w:lang w:eastAsia="zh-CN"/>
                    </w:rPr>
                    <w:t>围挡</w:t>
                  </w:r>
                  <w:r>
                    <w:rPr>
                      <w:color w:val="auto"/>
                    </w:rPr>
                    <w:t>，</w:t>
                  </w:r>
                  <w:r>
                    <w:rPr>
                      <w:rFonts w:hint="eastAsia"/>
                      <w:color w:val="auto"/>
                    </w:rPr>
                    <w:t>危险废物</w:t>
                  </w:r>
                  <w:r>
                    <w:rPr>
                      <w:color w:val="auto"/>
                    </w:rPr>
                    <w:t>经分类暂存后定期交有危险废物处理制造单位处置</w:t>
                  </w:r>
                  <w:r>
                    <w:rPr>
                      <w:rFonts w:hint="eastAsia"/>
                      <w:color w:val="auto"/>
                    </w:rPr>
                    <w:t>；2#</w:t>
                  </w:r>
                  <w:r>
                    <w:rPr>
                      <w:color w:val="auto"/>
                    </w:rPr>
                    <w:t>厂房</w:t>
                  </w:r>
                  <w:r>
                    <w:rPr>
                      <w:rFonts w:hint="eastAsia"/>
                      <w:color w:val="auto"/>
                    </w:rPr>
                    <w:t>东南部</w:t>
                  </w:r>
                  <w:r>
                    <w:rPr>
                      <w:color w:val="auto"/>
                    </w:rPr>
                    <w:t>设置1个面积为</w:t>
                  </w:r>
                  <w:r>
                    <w:rPr>
                      <w:rFonts w:hint="eastAsia"/>
                      <w:color w:val="auto"/>
                    </w:rPr>
                    <w:t>10</w:t>
                  </w:r>
                  <w:r>
                    <w:rPr>
                      <w:color w:val="auto"/>
                    </w:rPr>
                    <w:t>m</w:t>
                  </w:r>
                  <w:r>
                    <w:rPr>
                      <w:color w:val="auto"/>
                      <w:vertAlign w:val="superscript"/>
                    </w:rPr>
                    <w:t>2</w:t>
                  </w:r>
                  <w:r>
                    <w:rPr>
                      <w:rFonts w:hint="eastAsia"/>
                      <w:color w:val="auto"/>
                    </w:rPr>
                    <w:t>一般工业固废暂存间</w:t>
                  </w:r>
                  <w:r>
                    <w:rPr>
                      <w:color w:val="auto"/>
                    </w:rPr>
                    <w:t>，</w:t>
                  </w:r>
                  <w:r>
                    <w:rPr>
                      <w:rFonts w:hint="eastAsia"/>
                      <w:color w:val="auto"/>
                    </w:rPr>
                    <w:t>一般工业固废分类收集后交废品回收公司处置。</w:t>
                  </w:r>
                </w:p>
              </w:tc>
              <w:tc>
                <w:tcPr>
                  <w:tcW w:w="1165" w:type="pct"/>
                  <w:tcBorders>
                    <w:left w:val="single" w:color="auto" w:sz="4" w:space="0"/>
                  </w:tcBorders>
                  <w:vAlign w:val="center"/>
                </w:tcPr>
                <w:p>
                  <w:pPr>
                    <w:widowControl/>
                    <w:adjustRightInd w:val="0"/>
                    <w:snapToGrid w:val="0"/>
                    <w:rPr>
                      <w:rFonts w:ascii="宋体" w:hAnsi="宋体"/>
                      <w:color w:val="auto"/>
                      <w:szCs w:val="21"/>
                    </w:rPr>
                  </w:pPr>
                  <w:r>
                    <w:rPr>
                      <w:rFonts w:hint="eastAsia" w:ascii="宋体" w:hAnsi="宋体"/>
                      <w:color w:val="auto"/>
                      <w:szCs w:val="21"/>
                    </w:rPr>
                    <w:t>危险废物依托厂区现有危险废物暂存间暂存后交有危险废物处置资质单位处置；餐厨垃圾交餐厨垃圾处理资质单位处置。</w:t>
                  </w:r>
                </w:p>
              </w:tc>
              <w:tc>
                <w:tcPr>
                  <w:tcW w:w="1365" w:type="pct"/>
                  <w:tcBorders>
                    <w:left w:val="single" w:color="auto" w:sz="4" w:space="0"/>
                  </w:tcBorders>
                  <w:vAlign w:val="center"/>
                </w:tcPr>
                <w:p>
                  <w:pPr>
                    <w:widowControl/>
                    <w:adjustRightInd w:val="0"/>
                    <w:snapToGrid w:val="0"/>
                    <w:rPr>
                      <w:color w:val="auto"/>
                      <w:kern w:val="0"/>
                      <w:szCs w:val="21"/>
                      <w:lang w:bidi="ar"/>
                    </w:rPr>
                  </w:pPr>
                  <w:r>
                    <w:rPr>
                      <w:rFonts w:hint="eastAsia"/>
                      <w:color w:val="auto"/>
                      <w:szCs w:val="21"/>
                    </w:rPr>
                    <w:t>厂区现有固体废物暂存设施不发生变化；危险废物经暂存后交有危险废物处理资质单位处置；一般工业固废交废品回收公司处置；餐厨垃圾交餐厨垃圾处理单位处置。</w:t>
                  </w:r>
                </w:p>
              </w:tc>
            </w:tr>
          </w:tbl>
          <w:p>
            <w:pPr>
              <w:adjustRightInd w:val="0"/>
              <w:snapToGrid w:val="0"/>
              <w:spacing w:line="360" w:lineRule="auto"/>
              <w:ind w:firstLine="420" w:firstLineChars="200"/>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402" w:type="dxa"/>
            <w:vAlign w:val="center"/>
          </w:tcPr>
          <w:p>
            <w:pPr>
              <w:pStyle w:val="19"/>
              <w:adjustRightInd w:val="0"/>
              <w:snapToGrid w:val="0"/>
              <w:spacing w:before="0" w:beforeAutospacing="0" w:after="0" w:afterAutospacing="0"/>
              <w:jc w:val="center"/>
              <w:rPr>
                <w:rFonts w:ascii="Times New Roman" w:hAnsi="Times New Roman" w:cs="Times New Roman"/>
                <w:color w:val="auto"/>
                <w:sz w:val="21"/>
                <w:szCs w:val="21"/>
              </w:rPr>
            </w:pPr>
            <w:r>
              <w:rPr>
                <w:rFonts w:ascii="Times New Roman" w:hAnsi="Times New Roman" w:cs="Times New Roman"/>
                <w:color w:val="auto"/>
                <w:sz w:val="21"/>
                <w:szCs w:val="21"/>
              </w:rPr>
              <w:t>工艺流程和产排污环节</w:t>
            </w:r>
          </w:p>
        </w:tc>
        <w:tc>
          <w:tcPr>
            <w:tcW w:w="8582" w:type="dxa"/>
          </w:tcPr>
          <w:p>
            <w:pPr>
              <w:snapToGrid w:val="0"/>
              <w:spacing w:line="360" w:lineRule="auto"/>
              <w:rPr>
                <w:b/>
                <w:bCs/>
                <w:color w:val="auto"/>
                <w:sz w:val="24"/>
              </w:rPr>
            </w:pPr>
            <w:r>
              <w:rPr>
                <w:b/>
                <w:bCs/>
                <w:color w:val="auto"/>
                <w:sz w:val="24"/>
              </w:rPr>
              <w:t>工艺流程及产污环节简介：</w:t>
            </w:r>
          </w:p>
          <w:p>
            <w:pPr>
              <w:adjustRightInd w:val="0"/>
              <w:spacing w:line="360" w:lineRule="auto"/>
              <w:ind w:firstLine="480" w:firstLineChars="200"/>
              <w:rPr>
                <w:color w:val="auto"/>
                <w:sz w:val="24"/>
              </w:rPr>
            </w:pPr>
            <w:r>
              <w:rPr>
                <w:rFonts w:hint="eastAsia" w:ascii="Times New Roman" w:hAnsi="Times New Roman" w:cs="Times New Roman"/>
                <w:color w:val="auto"/>
                <w:sz w:val="24"/>
                <w:szCs w:val="24"/>
                <w:lang w:eastAsia="zh-CN"/>
              </w:rPr>
              <w:t>扩建项目</w:t>
            </w:r>
            <w:r>
              <w:rPr>
                <w:rFonts w:hint="eastAsia"/>
                <w:color w:val="auto"/>
                <w:sz w:val="24"/>
              </w:rPr>
              <w:t>利用</w:t>
            </w:r>
            <w:r>
              <w:rPr>
                <w:color w:val="auto"/>
                <w:kern w:val="0"/>
                <w:sz w:val="24"/>
                <w:lang w:bidi="ar"/>
              </w:rPr>
              <w:t>现有生产厂房</w:t>
            </w:r>
            <w:r>
              <w:rPr>
                <w:color w:val="auto"/>
                <w:sz w:val="24"/>
              </w:rPr>
              <w:t>，不新建厂房，没有土建工程，</w:t>
            </w:r>
            <w:r>
              <w:rPr>
                <w:rFonts w:hint="eastAsia"/>
                <w:color w:val="auto"/>
                <w:sz w:val="24"/>
              </w:rPr>
              <w:t>施工期仅需</w:t>
            </w:r>
            <w:r>
              <w:rPr>
                <w:color w:val="auto"/>
                <w:sz w:val="24"/>
              </w:rPr>
              <w:t>对设备的布置、安装和调试。本项目施工流程及产污环节分析见图</w:t>
            </w:r>
            <w:r>
              <w:rPr>
                <w:rFonts w:hint="eastAsia"/>
                <w:color w:val="auto"/>
                <w:sz w:val="24"/>
              </w:rPr>
              <w:t>2.2</w:t>
            </w:r>
            <w:r>
              <w:rPr>
                <w:rFonts w:hint="eastAsia"/>
                <w:color w:val="auto"/>
                <w:sz w:val="24"/>
                <w:lang w:eastAsia="zh-CN"/>
              </w:rPr>
              <w:t>，运营期工艺流程图见图</w:t>
            </w:r>
            <w:r>
              <w:rPr>
                <w:rFonts w:hint="eastAsia"/>
                <w:color w:val="auto"/>
                <w:sz w:val="24"/>
                <w:lang w:val="en-US" w:eastAsia="zh-CN"/>
              </w:rPr>
              <w:t>2.3、图2.4</w:t>
            </w:r>
            <w:r>
              <w:rPr>
                <w:color w:val="auto"/>
                <w:sz w:val="24"/>
              </w:rPr>
              <w:t>。</w:t>
            </w:r>
          </w:p>
          <w:p>
            <w:pPr>
              <w:adjustRightInd w:val="0"/>
              <w:snapToGrid w:val="0"/>
              <w:spacing w:line="360" w:lineRule="auto"/>
              <w:jc w:val="center"/>
              <w:rPr>
                <w:color w:val="auto"/>
                <w:sz w:val="24"/>
              </w:rPr>
            </w:pPr>
            <w:r>
              <w:rPr>
                <w:color w:val="auto"/>
                <w:sz w:val="24"/>
              </w:rPr>
              <w:object>
                <v:shape id="_x0000_i1026" o:spt="75" type="#_x0000_t75" style="height:76.5pt;width:216pt;" o:ole="t" filled="f" o:preferrelative="t" stroked="f" coordsize="21600,21600">
                  <v:path/>
                  <v:fill on="f" focussize="0,0"/>
                  <v:stroke on="f" joinstyle="miter"/>
                  <v:imagedata r:id="rId11" o:title=""/>
                  <o:lock v:ext="edit" aspectratio="f"/>
                  <w10:wrap type="none"/>
                  <w10:anchorlock/>
                </v:shape>
                <o:OLEObject Type="Embed" ProgID="Visio.Drawing.11" ShapeID="_x0000_i1026" DrawAspect="Content" ObjectID="_1468075726" r:id="rId10">
                  <o:LockedField>false</o:LockedField>
                </o:OLEObject>
              </w:object>
            </w:r>
          </w:p>
          <w:p>
            <w:pPr>
              <w:pStyle w:val="2"/>
              <w:jc w:val="center"/>
              <w:rPr>
                <w:rFonts w:ascii="Times New Roman" w:cs="Times New Roman"/>
                <w:color w:val="auto"/>
              </w:rPr>
            </w:pPr>
            <w:r>
              <w:rPr>
                <w:rFonts w:ascii="Times New Roman" w:cs="Times New Roman"/>
                <w:color w:val="auto"/>
              </w:rPr>
              <w:t>图2.</w:t>
            </w:r>
            <w:r>
              <w:rPr>
                <w:rFonts w:hint="eastAsia" w:ascii="Times New Roman" w:cs="Times New Roman"/>
                <w:color w:val="auto"/>
              </w:rPr>
              <w:t>2</w:t>
            </w:r>
            <w:r>
              <w:rPr>
                <w:rFonts w:ascii="Times New Roman" w:cs="Times New Roman"/>
                <w:color w:val="auto"/>
              </w:rPr>
              <w:t xml:space="preserve"> 施工期生产工艺流程图</w:t>
            </w:r>
          </w:p>
          <w:p>
            <w:pPr>
              <w:pStyle w:val="2"/>
              <w:snapToGrid w:val="0"/>
              <w:ind w:firstLine="480" w:firstLineChars="200"/>
              <w:rPr>
                <w:rFonts w:ascii="Times New Roman" w:hAnsi="Times New Roman" w:cs="Times New Roman"/>
                <w:color w:val="auto"/>
              </w:rPr>
            </w:pPr>
            <w:r>
              <w:rPr>
                <w:rFonts w:hint="eastAsia" w:ascii="Times New Roman" w:hAnsi="Times New Roman" w:cs="Times New Roman"/>
                <w:color w:val="auto"/>
                <w:sz w:val="24"/>
                <w:szCs w:val="24"/>
                <w:lang w:eastAsia="zh-CN"/>
              </w:rPr>
              <w:t>扩建项目</w:t>
            </w:r>
            <w:r>
              <w:rPr>
                <w:rFonts w:ascii="Times New Roman" w:hAnsi="Times New Roman" w:cs="Times New Roman"/>
                <w:color w:val="auto"/>
              </w:rPr>
              <w:t>主要生产拉幅定型无纺布、淋膜无纺布，其生产工艺流程见图2.2、图2.3。</w:t>
            </w:r>
          </w:p>
          <w:p>
            <w:pPr>
              <w:adjustRightInd w:val="0"/>
              <w:snapToGrid w:val="0"/>
              <w:spacing w:line="360" w:lineRule="auto"/>
              <w:jc w:val="center"/>
              <w:rPr>
                <w:color w:val="auto"/>
              </w:rPr>
            </w:pPr>
            <w:r>
              <w:rPr>
                <w:color w:val="auto"/>
              </w:rPr>
              <w:object>
                <v:shape id="_x0000_i1027" o:spt="75" type="#_x0000_t75" style="height:50pt;width:413pt;" o:ole="t" filled="f" o:preferrelative="t" stroked="f" coordsize="21600,21600">
                  <v:path/>
                  <v:fill on="f" focussize="0,0"/>
                  <v:stroke on="f"/>
                  <v:imagedata r:id="rId13" o:title=""/>
                  <o:lock v:ext="edit" aspectratio="f"/>
                  <w10:wrap type="none"/>
                  <w10:anchorlock/>
                </v:shape>
                <o:OLEObject Type="Embed" ProgID="Visio.Drawing.11" ShapeID="_x0000_i1027" DrawAspect="Content" ObjectID="_1468075727" r:id="rId12">
                  <o:LockedField>false</o:LockedField>
                </o:OLEObject>
              </w:object>
            </w:r>
          </w:p>
          <w:p>
            <w:pPr>
              <w:pStyle w:val="2"/>
              <w:snapToGrid w:val="0"/>
              <w:jc w:val="center"/>
              <w:rPr>
                <w:rFonts w:ascii="Times New Roman" w:hAnsi="Times New Roman" w:cs="Times New Roman"/>
                <w:color w:val="auto"/>
              </w:rPr>
            </w:pPr>
            <w:r>
              <w:rPr>
                <w:rFonts w:ascii="Times New Roman" w:hAnsi="Times New Roman" w:cs="Times New Roman"/>
                <w:color w:val="auto"/>
              </w:rPr>
              <w:t>图2.</w:t>
            </w:r>
            <w:r>
              <w:rPr>
                <w:rFonts w:hint="eastAsia" w:ascii="Times New Roman" w:hAnsi="Times New Roman" w:cs="Times New Roman"/>
                <w:color w:val="auto"/>
              </w:rPr>
              <w:t>3</w:t>
            </w:r>
            <w:r>
              <w:rPr>
                <w:rFonts w:ascii="Times New Roman" w:hAnsi="Times New Roman" w:cs="Times New Roman"/>
                <w:color w:val="auto"/>
              </w:rPr>
              <w:t xml:space="preserve"> 拉幅定型无纺布生产工艺流程图</w:t>
            </w:r>
          </w:p>
          <w:p>
            <w:pPr>
              <w:pStyle w:val="3"/>
              <w:rPr>
                <w:rFonts w:ascii="Times New Roman" w:hAnsi="Times New Roman" w:cs="Times New Roman"/>
                <w:color w:val="auto"/>
              </w:rPr>
            </w:pPr>
            <w:r>
              <w:rPr>
                <w:rFonts w:ascii="Times New Roman" w:hAnsi="Times New Roman" w:cs="Times New Roman"/>
                <w:color w:val="auto"/>
              </w:rPr>
              <w:t>工艺流程简介</w:t>
            </w:r>
          </w:p>
          <w:p>
            <w:pPr>
              <w:pStyle w:val="3"/>
              <w:ind w:firstLine="480" w:firstLineChars="200"/>
              <w:rPr>
                <w:rFonts w:ascii="Times New Roman" w:hAnsi="Times New Roman" w:cs="Times New Roman"/>
                <w:color w:val="auto"/>
              </w:rPr>
            </w:pPr>
            <w:r>
              <w:rPr>
                <w:rFonts w:ascii="Times New Roman" w:hAnsi="Times New Roman" w:cs="Times New Roman"/>
                <w:color w:val="auto"/>
              </w:rPr>
              <w:t>开卷：</w:t>
            </w:r>
            <w:r>
              <w:rPr>
                <w:rFonts w:hint="eastAsia" w:ascii="Times New Roman" w:hAnsi="Times New Roman" w:cs="Times New Roman"/>
                <w:color w:val="auto"/>
              </w:rPr>
              <w:t>首先</w:t>
            </w:r>
            <w:r>
              <w:rPr>
                <w:rFonts w:ascii="Times New Roman" w:hAnsi="Times New Roman" w:cs="Times New Roman"/>
                <w:color w:val="auto"/>
              </w:rPr>
              <w:t>将</w:t>
            </w:r>
            <w:r>
              <w:rPr>
                <w:rFonts w:hint="eastAsia" w:ascii="Times New Roman" w:hAnsi="Times New Roman" w:cs="Times New Roman"/>
                <w:color w:val="auto"/>
              </w:rPr>
              <w:t>无纺布一端</w:t>
            </w:r>
            <w:r>
              <w:rPr>
                <w:rFonts w:ascii="Times New Roman" w:hAnsi="Times New Roman" w:cs="Times New Roman"/>
                <w:color w:val="auto"/>
              </w:rPr>
              <w:t>固定在</w:t>
            </w:r>
            <w:r>
              <w:rPr>
                <w:rFonts w:hint="eastAsia" w:ascii="Times New Roman" w:hAnsi="Times New Roman" w:cs="Times New Roman"/>
                <w:color w:val="auto"/>
                <w:lang w:eastAsia="zh-CN"/>
              </w:rPr>
              <w:t>针刺机</w:t>
            </w:r>
            <w:r>
              <w:rPr>
                <w:rFonts w:ascii="Times New Roman" w:hAnsi="Times New Roman" w:cs="Times New Roman"/>
                <w:color w:val="auto"/>
              </w:rPr>
              <w:t>接料台上，</w:t>
            </w:r>
            <w:r>
              <w:rPr>
                <w:rFonts w:hint="eastAsia" w:ascii="Times New Roman" w:hAnsi="Times New Roman" w:cs="Times New Roman"/>
                <w:color w:val="auto"/>
                <w:lang w:eastAsia="zh-CN"/>
              </w:rPr>
              <w:t>针刺机</w:t>
            </w:r>
            <w:r>
              <w:rPr>
                <w:rFonts w:ascii="Times New Roman" w:hAnsi="Times New Roman" w:cs="Times New Roman"/>
                <w:color w:val="auto"/>
              </w:rPr>
              <w:t>牵引</w:t>
            </w:r>
            <w:r>
              <w:rPr>
                <w:rFonts w:hint="eastAsia" w:ascii="Times New Roman" w:hAnsi="Times New Roman" w:cs="Times New Roman"/>
                <w:color w:val="auto"/>
              </w:rPr>
              <w:t>无纺布</w:t>
            </w:r>
            <w:r>
              <w:rPr>
                <w:rFonts w:ascii="Times New Roman" w:hAnsi="Times New Roman" w:cs="Times New Roman"/>
                <w:color w:val="auto"/>
              </w:rPr>
              <w:t>向前移动，</w:t>
            </w:r>
            <w:r>
              <w:rPr>
                <w:rFonts w:hint="eastAsia" w:ascii="Times New Roman" w:hAnsi="Times New Roman" w:cs="Times New Roman"/>
                <w:color w:val="auto"/>
              </w:rPr>
              <w:t>使其缓慢展开，其移动速度为4m/min，</w:t>
            </w:r>
            <w:r>
              <w:rPr>
                <w:rFonts w:ascii="Times New Roman" w:hAnsi="Times New Roman" w:cs="Times New Roman"/>
                <w:color w:val="auto"/>
              </w:rPr>
              <w:t>此环节将产生机械噪声。</w:t>
            </w:r>
          </w:p>
          <w:p>
            <w:pPr>
              <w:snapToGrid w:val="0"/>
              <w:spacing w:line="360" w:lineRule="auto"/>
              <w:ind w:firstLine="480" w:firstLineChars="200"/>
              <w:rPr>
                <w:rFonts w:hint="eastAsia" w:eastAsia="宋体"/>
                <w:color w:val="auto"/>
                <w:sz w:val="24"/>
                <w:highlight w:val="none"/>
                <w:lang w:eastAsia="zh-CN"/>
              </w:rPr>
            </w:pPr>
            <w:r>
              <w:rPr>
                <w:rFonts w:hint="eastAsia"/>
                <w:color w:val="auto"/>
                <w:sz w:val="24"/>
                <w:highlight w:val="none"/>
                <w:lang w:eastAsia="zh-CN"/>
              </w:rPr>
              <w:t>针刺：无纺布卷被展开后，针刺机上的铁针轻轻的扎刺无纺布表面，使其表面略微蓬松，针刺完成后，将无纺布卷进行收卷，该工序不对工件进行加热、也不添加任何原材料，此环节将产生机械噪声。</w:t>
            </w:r>
          </w:p>
          <w:p>
            <w:pPr>
              <w:snapToGrid w:val="0"/>
              <w:spacing w:line="360" w:lineRule="auto"/>
              <w:ind w:firstLine="480" w:firstLineChars="200"/>
              <w:rPr>
                <w:color w:val="auto"/>
                <w:sz w:val="24"/>
                <w:highlight w:val="yellow"/>
              </w:rPr>
            </w:pPr>
            <w:r>
              <w:rPr>
                <w:rFonts w:hint="eastAsia"/>
                <w:color w:val="auto"/>
                <w:sz w:val="24"/>
                <w:szCs w:val="24"/>
              </w:rPr>
              <w:t>涂胶：</w:t>
            </w:r>
            <w:r>
              <w:rPr>
                <w:rFonts w:hint="eastAsia"/>
                <w:color w:val="auto"/>
                <w:sz w:val="24"/>
                <w:szCs w:val="24"/>
                <w:lang w:eastAsia="zh-CN"/>
              </w:rPr>
              <w:t>无纺布针刺完成后，再将其</w:t>
            </w:r>
            <w:r>
              <w:rPr>
                <w:rFonts w:hint="eastAsia" w:ascii="Times New Roman" w:hAnsi="Times New Roman" w:cs="Times New Roman"/>
                <w:color w:val="auto"/>
                <w:sz w:val="24"/>
                <w:szCs w:val="24"/>
              </w:rPr>
              <w:t>一端</w:t>
            </w:r>
            <w:r>
              <w:rPr>
                <w:rFonts w:ascii="Times New Roman" w:hAnsi="Times New Roman" w:cs="Times New Roman"/>
                <w:color w:val="auto"/>
                <w:sz w:val="24"/>
                <w:szCs w:val="24"/>
              </w:rPr>
              <w:t>固定在</w:t>
            </w:r>
            <w:r>
              <w:rPr>
                <w:rFonts w:hint="eastAsia" w:cs="Times New Roman"/>
                <w:color w:val="auto"/>
                <w:sz w:val="24"/>
                <w:szCs w:val="24"/>
                <w:lang w:eastAsia="zh-CN"/>
              </w:rPr>
              <w:t>拉幅定型设备</w:t>
            </w:r>
            <w:r>
              <w:rPr>
                <w:rFonts w:ascii="Times New Roman" w:hAnsi="Times New Roman" w:cs="Times New Roman"/>
                <w:color w:val="auto"/>
                <w:sz w:val="24"/>
                <w:szCs w:val="24"/>
              </w:rPr>
              <w:t>接料台上，</w:t>
            </w:r>
            <w:r>
              <w:rPr>
                <w:rFonts w:hint="eastAsia" w:cs="Times New Roman"/>
                <w:color w:val="auto"/>
                <w:sz w:val="24"/>
                <w:szCs w:val="24"/>
                <w:lang w:eastAsia="zh-CN"/>
              </w:rPr>
              <w:t>拉幅定型设备在</w:t>
            </w:r>
            <w:r>
              <w:rPr>
                <w:rFonts w:ascii="Times New Roman" w:hAnsi="Times New Roman" w:cs="Times New Roman"/>
                <w:color w:val="auto"/>
                <w:sz w:val="24"/>
                <w:szCs w:val="24"/>
              </w:rPr>
              <w:t>输送带牵引</w:t>
            </w:r>
            <w:r>
              <w:rPr>
                <w:rFonts w:hint="eastAsia" w:ascii="Times New Roman" w:hAnsi="Times New Roman" w:cs="Times New Roman"/>
                <w:color w:val="auto"/>
                <w:sz w:val="24"/>
                <w:szCs w:val="24"/>
              </w:rPr>
              <w:t>无纺布</w:t>
            </w:r>
            <w:r>
              <w:rPr>
                <w:rFonts w:ascii="Times New Roman" w:hAnsi="Times New Roman" w:cs="Times New Roman"/>
                <w:color w:val="auto"/>
                <w:sz w:val="24"/>
                <w:szCs w:val="24"/>
              </w:rPr>
              <w:t>向前移动，</w:t>
            </w:r>
            <w:r>
              <w:rPr>
                <w:rFonts w:hint="eastAsia" w:ascii="Times New Roman" w:hAnsi="Times New Roman" w:cs="Times New Roman"/>
                <w:color w:val="auto"/>
                <w:sz w:val="24"/>
                <w:szCs w:val="24"/>
              </w:rPr>
              <w:t>使其缓慢展开</w:t>
            </w:r>
            <w:r>
              <w:rPr>
                <w:rFonts w:hint="eastAsia" w:cs="Times New Roman"/>
                <w:color w:val="auto"/>
                <w:sz w:val="24"/>
                <w:szCs w:val="24"/>
                <w:lang w:eastAsia="zh-CN"/>
              </w:rPr>
              <w:t>。</w:t>
            </w:r>
            <w:r>
              <w:rPr>
                <w:rFonts w:hint="eastAsia"/>
                <w:color w:val="auto"/>
                <w:sz w:val="24"/>
              </w:rPr>
              <w:t>胶粘剂盛装在密闭的铁桶中，胶粘剂通过软管抽至拉幅定型设备的胶槽内，无纺布被牵引着向前移动来到涂胶工位，胶槽位于无纺布上方，在重力的作用下胶粘剂通过胶槽的出料口均匀的涂布在无纺布上，此环节将产生挥发性有机物G1以及机械噪声。</w:t>
            </w:r>
          </w:p>
          <w:p>
            <w:pPr>
              <w:pStyle w:val="2"/>
              <w:ind w:firstLine="480" w:firstLineChars="200"/>
              <w:rPr>
                <w:rFonts w:ascii="Times New Roman" w:hAnsi="Times New Roman" w:cs="Times New Roman"/>
                <w:color w:val="auto"/>
              </w:rPr>
            </w:pPr>
            <w:r>
              <w:rPr>
                <w:rFonts w:hint="eastAsia" w:ascii="Times New Roman" w:hAnsi="Times New Roman" w:cs="Times New Roman"/>
                <w:color w:val="auto"/>
              </w:rPr>
              <w:t>烘干：无纺布涂胶完成后，在输送带的牵引下继续向前移动进入烘道烘干，烘干温度约200℃，烘干使用的能源为天然气，此环节将产挥发性有机物、天然气燃烧废气G2以及机械噪声。</w:t>
            </w:r>
          </w:p>
          <w:p>
            <w:pPr>
              <w:pStyle w:val="3"/>
              <w:ind w:firstLine="480" w:firstLineChars="200"/>
              <w:rPr>
                <w:color w:val="auto"/>
              </w:rPr>
            </w:pPr>
            <w:r>
              <w:rPr>
                <w:rFonts w:hint="eastAsia"/>
                <w:color w:val="auto"/>
              </w:rPr>
              <w:t>收卷：工件烘干完成后在输送带的牵引下继续移动到拉幅定型设备尾端，无纺布跟随设备尾端的转</w:t>
            </w:r>
            <w:r>
              <w:rPr>
                <w:rFonts w:ascii="Times New Roman" w:hAnsi="Times New Roman" w:cs="Times New Roman"/>
                <w:color w:val="auto"/>
              </w:rPr>
              <w:t>辊</w:t>
            </w:r>
            <w:r>
              <w:rPr>
                <w:rFonts w:hint="eastAsia" w:ascii="Times New Roman" w:hAnsi="Times New Roman" w:cs="Times New Roman"/>
                <w:color w:val="auto"/>
              </w:rPr>
              <w:t>转动使其卷曲成卷，此环节将产生机械噪声。</w:t>
            </w:r>
          </w:p>
          <w:p>
            <w:pPr>
              <w:pStyle w:val="3"/>
              <w:jc w:val="center"/>
              <w:rPr>
                <w:color w:val="auto"/>
              </w:rPr>
            </w:pPr>
            <w:r>
              <w:rPr>
                <w:color w:val="auto"/>
              </w:rPr>
              <w:object>
                <v:shape id="_x0000_i1028" o:spt="75" type="#_x0000_t75" style="height:108.75pt;width:394.9pt;" o:ole="t" filled="f" o:preferrelative="t" stroked="f" coordsize="21600,21600">
                  <v:path/>
                  <v:fill on="f" focussize="0,0"/>
                  <v:stroke on="f"/>
                  <v:imagedata r:id="rId15" o:title=""/>
                  <o:lock v:ext="edit" aspectratio="f"/>
                  <w10:wrap type="none"/>
                  <w10:anchorlock/>
                </v:shape>
                <o:OLEObject Type="Embed" ProgID="Visio.Drawing.11" ShapeID="_x0000_i1028" DrawAspect="Content" ObjectID="_1468075728" r:id="rId14">
                  <o:LockedField>false</o:LockedField>
                </o:OLEObject>
              </w:object>
            </w:r>
          </w:p>
          <w:p>
            <w:pPr>
              <w:pStyle w:val="3"/>
              <w:jc w:val="center"/>
              <w:rPr>
                <w:rFonts w:ascii="Times New Roman" w:hAnsi="Times New Roman" w:cs="Times New Roman"/>
                <w:color w:val="auto"/>
              </w:rPr>
            </w:pPr>
            <w:r>
              <w:rPr>
                <w:rFonts w:ascii="Times New Roman" w:hAnsi="Times New Roman" w:cs="Times New Roman"/>
                <w:color w:val="auto"/>
              </w:rPr>
              <w:t>图2.4 淋膜无纺布生产工艺流程</w:t>
            </w:r>
            <w:r>
              <w:rPr>
                <w:rFonts w:hint="eastAsia" w:ascii="Times New Roman" w:hAnsi="Times New Roman" w:cs="Times New Roman"/>
                <w:color w:val="auto"/>
              </w:rPr>
              <w:t>图</w:t>
            </w:r>
          </w:p>
          <w:p>
            <w:pPr>
              <w:pStyle w:val="3"/>
              <w:rPr>
                <w:rFonts w:ascii="Times New Roman" w:hAnsi="Times New Roman" w:cs="Times New Roman"/>
                <w:color w:val="auto"/>
              </w:rPr>
            </w:pPr>
            <w:r>
              <w:rPr>
                <w:rFonts w:hint="eastAsia" w:ascii="Times New Roman" w:hAnsi="Times New Roman" w:cs="Times New Roman"/>
                <w:color w:val="auto"/>
              </w:rPr>
              <w:t>工艺</w:t>
            </w:r>
            <w:r>
              <w:rPr>
                <w:rFonts w:ascii="Times New Roman" w:hAnsi="Times New Roman" w:cs="Times New Roman"/>
                <w:color w:val="auto"/>
              </w:rPr>
              <w:t>流程简介：</w:t>
            </w:r>
          </w:p>
          <w:p>
            <w:pPr>
              <w:pStyle w:val="3"/>
              <w:ind w:firstLine="480" w:firstLineChars="200"/>
              <w:rPr>
                <w:rFonts w:ascii="Times New Roman" w:hAnsi="Times New Roman" w:cs="Times New Roman"/>
                <w:color w:val="auto"/>
              </w:rPr>
            </w:pPr>
            <w:r>
              <w:rPr>
                <w:rFonts w:ascii="Times New Roman" w:hAnsi="Times New Roman" w:cs="Times New Roman"/>
                <w:color w:val="auto"/>
              </w:rPr>
              <w:t>开卷：首先将无纺布一端固定在淋膜机接料台上，</w:t>
            </w:r>
            <w:r>
              <w:rPr>
                <w:rFonts w:hint="eastAsia" w:ascii="Times New Roman" w:hAnsi="Times New Roman" w:cs="Times New Roman"/>
                <w:color w:val="auto"/>
              </w:rPr>
              <w:t>淋膜机的传动轴</w:t>
            </w:r>
            <w:r>
              <w:rPr>
                <w:rFonts w:ascii="Times New Roman" w:hAnsi="Times New Roman" w:cs="Times New Roman"/>
                <w:color w:val="auto"/>
              </w:rPr>
              <w:t>牵引无纺布向前移动，使其缓慢展开，其移动速度为</w:t>
            </w:r>
            <w:r>
              <w:rPr>
                <w:rFonts w:hint="eastAsia" w:ascii="Times New Roman" w:hAnsi="Times New Roman" w:cs="Times New Roman"/>
                <w:color w:val="auto"/>
              </w:rPr>
              <w:t>2</w:t>
            </w:r>
            <w:r>
              <w:rPr>
                <w:rFonts w:ascii="Times New Roman" w:hAnsi="Times New Roman" w:cs="Times New Roman"/>
                <w:color w:val="auto"/>
              </w:rPr>
              <w:t>m/min，此环节将产生机械噪声。</w:t>
            </w:r>
          </w:p>
          <w:p>
            <w:pPr>
              <w:snapToGrid w:val="0"/>
              <w:spacing w:line="360" w:lineRule="auto"/>
              <w:ind w:firstLine="480" w:firstLineChars="200"/>
              <w:rPr>
                <w:color w:val="auto"/>
                <w:sz w:val="24"/>
                <w:highlight w:val="yellow"/>
              </w:rPr>
            </w:pPr>
            <w:r>
              <w:rPr>
                <w:color w:val="auto"/>
                <w:sz w:val="24"/>
              </w:rPr>
              <w:t>热融：</w:t>
            </w:r>
            <w:r>
              <w:rPr>
                <w:rFonts w:hint="eastAsia"/>
                <w:color w:val="auto"/>
                <w:sz w:val="24"/>
              </w:rPr>
              <w:t>将P</w:t>
            </w:r>
            <w:r>
              <w:rPr>
                <w:rFonts w:hint="eastAsia"/>
                <w:color w:val="auto"/>
                <w:sz w:val="24"/>
                <w:lang w:val="en-US" w:eastAsia="zh-CN"/>
              </w:rPr>
              <w:t>E</w:t>
            </w:r>
            <w:r>
              <w:rPr>
                <w:rFonts w:hint="eastAsia"/>
                <w:color w:val="auto"/>
                <w:sz w:val="24"/>
              </w:rPr>
              <w:t>料加入到料仓内，然后加热至240℃使其热融，使用的能源为电能，整个热融工序在密闭的料仓内进行，此环节将产生机械噪声。</w:t>
            </w:r>
          </w:p>
          <w:p>
            <w:pPr>
              <w:pStyle w:val="3"/>
              <w:ind w:firstLine="480" w:firstLineChars="200"/>
              <w:rPr>
                <w:rFonts w:hint="eastAsia" w:ascii="Times New Roman" w:hAnsi="Times New Roman" w:eastAsia="宋体" w:cs="Times New Roman"/>
                <w:color w:val="auto"/>
                <w:lang w:eastAsia="zh-CN"/>
              </w:rPr>
            </w:pPr>
            <w:r>
              <w:rPr>
                <w:rFonts w:hint="eastAsia" w:ascii="Times New Roman" w:hAnsi="Times New Roman" w:cs="Times New Roman"/>
                <w:color w:val="auto"/>
              </w:rPr>
              <w:t>淋膜：无纺布在传动轴的牵引下移动到淋膜工位，装有热融状态的P</w:t>
            </w:r>
            <w:r>
              <w:rPr>
                <w:rFonts w:hint="eastAsia" w:ascii="Times New Roman" w:hAnsi="Times New Roman" w:cs="Times New Roman"/>
                <w:color w:val="auto"/>
                <w:lang w:val="en-US" w:eastAsia="zh-CN"/>
              </w:rPr>
              <w:t>E</w:t>
            </w:r>
            <w:r>
              <w:rPr>
                <w:rFonts w:hint="eastAsia" w:ascii="Times New Roman" w:hAnsi="Times New Roman" w:cs="Times New Roman"/>
                <w:color w:val="auto"/>
              </w:rPr>
              <w:t>料料仓打开，在重力的作用下，P</w:t>
            </w:r>
            <w:r>
              <w:rPr>
                <w:rFonts w:hint="eastAsia" w:ascii="Times New Roman" w:hAnsi="Times New Roman" w:cs="Times New Roman"/>
                <w:color w:val="auto"/>
                <w:lang w:val="en-US" w:eastAsia="zh-CN"/>
              </w:rPr>
              <w:t>E</w:t>
            </w:r>
            <w:r>
              <w:rPr>
                <w:rFonts w:hint="eastAsia" w:ascii="Times New Roman" w:hAnsi="Times New Roman" w:cs="Times New Roman"/>
                <w:color w:val="auto"/>
              </w:rPr>
              <w:t>料均匀的淋在无纺布的表面，然后冷却凝固成膜，此环节将产生挥发性有机物G3以及机械噪声。</w:t>
            </w:r>
          </w:p>
          <w:p>
            <w:pPr>
              <w:pStyle w:val="3"/>
              <w:ind w:firstLine="480" w:firstLineChars="200"/>
              <w:rPr>
                <w:rFonts w:ascii="Times New Roman" w:hAnsi="Times New Roman" w:cs="Times New Roman"/>
                <w:color w:val="auto"/>
                <w:highlight w:val="yellow"/>
              </w:rPr>
            </w:pPr>
            <w:r>
              <w:rPr>
                <w:rFonts w:hint="eastAsia" w:ascii="Times New Roman" w:hAnsi="Times New Roman" w:cs="Times New Roman"/>
                <w:color w:val="auto"/>
              </w:rPr>
              <w:t>冷却：工件淋膜完成后需进一步对其进行冷却，淋膜机冷却工位</w:t>
            </w:r>
            <w:r>
              <w:rPr>
                <w:rFonts w:ascii="Times New Roman" w:hAnsi="Times New Roman" w:cs="Times New Roman"/>
                <w:color w:val="auto"/>
              </w:rPr>
              <w:t>前辊、后辊相向转动，前辊、后辊内含冷却循环水，工件从前辊、后辊</w:t>
            </w:r>
            <w:r>
              <w:rPr>
                <w:rFonts w:hint="eastAsia" w:ascii="Times New Roman" w:hAnsi="Times New Roman" w:cs="Times New Roman"/>
                <w:color w:val="auto"/>
              </w:rPr>
              <w:t>之间移动</w:t>
            </w:r>
            <w:r>
              <w:rPr>
                <w:rFonts w:ascii="Times New Roman" w:hAnsi="Times New Roman" w:cs="Times New Roman"/>
                <w:color w:val="auto"/>
              </w:rPr>
              <w:t>进入对其进行间接冷却，此环节将产生挥发性有机物G4及机械噪声</w:t>
            </w:r>
            <w:r>
              <w:rPr>
                <w:rFonts w:hint="eastAsia" w:ascii="Times New Roman" w:hAnsi="Times New Roman" w:cs="Times New Roman"/>
                <w:color w:val="auto"/>
              </w:rPr>
              <w:t>。</w:t>
            </w:r>
          </w:p>
          <w:p>
            <w:pPr>
              <w:pStyle w:val="3"/>
              <w:ind w:firstLine="480" w:firstLineChars="200"/>
              <w:rPr>
                <w:color w:val="auto"/>
              </w:rPr>
            </w:pPr>
            <w:r>
              <w:rPr>
                <w:rFonts w:ascii="Times New Roman" w:hAnsi="Times New Roman" w:cs="Times New Roman"/>
                <w:color w:val="auto"/>
              </w:rPr>
              <w:t>收卷：工件烘干完成后在</w:t>
            </w:r>
            <w:r>
              <w:rPr>
                <w:rFonts w:hint="eastAsia" w:ascii="Times New Roman" w:hAnsi="Times New Roman" w:cs="Times New Roman"/>
                <w:color w:val="auto"/>
              </w:rPr>
              <w:t>传动轴</w:t>
            </w:r>
            <w:r>
              <w:rPr>
                <w:rFonts w:ascii="Times New Roman" w:hAnsi="Times New Roman" w:cs="Times New Roman"/>
                <w:color w:val="auto"/>
              </w:rPr>
              <w:t>的牵引下继续移动到</w:t>
            </w:r>
            <w:r>
              <w:rPr>
                <w:rFonts w:hint="eastAsia" w:ascii="Times New Roman" w:hAnsi="Times New Roman" w:cs="Times New Roman"/>
                <w:color w:val="auto"/>
              </w:rPr>
              <w:t>淋膜机</w:t>
            </w:r>
            <w:r>
              <w:rPr>
                <w:rFonts w:ascii="Times New Roman" w:hAnsi="Times New Roman" w:cs="Times New Roman"/>
                <w:color w:val="auto"/>
              </w:rPr>
              <w:t>设备尾端，无纺布跟随设备尾端的转辊转动使其卷曲成卷，此环节将产生机械噪声</w:t>
            </w:r>
            <w:r>
              <w:rPr>
                <w:rFonts w:hint="eastAsia" w:ascii="Times New Roman" w:hAnsi="Times New Roman" w:cs="Times New Roman"/>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0" w:hRule="atLeast"/>
          <w:jc w:val="center"/>
        </w:trPr>
        <w:tc>
          <w:tcPr>
            <w:tcW w:w="402" w:type="dxa"/>
            <w:vAlign w:val="center"/>
          </w:tcPr>
          <w:p>
            <w:pPr>
              <w:pStyle w:val="19"/>
              <w:adjustRightInd w:val="0"/>
              <w:snapToGrid w:val="0"/>
              <w:spacing w:before="0" w:beforeAutospacing="0" w:after="0" w:afterAutospacing="0"/>
              <w:jc w:val="center"/>
              <w:rPr>
                <w:rFonts w:ascii="Times New Roman" w:hAnsi="Times New Roman" w:cs="Times New Roman"/>
                <w:bCs/>
                <w:color w:val="auto"/>
                <w:sz w:val="21"/>
                <w:szCs w:val="21"/>
              </w:rPr>
            </w:pPr>
            <w:r>
              <w:rPr>
                <w:rFonts w:ascii="Times New Roman" w:hAnsi="Times New Roman" w:cs="Times New Roman"/>
                <w:bCs/>
                <w:color w:val="auto"/>
                <w:sz w:val="21"/>
                <w:szCs w:val="21"/>
              </w:rPr>
              <w:t>项目有关的原有环境污染问题</w:t>
            </w:r>
          </w:p>
        </w:tc>
        <w:tc>
          <w:tcPr>
            <w:tcW w:w="8582" w:type="dxa"/>
          </w:tcPr>
          <w:p>
            <w:pPr>
              <w:adjustRightInd w:val="0"/>
              <w:snapToGrid w:val="0"/>
              <w:spacing w:line="360" w:lineRule="auto"/>
              <w:rPr>
                <w:b/>
                <w:bCs/>
                <w:color w:val="auto"/>
                <w:sz w:val="24"/>
              </w:rPr>
            </w:pPr>
            <w:r>
              <w:rPr>
                <w:b/>
                <w:bCs/>
                <w:color w:val="auto"/>
                <w:sz w:val="24"/>
              </w:rPr>
              <w:t>与本项目有关的原有污染情况及主要环境问题</w:t>
            </w:r>
          </w:p>
          <w:p>
            <w:pPr>
              <w:adjustRightInd w:val="0"/>
              <w:snapToGrid w:val="0"/>
              <w:spacing w:line="360" w:lineRule="auto"/>
              <w:rPr>
                <w:b/>
                <w:bCs/>
                <w:color w:val="auto"/>
                <w:sz w:val="24"/>
              </w:rPr>
            </w:pPr>
            <w:r>
              <w:rPr>
                <w:b/>
                <w:bCs/>
                <w:color w:val="auto"/>
                <w:sz w:val="24"/>
              </w:rPr>
              <w:t>1.</w:t>
            </w:r>
            <w:r>
              <w:rPr>
                <w:rFonts w:hint="eastAsia"/>
                <w:b/>
                <w:bCs/>
                <w:color w:val="auto"/>
                <w:sz w:val="24"/>
              </w:rPr>
              <w:t>现有</w:t>
            </w:r>
            <w:r>
              <w:rPr>
                <w:b/>
                <w:bCs/>
                <w:color w:val="auto"/>
                <w:sz w:val="24"/>
              </w:rPr>
              <w:t>工程环保审批情况</w:t>
            </w:r>
          </w:p>
          <w:p>
            <w:pPr>
              <w:adjustRightInd w:val="0"/>
              <w:snapToGrid w:val="0"/>
              <w:spacing w:line="360" w:lineRule="auto"/>
              <w:ind w:firstLine="480" w:firstLineChars="200"/>
              <w:rPr>
                <w:bCs/>
                <w:color w:val="auto"/>
                <w:sz w:val="24"/>
              </w:rPr>
            </w:pPr>
            <w:r>
              <w:rPr>
                <w:rFonts w:hint="eastAsia"/>
                <w:color w:val="auto"/>
                <w:sz w:val="24"/>
              </w:rPr>
              <w:t>2018</w:t>
            </w:r>
            <w:r>
              <w:rPr>
                <w:color w:val="auto"/>
                <w:sz w:val="24"/>
              </w:rPr>
              <w:t>年</w:t>
            </w:r>
            <w:r>
              <w:rPr>
                <w:rFonts w:hint="eastAsia"/>
                <w:color w:val="auto"/>
                <w:sz w:val="24"/>
              </w:rPr>
              <w:t>7</w:t>
            </w:r>
            <w:r>
              <w:rPr>
                <w:color w:val="auto"/>
                <w:sz w:val="24"/>
              </w:rPr>
              <w:t>月</w:t>
            </w:r>
            <w:r>
              <w:rPr>
                <w:rFonts w:hint="eastAsia"/>
                <w:color w:val="auto"/>
                <w:sz w:val="24"/>
              </w:rPr>
              <w:t>企业</w:t>
            </w:r>
            <w:r>
              <w:rPr>
                <w:color w:val="auto"/>
                <w:sz w:val="24"/>
              </w:rPr>
              <w:t>委托</w:t>
            </w:r>
            <w:r>
              <w:rPr>
                <w:rFonts w:hint="eastAsia"/>
                <w:color w:val="auto"/>
                <w:sz w:val="24"/>
              </w:rPr>
              <w:t>重庆两江源环境影响评价有限公司</w:t>
            </w:r>
            <w:r>
              <w:rPr>
                <w:color w:val="auto"/>
                <w:sz w:val="24"/>
              </w:rPr>
              <w:t>编制《</w:t>
            </w:r>
            <w:r>
              <w:rPr>
                <w:rFonts w:hint="eastAsia"/>
                <w:color w:val="auto"/>
                <w:sz w:val="24"/>
              </w:rPr>
              <w:t>汽车内饰材料及零部件生产加工项目</w:t>
            </w:r>
            <w:r>
              <w:rPr>
                <w:color w:val="auto"/>
                <w:sz w:val="24"/>
              </w:rPr>
              <w:t>环境</w:t>
            </w:r>
            <w:r>
              <w:rPr>
                <w:rFonts w:hint="eastAsia"/>
                <w:color w:val="auto"/>
                <w:sz w:val="24"/>
              </w:rPr>
              <w:t>影响</w:t>
            </w:r>
            <w:r>
              <w:rPr>
                <w:color w:val="auto"/>
                <w:sz w:val="24"/>
              </w:rPr>
              <w:t>报告</w:t>
            </w:r>
            <w:r>
              <w:rPr>
                <w:rFonts w:hint="eastAsia"/>
                <w:color w:val="auto"/>
                <w:sz w:val="24"/>
              </w:rPr>
              <w:t>表</w:t>
            </w:r>
            <w:r>
              <w:rPr>
                <w:color w:val="auto"/>
                <w:sz w:val="24"/>
              </w:rPr>
              <w:t>》，并取得《重庆市建设项目环境影响评价文件批准书》渝（铜）环准[2018]74号</w:t>
            </w:r>
            <w:r>
              <w:rPr>
                <w:bCs/>
                <w:color w:val="auto"/>
                <w:sz w:val="24"/>
              </w:rPr>
              <w:t>；2020年11月28日该项目编制完成《</w:t>
            </w:r>
            <w:r>
              <w:rPr>
                <w:color w:val="auto"/>
                <w:sz w:val="24"/>
              </w:rPr>
              <w:t>汽车内饰材料及零部件生产加工项目</w:t>
            </w:r>
            <w:r>
              <w:rPr>
                <w:bCs/>
                <w:color w:val="auto"/>
                <w:sz w:val="24"/>
              </w:rPr>
              <w:t>竣工环境保护验收监测报告表》，并通过了竣工环境保护验收。</w:t>
            </w:r>
          </w:p>
          <w:p>
            <w:pPr>
              <w:adjustRightInd w:val="0"/>
              <w:snapToGrid w:val="0"/>
              <w:spacing w:line="360" w:lineRule="auto"/>
              <w:ind w:firstLine="480" w:firstLineChars="200"/>
              <w:rPr>
                <w:color w:val="auto"/>
                <w:sz w:val="24"/>
              </w:rPr>
            </w:pPr>
            <w:r>
              <w:rPr>
                <w:color w:val="auto"/>
                <w:sz w:val="24"/>
              </w:rPr>
              <w:t>2021年11月企业委托重庆两江源环境影响评价有限公司编制《</w:t>
            </w:r>
            <w:r>
              <w:rPr>
                <w:color w:val="auto"/>
                <w:spacing w:val="8"/>
                <w:sz w:val="24"/>
                <w:shd w:val="clear" w:color="auto" w:fill="FFFFFF"/>
              </w:rPr>
              <w:t>年产汽车零部件800万件及汽车纤维材料8000吨扩建项目</w:t>
            </w:r>
            <w:r>
              <w:rPr>
                <w:color w:val="auto"/>
                <w:sz w:val="24"/>
              </w:rPr>
              <w:t>环境影响报告表》，并取得《重庆市建设项目环境影响评价文件批准书》渝（铜）环准[20</w:t>
            </w:r>
            <w:r>
              <w:rPr>
                <w:rFonts w:hint="eastAsia"/>
                <w:color w:val="auto"/>
                <w:sz w:val="24"/>
              </w:rPr>
              <w:t>21</w:t>
            </w:r>
            <w:r>
              <w:rPr>
                <w:color w:val="auto"/>
                <w:sz w:val="24"/>
              </w:rPr>
              <w:t>]</w:t>
            </w:r>
            <w:r>
              <w:rPr>
                <w:rFonts w:hint="eastAsia"/>
                <w:color w:val="auto"/>
                <w:sz w:val="24"/>
              </w:rPr>
              <w:t>105</w:t>
            </w:r>
            <w:r>
              <w:rPr>
                <w:color w:val="auto"/>
                <w:sz w:val="24"/>
              </w:rPr>
              <w:t>号</w:t>
            </w:r>
            <w:r>
              <w:rPr>
                <w:bCs/>
                <w:color w:val="auto"/>
                <w:sz w:val="24"/>
              </w:rPr>
              <w:t>；202</w:t>
            </w:r>
            <w:r>
              <w:rPr>
                <w:rFonts w:hint="eastAsia"/>
                <w:bCs/>
                <w:color w:val="auto"/>
                <w:sz w:val="24"/>
              </w:rPr>
              <w:t>2</w:t>
            </w:r>
            <w:r>
              <w:rPr>
                <w:bCs/>
                <w:color w:val="auto"/>
                <w:sz w:val="24"/>
              </w:rPr>
              <w:t>年1月</w:t>
            </w:r>
            <w:r>
              <w:rPr>
                <w:rFonts w:hint="eastAsia"/>
                <w:bCs/>
                <w:color w:val="auto"/>
                <w:sz w:val="24"/>
              </w:rPr>
              <w:t>22</w:t>
            </w:r>
            <w:r>
              <w:rPr>
                <w:bCs/>
                <w:color w:val="auto"/>
                <w:sz w:val="24"/>
              </w:rPr>
              <w:t>日该项目编制完成《</w:t>
            </w:r>
            <w:r>
              <w:rPr>
                <w:color w:val="auto"/>
                <w:spacing w:val="8"/>
                <w:sz w:val="24"/>
                <w:shd w:val="clear" w:color="auto" w:fill="FFFFFF"/>
              </w:rPr>
              <w:t>年产汽车零部件800万件及汽车纤维材料8000吨扩建项目</w:t>
            </w:r>
            <w:r>
              <w:rPr>
                <w:rFonts w:hint="eastAsia"/>
                <w:color w:val="auto"/>
                <w:spacing w:val="8"/>
                <w:sz w:val="24"/>
                <w:shd w:val="clear" w:color="auto" w:fill="FFFFFF"/>
              </w:rPr>
              <w:t>（一阶段）</w:t>
            </w:r>
            <w:r>
              <w:rPr>
                <w:bCs/>
                <w:color w:val="auto"/>
                <w:sz w:val="24"/>
              </w:rPr>
              <w:t>竣工环境保护验收监测报告表》，并通过了竣工环境保护验收。</w:t>
            </w:r>
          </w:p>
          <w:p>
            <w:pPr>
              <w:adjustRightInd w:val="0"/>
              <w:snapToGrid w:val="0"/>
              <w:spacing w:line="360" w:lineRule="auto"/>
              <w:rPr>
                <w:rFonts w:ascii="宋体" w:hAnsi="宋体" w:cs="宋体"/>
                <w:b/>
                <w:bCs/>
                <w:color w:val="auto"/>
                <w:sz w:val="24"/>
              </w:rPr>
            </w:pPr>
            <w:r>
              <w:rPr>
                <w:rFonts w:hint="eastAsia" w:ascii="宋体" w:hAnsi="宋体" w:cs="宋体"/>
                <w:b/>
                <w:bCs/>
                <w:color w:val="auto"/>
                <w:sz w:val="24"/>
              </w:rPr>
              <w:t>2.现有工程概况</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（1）现有工程基本情况</w:t>
            </w:r>
          </w:p>
          <w:p>
            <w:pPr>
              <w:adjustRightInd w:val="0"/>
              <w:snapToGrid w:val="0"/>
              <w:spacing w:line="360" w:lineRule="auto"/>
              <w:ind w:firstLine="481"/>
              <w:rPr>
                <w:rFonts w:ascii="宋体" w:hAnsi="宋体" w:cs="宋体"/>
                <w:color w:val="auto"/>
                <w:sz w:val="24"/>
              </w:rPr>
            </w:pPr>
            <w:r>
              <w:rPr>
                <w:rFonts w:hint="eastAsia" w:ascii="宋体" w:hAnsi="宋体" w:cs="宋体"/>
                <w:color w:val="auto"/>
                <w:sz w:val="24"/>
              </w:rPr>
              <w:t>项目名称</w:t>
            </w:r>
            <w:r>
              <w:rPr>
                <w:rFonts w:hint="eastAsia" w:ascii="宋体" w:hAnsi="宋体" w:cs="宋体"/>
                <w:b/>
                <w:bCs/>
                <w:color w:val="auto"/>
                <w:sz w:val="24"/>
              </w:rPr>
              <w:t>：</w:t>
            </w:r>
            <w:r>
              <w:rPr>
                <w:rFonts w:hint="eastAsia"/>
                <w:color w:val="auto"/>
                <w:sz w:val="24"/>
              </w:rPr>
              <w:t>汽车内饰材料及零部件生产加工项目；</w:t>
            </w:r>
            <w:r>
              <w:rPr>
                <w:color w:val="auto"/>
                <w:spacing w:val="8"/>
                <w:sz w:val="24"/>
                <w:shd w:val="clear" w:color="auto" w:fill="FFFFFF"/>
              </w:rPr>
              <w:t>年产汽车零部件800万件及汽车纤维材料8000吨扩建项目</w:t>
            </w:r>
            <w:r>
              <w:rPr>
                <w:rFonts w:hint="eastAsia"/>
                <w:color w:val="auto"/>
                <w:spacing w:val="8"/>
                <w:sz w:val="24"/>
                <w:shd w:val="clear" w:color="auto" w:fill="FFFFFF"/>
              </w:rPr>
              <w:t>（一阶段）</w:t>
            </w:r>
          </w:p>
          <w:p>
            <w:pPr>
              <w:adjustRightInd w:val="0"/>
              <w:snapToGrid w:val="0"/>
              <w:spacing w:line="360" w:lineRule="auto"/>
              <w:ind w:firstLine="481"/>
              <w:rPr>
                <w:bCs/>
                <w:color w:val="auto"/>
                <w:sz w:val="24"/>
              </w:rPr>
            </w:pPr>
            <w:r>
              <w:rPr>
                <w:rFonts w:hint="eastAsia" w:ascii="宋体" w:hAnsi="宋体" w:cs="宋体"/>
                <w:color w:val="auto"/>
                <w:sz w:val="24"/>
              </w:rPr>
              <w:t>建设单位：</w:t>
            </w:r>
            <w:r>
              <w:rPr>
                <w:rFonts w:hint="eastAsia"/>
                <w:color w:val="auto"/>
                <w:spacing w:val="8"/>
                <w:sz w:val="24"/>
                <w:shd w:val="clear" w:color="auto" w:fill="FFFFFF"/>
              </w:rPr>
              <w:t>重庆英洛维科技有限公司</w:t>
            </w:r>
          </w:p>
          <w:p>
            <w:pPr>
              <w:adjustRightInd w:val="0"/>
              <w:snapToGrid w:val="0"/>
              <w:spacing w:line="360" w:lineRule="auto"/>
              <w:ind w:firstLine="480" w:firstLineChars="200"/>
              <w:rPr>
                <w:rFonts w:ascii="宋体" w:hAnsi="宋体" w:cs="宋体"/>
                <w:color w:val="auto"/>
                <w:sz w:val="24"/>
              </w:rPr>
            </w:pPr>
            <w:r>
              <w:rPr>
                <w:rFonts w:hint="eastAsia" w:ascii="宋体" w:hAnsi="宋体" w:cs="宋体"/>
                <w:color w:val="auto"/>
                <w:sz w:val="24"/>
              </w:rPr>
              <w:t>建设地点：</w:t>
            </w:r>
            <w:r>
              <w:rPr>
                <w:rFonts w:hint="eastAsia"/>
                <w:color w:val="auto"/>
                <w:spacing w:val="8"/>
                <w:sz w:val="24"/>
                <w:shd w:val="clear" w:color="auto" w:fill="FFFFFF"/>
              </w:rPr>
              <w:t>重庆市铜梁区东城街道祝英南路7号</w:t>
            </w:r>
          </w:p>
          <w:p>
            <w:pPr>
              <w:adjustRightInd w:val="0"/>
              <w:snapToGrid w:val="0"/>
              <w:spacing w:line="360" w:lineRule="auto"/>
              <w:ind w:firstLine="480" w:firstLineChars="200"/>
              <w:rPr>
                <w:color w:val="auto"/>
                <w:kern w:val="0"/>
                <w:sz w:val="24"/>
              </w:rPr>
            </w:pPr>
            <w:r>
              <w:rPr>
                <w:color w:val="auto"/>
                <w:sz w:val="24"/>
              </w:rPr>
              <w:t>劳动定员及工作制度：</w:t>
            </w:r>
            <w:r>
              <w:rPr>
                <w:rFonts w:hint="eastAsia"/>
                <w:color w:val="auto"/>
                <w:sz w:val="24"/>
              </w:rPr>
              <w:t>通过调查</w:t>
            </w:r>
            <w:r>
              <w:rPr>
                <w:color w:val="auto"/>
                <w:kern w:val="0"/>
                <w:sz w:val="24"/>
              </w:rPr>
              <w:t>，</w:t>
            </w:r>
            <w:r>
              <w:rPr>
                <w:rFonts w:hint="eastAsia"/>
                <w:color w:val="auto"/>
                <w:kern w:val="0"/>
                <w:sz w:val="24"/>
              </w:rPr>
              <w:t>现有工程</w:t>
            </w:r>
            <w:r>
              <w:rPr>
                <w:color w:val="auto"/>
                <w:kern w:val="0"/>
                <w:sz w:val="24"/>
              </w:rPr>
              <w:t>实行</w:t>
            </w:r>
            <w:r>
              <w:rPr>
                <w:rFonts w:hint="eastAsia"/>
                <w:color w:val="auto"/>
                <w:kern w:val="0"/>
                <w:sz w:val="24"/>
              </w:rPr>
              <w:t>2</w:t>
            </w:r>
            <w:r>
              <w:rPr>
                <w:color w:val="auto"/>
                <w:kern w:val="0"/>
                <w:sz w:val="24"/>
              </w:rPr>
              <w:t>班制，每班工作时间为8小时，全年工作天数为300天</w:t>
            </w:r>
            <w:r>
              <w:rPr>
                <w:rFonts w:hint="eastAsia"/>
                <w:color w:val="auto"/>
                <w:kern w:val="0"/>
                <w:sz w:val="24"/>
              </w:rPr>
              <w:t>，配备员工75人</w:t>
            </w:r>
            <w:r>
              <w:rPr>
                <w:color w:val="auto"/>
                <w:kern w:val="0"/>
                <w:sz w:val="24"/>
              </w:rPr>
              <w:t>。</w:t>
            </w:r>
          </w:p>
          <w:p>
            <w:pPr>
              <w:adjustRightInd w:val="0"/>
              <w:snapToGrid w:val="0"/>
              <w:spacing w:line="360" w:lineRule="auto"/>
              <w:ind w:firstLine="480" w:firstLineChars="200"/>
              <w:rPr>
                <w:color w:val="auto"/>
                <w:sz w:val="24"/>
              </w:rPr>
            </w:pPr>
            <w:r>
              <w:rPr>
                <w:color w:val="auto"/>
                <w:sz w:val="24"/>
              </w:rPr>
              <w:t>生产规模：</w:t>
            </w:r>
            <w:r>
              <w:rPr>
                <w:rFonts w:hint="eastAsia"/>
                <w:color w:val="auto"/>
                <w:sz w:val="24"/>
              </w:rPr>
              <w:t>汽车纤维材料4000t/a、汽车内饰件337万件/a、</w:t>
            </w:r>
          </w:p>
          <w:p>
            <w:pPr>
              <w:adjustRightInd w:val="0"/>
              <w:snapToGrid w:val="0"/>
              <w:spacing w:line="360" w:lineRule="auto"/>
              <w:ind w:firstLine="481"/>
              <w:rPr>
                <w:color w:val="auto"/>
              </w:rPr>
            </w:pPr>
            <w:r>
              <w:rPr>
                <w:color w:val="auto"/>
                <w:sz w:val="24"/>
              </w:rPr>
              <w:t>建设内容：占地面积</w:t>
            </w:r>
            <w:r>
              <w:rPr>
                <w:rFonts w:hint="eastAsia"/>
                <w:color w:val="auto"/>
                <w:sz w:val="24"/>
              </w:rPr>
              <w:t>约</w:t>
            </w:r>
            <w:r>
              <w:rPr>
                <w:color w:val="auto"/>
                <w:sz w:val="24"/>
              </w:rPr>
              <w:t>1</w:t>
            </w:r>
            <w:r>
              <w:rPr>
                <w:rFonts w:hint="eastAsia"/>
                <w:color w:val="auto"/>
                <w:sz w:val="24"/>
              </w:rPr>
              <w:t>4</w:t>
            </w:r>
            <w:r>
              <w:rPr>
                <w:color w:val="auto"/>
                <w:sz w:val="24"/>
              </w:rPr>
              <w:t>000m</w:t>
            </w:r>
            <w:r>
              <w:rPr>
                <w:color w:val="auto"/>
                <w:sz w:val="24"/>
                <w:vertAlign w:val="superscript"/>
              </w:rPr>
              <w:t>2</w:t>
            </w:r>
            <w:r>
              <w:rPr>
                <w:color w:val="auto"/>
                <w:sz w:val="24"/>
              </w:rPr>
              <w:t>，</w:t>
            </w:r>
            <w:r>
              <w:rPr>
                <w:rFonts w:hint="eastAsia"/>
                <w:color w:val="auto"/>
                <w:sz w:val="24"/>
              </w:rPr>
              <w:t>主要建有1#综合楼、2#厂房、3#厂房，其中2#厂房主要生产汽车内饰件；3#厂房主要生产汽车纤维材料；1#综合楼设置为员工食堂、展览厅、行政办公室、员工宿舍，现有工程组成见表2.</w:t>
            </w:r>
            <w:r>
              <w:rPr>
                <w:rFonts w:hint="eastAsia"/>
                <w:color w:val="auto"/>
                <w:sz w:val="24"/>
                <w:lang w:val="en-US" w:eastAsia="zh-CN"/>
              </w:rPr>
              <w:t>13</w:t>
            </w:r>
            <w:r>
              <w:rPr>
                <w:rFonts w:hint="eastAsia"/>
                <w:color w:val="auto"/>
                <w:sz w:val="24"/>
              </w:rPr>
              <w:t>。</w:t>
            </w:r>
          </w:p>
          <w:p>
            <w:pPr>
              <w:adjustRightInd w:val="0"/>
              <w:snapToGrid w:val="0"/>
              <w:spacing w:line="360" w:lineRule="auto"/>
              <w:jc w:val="center"/>
              <w:rPr>
                <w:color w:val="auto"/>
                <w:sz w:val="21"/>
                <w:szCs w:val="21"/>
              </w:rPr>
            </w:pPr>
            <w:r>
              <w:rPr>
                <w:color w:val="auto"/>
                <w:sz w:val="21"/>
                <w:szCs w:val="21"/>
              </w:rPr>
              <w:t>表2.</w:t>
            </w:r>
            <w:r>
              <w:rPr>
                <w:rFonts w:hint="eastAsia"/>
                <w:color w:val="auto"/>
                <w:sz w:val="21"/>
                <w:szCs w:val="21"/>
                <w:lang w:val="en-US" w:eastAsia="zh-CN"/>
              </w:rPr>
              <w:t>13</w:t>
            </w:r>
            <w:r>
              <w:rPr>
                <w:color w:val="auto"/>
                <w:sz w:val="21"/>
                <w:szCs w:val="21"/>
              </w:rPr>
              <w:t xml:space="preserve"> </w:t>
            </w:r>
            <w:r>
              <w:rPr>
                <w:rFonts w:hint="eastAsia"/>
                <w:color w:val="auto"/>
                <w:sz w:val="21"/>
                <w:szCs w:val="21"/>
              </w:rPr>
              <w:t>现有工程</w:t>
            </w:r>
            <w:r>
              <w:rPr>
                <w:color w:val="auto"/>
                <w:sz w:val="21"/>
                <w:szCs w:val="21"/>
              </w:rPr>
              <w:t>组成一览表</w:t>
            </w:r>
          </w:p>
          <w:tbl>
            <w:tblPr>
              <w:tblStyle w:val="22"/>
              <w:tblW w:w="4999" w:type="pct"/>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292"/>
              <w:gridCol w:w="752"/>
              <w:gridCol w:w="1064"/>
              <w:gridCol w:w="5256"/>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72" w:type="pct"/>
                  <w:tcBorders>
                    <w:tl2br w:val="nil"/>
                    <w:tr2bl w:val="nil"/>
                  </w:tcBorders>
                  <w:vAlign w:val="center"/>
                </w:tcPr>
                <w:p>
                  <w:pPr>
                    <w:adjustRightInd w:val="0"/>
                    <w:snapToGrid w:val="0"/>
                    <w:jc w:val="center"/>
                    <w:rPr>
                      <w:color w:val="auto"/>
                    </w:rPr>
                  </w:pPr>
                  <w:r>
                    <w:rPr>
                      <w:color w:val="auto"/>
                    </w:rPr>
                    <w:t>工程类别</w:t>
                  </w:r>
                </w:p>
              </w:tc>
              <w:tc>
                <w:tcPr>
                  <w:tcW w:w="1085" w:type="pct"/>
                  <w:gridSpan w:val="2"/>
                  <w:tcBorders>
                    <w:tl2br w:val="nil"/>
                    <w:tr2bl w:val="nil"/>
                  </w:tcBorders>
                  <w:vAlign w:val="center"/>
                </w:tcPr>
                <w:p>
                  <w:pPr>
                    <w:adjustRightInd w:val="0"/>
                    <w:snapToGrid w:val="0"/>
                    <w:jc w:val="center"/>
                    <w:rPr>
                      <w:color w:val="auto"/>
                    </w:rPr>
                  </w:pPr>
                  <w:r>
                    <w:rPr>
                      <w:color w:val="auto"/>
                    </w:rPr>
                    <w:t>项目</w:t>
                  </w:r>
                </w:p>
              </w:tc>
              <w:tc>
                <w:tcPr>
                  <w:tcW w:w="3141" w:type="pct"/>
                  <w:tcBorders>
                    <w:tl2br w:val="nil"/>
                    <w:tr2bl w:val="nil"/>
                  </w:tcBorders>
                  <w:vAlign w:val="center"/>
                </w:tcPr>
                <w:p>
                  <w:pPr>
                    <w:adjustRightInd w:val="0"/>
                    <w:snapToGrid w:val="0"/>
                    <w:jc w:val="center"/>
                    <w:rPr>
                      <w:color w:val="auto"/>
                    </w:rPr>
                  </w:pPr>
                  <w:r>
                    <w:rPr>
                      <w:color w:val="auto"/>
                    </w:rPr>
                    <w:t>内容及规模</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16" w:hRule="atLeast"/>
                <w:jc w:val="center"/>
              </w:trPr>
              <w:tc>
                <w:tcPr>
                  <w:tcW w:w="772" w:type="pct"/>
                  <w:vMerge w:val="restart"/>
                  <w:tcBorders>
                    <w:tl2br w:val="nil"/>
                    <w:tr2bl w:val="nil"/>
                  </w:tcBorders>
                  <w:vAlign w:val="center"/>
                </w:tcPr>
                <w:p>
                  <w:pPr>
                    <w:adjustRightInd w:val="0"/>
                    <w:snapToGrid w:val="0"/>
                    <w:jc w:val="center"/>
                    <w:rPr>
                      <w:color w:val="auto"/>
                    </w:rPr>
                  </w:pPr>
                  <w:r>
                    <w:rPr>
                      <w:rFonts w:hint="eastAsia"/>
                      <w:color w:val="auto"/>
                    </w:rPr>
                    <w:t>主体工程</w:t>
                  </w:r>
                </w:p>
              </w:tc>
              <w:tc>
                <w:tcPr>
                  <w:tcW w:w="1085" w:type="pct"/>
                  <w:gridSpan w:val="2"/>
                  <w:tcBorders>
                    <w:tl2br w:val="nil"/>
                    <w:tr2bl w:val="nil"/>
                  </w:tcBorders>
                  <w:vAlign w:val="center"/>
                </w:tcPr>
                <w:p>
                  <w:pPr>
                    <w:adjustRightInd w:val="0"/>
                    <w:snapToGrid w:val="0"/>
                    <w:jc w:val="center"/>
                    <w:rPr>
                      <w:color w:val="auto"/>
                      <w:szCs w:val="21"/>
                    </w:rPr>
                  </w:pPr>
                  <w:r>
                    <w:rPr>
                      <w:rFonts w:hint="eastAsia"/>
                      <w:color w:val="auto"/>
                      <w:kern w:val="0"/>
                      <w:szCs w:val="21"/>
                    </w:rPr>
                    <w:t>2#厂房</w:t>
                  </w:r>
                </w:p>
              </w:tc>
              <w:tc>
                <w:tcPr>
                  <w:tcW w:w="3141" w:type="pct"/>
                  <w:tcBorders>
                    <w:tl2br w:val="nil"/>
                    <w:tr2bl w:val="nil"/>
                  </w:tcBorders>
                  <w:vAlign w:val="center"/>
                </w:tcPr>
                <w:p>
                  <w:pPr>
                    <w:adjustRightInd w:val="0"/>
                    <w:snapToGrid w:val="0"/>
                    <w:rPr>
                      <w:color w:val="auto"/>
                      <w:szCs w:val="21"/>
                      <w:highlight w:val="yellow"/>
                    </w:rPr>
                  </w:pPr>
                  <w:r>
                    <w:rPr>
                      <w:rFonts w:hint="eastAsia"/>
                      <w:color w:val="auto"/>
                      <w:szCs w:val="21"/>
                    </w:rPr>
                    <w:t>建筑面积约5600m</w:t>
                  </w:r>
                  <w:r>
                    <w:rPr>
                      <w:rFonts w:hint="eastAsia"/>
                      <w:color w:val="auto"/>
                      <w:szCs w:val="21"/>
                      <w:vertAlign w:val="superscript"/>
                    </w:rPr>
                    <w:t>2</w:t>
                  </w:r>
                  <w:r>
                    <w:rPr>
                      <w:rFonts w:hint="eastAsia"/>
                      <w:color w:val="auto"/>
                      <w:szCs w:val="21"/>
                    </w:rPr>
                    <w:t>，高1层，主要生产汽车内饰件，生产能力337万件/a，主要布置2条无纺布生产线、复合区、横切区、裁剪区、缝纫区、冲切区。</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72" w:type="pct"/>
                  <w:vMerge w:val="continue"/>
                  <w:tcBorders>
                    <w:tl2br w:val="nil"/>
                    <w:tr2bl w:val="nil"/>
                  </w:tcBorders>
                  <w:vAlign w:val="center"/>
                </w:tcPr>
                <w:p>
                  <w:pPr>
                    <w:adjustRightInd w:val="0"/>
                    <w:snapToGrid w:val="0"/>
                    <w:jc w:val="center"/>
                    <w:rPr>
                      <w:color w:val="auto"/>
                    </w:rPr>
                  </w:pPr>
                </w:p>
              </w:tc>
              <w:tc>
                <w:tcPr>
                  <w:tcW w:w="1085" w:type="pct"/>
                  <w:gridSpan w:val="2"/>
                  <w:tcBorders>
                    <w:tl2br w:val="nil"/>
                    <w:tr2bl w:val="nil"/>
                  </w:tcBorders>
                  <w:vAlign w:val="center"/>
                </w:tcPr>
                <w:p>
                  <w:pPr>
                    <w:adjustRightInd w:val="0"/>
                    <w:snapToGrid w:val="0"/>
                    <w:jc w:val="center"/>
                    <w:rPr>
                      <w:color w:val="auto"/>
                      <w:szCs w:val="21"/>
                    </w:rPr>
                  </w:pPr>
                  <w:r>
                    <w:rPr>
                      <w:rFonts w:hint="eastAsia"/>
                      <w:color w:val="auto"/>
                      <w:kern w:val="0"/>
                      <w:szCs w:val="21"/>
                    </w:rPr>
                    <w:t>3#厂房</w:t>
                  </w:r>
                </w:p>
              </w:tc>
              <w:tc>
                <w:tcPr>
                  <w:tcW w:w="3141" w:type="pct"/>
                  <w:tcBorders>
                    <w:tl2br w:val="nil"/>
                    <w:tr2bl w:val="nil"/>
                  </w:tcBorders>
                  <w:vAlign w:val="center"/>
                </w:tcPr>
                <w:p>
                  <w:pPr>
                    <w:adjustRightInd w:val="0"/>
                    <w:snapToGrid w:val="0"/>
                    <w:rPr>
                      <w:color w:val="auto"/>
                      <w:szCs w:val="21"/>
                      <w:highlight w:val="yellow"/>
                    </w:rPr>
                  </w:pPr>
                  <w:r>
                    <w:rPr>
                      <w:rFonts w:hint="eastAsia"/>
                      <w:color w:val="auto"/>
                      <w:szCs w:val="21"/>
                    </w:rPr>
                    <w:t>建筑面积约3300m</w:t>
                  </w:r>
                  <w:r>
                    <w:rPr>
                      <w:rFonts w:hint="eastAsia"/>
                      <w:color w:val="auto"/>
                      <w:szCs w:val="21"/>
                      <w:vertAlign w:val="superscript"/>
                    </w:rPr>
                    <w:t>2</w:t>
                  </w:r>
                  <w:r>
                    <w:rPr>
                      <w:rFonts w:hint="eastAsia"/>
                      <w:color w:val="auto"/>
                      <w:szCs w:val="21"/>
                    </w:rPr>
                    <w:t>，高1层，主要生产汽车纤维材料，生产能力为4000t/a，主要设置开花区、打包区、碎布区。</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9" w:hRule="atLeast"/>
                <w:jc w:val="center"/>
              </w:trPr>
              <w:tc>
                <w:tcPr>
                  <w:tcW w:w="772" w:type="pct"/>
                  <w:vMerge w:val="restart"/>
                  <w:tcBorders>
                    <w:tl2br w:val="nil"/>
                    <w:tr2bl w:val="nil"/>
                  </w:tcBorders>
                  <w:vAlign w:val="center"/>
                </w:tcPr>
                <w:p>
                  <w:pPr>
                    <w:adjustRightInd w:val="0"/>
                    <w:snapToGrid w:val="0"/>
                    <w:jc w:val="center"/>
                    <w:rPr>
                      <w:color w:val="auto"/>
                    </w:rPr>
                  </w:pPr>
                  <w:r>
                    <w:rPr>
                      <w:color w:val="auto"/>
                    </w:rPr>
                    <w:t>储运工程</w:t>
                  </w:r>
                </w:p>
              </w:tc>
              <w:tc>
                <w:tcPr>
                  <w:tcW w:w="1085" w:type="pct"/>
                  <w:gridSpan w:val="2"/>
                  <w:tcBorders>
                    <w:tl2br w:val="nil"/>
                    <w:tr2bl w:val="nil"/>
                  </w:tcBorders>
                  <w:vAlign w:val="center"/>
                </w:tcPr>
                <w:p>
                  <w:pPr>
                    <w:adjustRightInd w:val="0"/>
                    <w:snapToGrid w:val="0"/>
                    <w:jc w:val="center"/>
                    <w:rPr>
                      <w:color w:val="auto"/>
                    </w:rPr>
                  </w:pPr>
                  <w:r>
                    <w:rPr>
                      <w:color w:val="auto"/>
                    </w:rPr>
                    <w:t>成品</w:t>
                  </w:r>
                  <w:r>
                    <w:rPr>
                      <w:rFonts w:hint="eastAsia"/>
                      <w:color w:val="auto"/>
                    </w:rPr>
                    <w:t>堆放</w:t>
                  </w:r>
                  <w:r>
                    <w:rPr>
                      <w:color w:val="auto"/>
                    </w:rPr>
                    <w:t>区</w:t>
                  </w:r>
                </w:p>
              </w:tc>
              <w:tc>
                <w:tcPr>
                  <w:tcW w:w="3141" w:type="pct"/>
                  <w:tcBorders>
                    <w:tl2br w:val="nil"/>
                    <w:tr2bl w:val="nil"/>
                  </w:tcBorders>
                  <w:vAlign w:val="center"/>
                </w:tcPr>
                <w:p>
                  <w:pPr>
                    <w:widowControl/>
                    <w:adjustRightInd w:val="0"/>
                    <w:snapToGrid w:val="0"/>
                    <w:rPr>
                      <w:color w:val="auto"/>
                      <w:highlight w:val="yellow"/>
                    </w:rPr>
                  </w:pPr>
                  <w:r>
                    <w:rPr>
                      <w:rFonts w:hint="eastAsia"/>
                      <w:color w:val="auto"/>
                    </w:rPr>
                    <w:t>2#厂房成品堆放区设置厂房在西北部，建筑面积约450m</w:t>
                  </w:r>
                  <w:r>
                    <w:rPr>
                      <w:rFonts w:hint="eastAsia"/>
                      <w:color w:val="auto"/>
                      <w:vertAlign w:val="superscript"/>
                    </w:rPr>
                    <w:t>2</w:t>
                  </w:r>
                  <w:r>
                    <w:rPr>
                      <w:rFonts w:hint="eastAsia"/>
                      <w:color w:val="auto"/>
                    </w:rPr>
                    <w:t>，贮存无纺布、成品汽车内饰件；3#厂房成品堆放区设置厂房在东南部，建筑面积约550m</w:t>
                  </w:r>
                  <w:r>
                    <w:rPr>
                      <w:rFonts w:hint="eastAsia"/>
                      <w:color w:val="auto"/>
                      <w:vertAlign w:val="superscript"/>
                    </w:rPr>
                    <w:t>2</w:t>
                  </w:r>
                  <w:r>
                    <w:rPr>
                      <w:rFonts w:hint="eastAsia"/>
                      <w:color w:val="auto"/>
                    </w:rPr>
                    <w:t>，贮存成品汽车纤维材料。</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0" w:hRule="atLeast"/>
                <w:jc w:val="center"/>
              </w:trPr>
              <w:tc>
                <w:tcPr>
                  <w:tcW w:w="772" w:type="pct"/>
                  <w:vMerge w:val="continue"/>
                  <w:tcBorders>
                    <w:tl2br w:val="nil"/>
                    <w:tr2bl w:val="nil"/>
                  </w:tcBorders>
                  <w:vAlign w:val="center"/>
                </w:tcPr>
                <w:p>
                  <w:pPr>
                    <w:widowControl/>
                    <w:jc w:val="left"/>
                    <w:rPr>
                      <w:color w:val="auto"/>
                    </w:rPr>
                  </w:pPr>
                </w:p>
              </w:tc>
              <w:tc>
                <w:tcPr>
                  <w:tcW w:w="1085" w:type="pct"/>
                  <w:gridSpan w:val="2"/>
                  <w:tcBorders>
                    <w:tl2br w:val="nil"/>
                    <w:tr2bl w:val="nil"/>
                  </w:tcBorders>
                  <w:vAlign w:val="center"/>
                </w:tcPr>
                <w:p>
                  <w:pPr>
                    <w:adjustRightInd w:val="0"/>
                    <w:snapToGrid w:val="0"/>
                    <w:jc w:val="center"/>
                    <w:rPr>
                      <w:color w:val="auto"/>
                    </w:rPr>
                  </w:pPr>
                  <w:r>
                    <w:rPr>
                      <w:color w:val="auto"/>
                    </w:rPr>
                    <w:t>原材料</w:t>
                  </w:r>
                  <w:r>
                    <w:rPr>
                      <w:rFonts w:hint="eastAsia"/>
                      <w:color w:val="auto"/>
                    </w:rPr>
                    <w:t>堆放</w:t>
                  </w:r>
                  <w:r>
                    <w:rPr>
                      <w:color w:val="auto"/>
                    </w:rPr>
                    <w:t>区</w:t>
                  </w:r>
                </w:p>
              </w:tc>
              <w:tc>
                <w:tcPr>
                  <w:tcW w:w="3141" w:type="pct"/>
                  <w:tcBorders>
                    <w:tl2br w:val="nil"/>
                    <w:tr2bl w:val="nil"/>
                  </w:tcBorders>
                  <w:vAlign w:val="center"/>
                </w:tcPr>
                <w:p>
                  <w:pPr>
                    <w:widowControl/>
                    <w:adjustRightInd w:val="0"/>
                    <w:snapToGrid w:val="0"/>
                    <w:rPr>
                      <w:color w:val="auto"/>
                      <w:highlight w:val="yellow"/>
                    </w:rPr>
                  </w:pPr>
                  <w:r>
                    <w:rPr>
                      <w:rFonts w:hint="eastAsia"/>
                      <w:color w:val="auto"/>
                    </w:rPr>
                    <w:t>2#厂房原材料堆放区设置在厂房西北部，建筑面积约450m</w:t>
                  </w:r>
                  <w:r>
                    <w:rPr>
                      <w:rFonts w:hint="eastAsia"/>
                      <w:color w:val="auto"/>
                      <w:vertAlign w:val="superscript"/>
                    </w:rPr>
                    <w:t>2</w:t>
                  </w:r>
                  <w:r>
                    <w:rPr>
                      <w:rFonts w:hint="eastAsia"/>
                      <w:color w:val="auto"/>
                    </w:rPr>
                    <w:t>，设置在2#厂房的西北部，贮存生产汽车内饰件的PET纤维、胶粘剂等；3#厂房原材料堆放区设置厂房在中部，建筑面积约860m</w:t>
                  </w:r>
                  <w:r>
                    <w:rPr>
                      <w:rFonts w:hint="eastAsia"/>
                      <w:color w:val="auto"/>
                      <w:vertAlign w:val="superscript"/>
                    </w:rPr>
                    <w:t>2</w:t>
                  </w:r>
                  <w:r>
                    <w:rPr>
                      <w:rFonts w:hint="eastAsia"/>
                      <w:color w:val="auto"/>
                    </w:rPr>
                    <w:t>，贮存生产汽车纤维的碎布条。</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72" w:type="pct"/>
                  <w:tcBorders>
                    <w:tl2br w:val="nil"/>
                    <w:tr2bl w:val="nil"/>
                  </w:tcBorders>
                  <w:vAlign w:val="center"/>
                </w:tcPr>
                <w:p>
                  <w:pPr>
                    <w:adjustRightInd w:val="0"/>
                    <w:snapToGrid w:val="0"/>
                    <w:jc w:val="center"/>
                    <w:rPr>
                      <w:color w:val="auto"/>
                    </w:rPr>
                  </w:pPr>
                  <w:r>
                    <w:rPr>
                      <w:color w:val="auto"/>
                    </w:rPr>
                    <w:t>辅助工程</w:t>
                  </w:r>
                </w:p>
              </w:tc>
              <w:tc>
                <w:tcPr>
                  <w:tcW w:w="1085" w:type="pct"/>
                  <w:gridSpan w:val="2"/>
                  <w:tcBorders>
                    <w:tl2br w:val="nil"/>
                    <w:tr2bl w:val="nil"/>
                  </w:tcBorders>
                  <w:vAlign w:val="center"/>
                </w:tcPr>
                <w:p>
                  <w:pPr>
                    <w:adjustRightInd w:val="0"/>
                    <w:snapToGrid w:val="0"/>
                    <w:jc w:val="center"/>
                    <w:rPr>
                      <w:color w:val="auto"/>
                    </w:rPr>
                  </w:pPr>
                  <w:r>
                    <w:rPr>
                      <w:color w:val="auto"/>
                    </w:rPr>
                    <w:t>综合楼</w:t>
                  </w:r>
                </w:p>
              </w:tc>
              <w:tc>
                <w:tcPr>
                  <w:tcW w:w="3141" w:type="pct"/>
                  <w:tcBorders>
                    <w:tl2br w:val="nil"/>
                    <w:tr2bl w:val="nil"/>
                  </w:tcBorders>
                  <w:vAlign w:val="center"/>
                </w:tcPr>
                <w:p>
                  <w:pPr>
                    <w:adjustRightInd w:val="0"/>
                    <w:snapToGrid w:val="0"/>
                    <w:rPr>
                      <w:color w:val="auto"/>
                    </w:rPr>
                  </w:pPr>
                  <w:r>
                    <w:rPr>
                      <w:rFonts w:hint="eastAsia"/>
                      <w:color w:val="auto"/>
                      <w:szCs w:val="21"/>
                    </w:rPr>
                    <w:t>高3层，其中1F设置为员工食堂、展览大厅、检验区；2F设置为行政办公室；3F设置为员工宿舍</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772" w:type="pct"/>
                  <w:vMerge w:val="restart"/>
                  <w:tcBorders>
                    <w:tl2br w:val="nil"/>
                    <w:tr2bl w:val="nil"/>
                  </w:tcBorders>
                  <w:vAlign w:val="center"/>
                </w:tcPr>
                <w:p>
                  <w:pPr>
                    <w:widowControl/>
                    <w:jc w:val="center"/>
                    <w:rPr>
                      <w:color w:val="auto"/>
                    </w:rPr>
                  </w:pPr>
                  <w:r>
                    <w:rPr>
                      <w:color w:val="auto"/>
                    </w:rPr>
                    <w:t>公用工程</w:t>
                  </w:r>
                </w:p>
              </w:tc>
              <w:tc>
                <w:tcPr>
                  <w:tcW w:w="1085" w:type="pct"/>
                  <w:gridSpan w:val="2"/>
                  <w:tcBorders>
                    <w:tl2br w:val="nil"/>
                    <w:tr2bl w:val="nil"/>
                  </w:tcBorders>
                  <w:vAlign w:val="center"/>
                </w:tcPr>
                <w:p>
                  <w:pPr>
                    <w:adjustRightInd w:val="0"/>
                    <w:snapToGrid w:val="0"/>
                    <w:jc w:val="center"/>
                    <w:rPr>
                      <w:color w:val="auto"/>
                    </w:rPr>
                  </w:pPr>
                  <w:r>
                    <w:rPr>
                      <w:color w:val="auto"/>
                    </w:rPr>
                    <w:t>给水</w:t>
                  </w:r>
                </w:p>
              </w:tc>
              <w:tc>
                <w:tcPr>
                  <w:tcW w:w="3141" w:type="pct"/>
                  <w:tcBorders>
                    <w:tl2br w:val="nil"/>
                    <w:tr2bl w:val="nil"/>
                  </w:tcBorders>
                  <w:vAlign w:val="center"/>
                </w:tcPr>
                <w:p>
                  <w:pPr>
                    <w:adjustRightInd w:val="0"/>
                    <w:snapToGrid w:val="0"/>
                    <w:rPr>
                      <w:color w:val="auto"/>
                    </w:rPr>
                  </w:pPr>
                  <w:r>
                    <w:rPr>
                      <w:rFonts w:hint="eastAsia"/>
                      <w:color w:val="auto"/>
                    </w:rPr>
                    <w:t>依托周边市政给水管网，由厂区东南面市政供水管网接入</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772" w:type="pct"/>
                  <w:vMerge w:val="continue"/>
                  <w:tcBorders>
                    <w:tl2br w:val="nil"/>
                    <w:tr2bl w:val="nil"/>
                  </w:tcBorders>
                  <w:vAlign w:val="center"/>
                </w:tcPr>
                <w:p>
                  <w:pPr>
                    <w:widowControl/>
                    <w:jc w:val="left"/>
                    <w:rPr>
                      <w:color w:val="auto"/>
                    </w:rPr>
                  </w:pPr>
                </w:p>
              </w:tc>
              <w:tc>
                <w:tcPr>
                  <w:tcW w:w="1085" w:type="pct"/>
                  <w:gridSpan w:val="2"/>
                  <w:tcBorders>
                    <w:tl2br w:val="nil"/>
                    <w:tr2bl w:val="nil"/>
                  </w:tcBorders>
                  <w:vAlign w:val="center"/>
                </w:tcPr>
                <w:p>
                  <w:pPr>
                    <w:adjustRightInd w:val="0"/>
                    <w:snapToGrid w:val="0"/>
                    <w:jc w:val="center"/>
                    <w:rPr>
                      <w:color w:val="auto"/>
                    </w:rPr>
                  </w:pPr>
                  <w:r>
                    <w:rPr>
                      <w:color w:val="auto"/>
                    </w:rPr>
                    <w:t>排水</w:t>
                  </w:r>
                </w:p>
              </w:tc>
              <w:tc>
                <w:tcPr>
                  <w:tcW w:w="3141" w:type="pct"/>
                  <w:tcBorders>
                    <w:tl2br w:val="nil"/>
                    <w:tr2bl w:val="nil"/>
                  </w:tcBorders>
                  <w:vAlign w:val="center"/>
                </w:tcPr>
                <w:p>
                  <w:pPr>
                    <w:adjustRightInd w:val="0"/>
                    <w:snapToGrid w:val="0"/>
                    <w:rPr>
                      <w:color w:val="auto"/>
                    </w:rPr>
                  </w:pPr>
                  <w:r>
                    <w:rPr>
                      <w:color w:val="auto"/>
                    </w:rPr>
                    <w:t>采用雨、污分流，雨水</w:t>
                  </w:r>
                  <w:r>
                    <w:rPr>
                      <w:rFonts w:hint="eastAsia"/>
                      <w:color w:val="auto"/>
                    </w:rPr>
                    <w:t>接入厂区东南角</w:t>
                  </w:r>
                  <w:r>
                    <w:rPr>
                      <w:color w:val="auto"/>
                    </w:rPr>
                    <w:t>市政雨水管网，废水</w:t>
                  </w:r>
                  <w:r>
                    <w:rPr>
                      <w:rFonts w:hint="eastAsia"/>
                      <w:color w:val="auto"/>
                    </w:rPr>
                    <w:t>经处理后</w:t>
                  </w:r>
                  <w:r>
                    <w:rPr>
                      <w:color w:val="auto"/>
                    </w:rPr>
                    <w:t>接入</w:t>
                  </w:r>
                  <w:r>
                    <w:rPr>
                      <w:rFonts w:hint="eastAsia"/>
                      <w:color w:val="auto"/>
                    </w:rPr>
                    <w:t>厂区东南角的</w:t>
                  </w:r>
                  <w:r>
                    <w:rPr>
                      <w:color w:val="auto"/>
                    </w:rPr>
                    <w:t>市政污水管网，经</w:t>
                  </w:r>
                  <w:r>
                    <w:rPr>
                      <w:rFonts w:hint="eastAsia"/>
                      <w:color w:val="auto"/>
                    </w:rPr>
                    <w:t>东城</w:t>
                  </w:r>
                  <w:r>
                    <w:rPr>
                      <w:color w:val="auto"/>
                    </w:rPr>
                    <w:t>污水处理厂深度处理达标后排入</w:t>
                  </w:r>
                  <w:r>
                    <w:rPr>
                      <w:rFonts w:hint="eastAsia"/>
                      <w:color w:val="auto"/>
                    </w:rPr>
                    <w:t>淮远河</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772" w:type="pct"/>
                  <w:vMerge w:val="continue"/>
                  <w:tcBorders>
                    <w:tl2br w:val="nil"/>
                    <w:tr2bl w:val="nil"/>
                  </w:tcBorders>
                  <w:vAlign w:val="center"/>
                </w:tcPr>
                <w:p>
                  <w:pPr>
                    <w:widowControl/>
                    <w:jc w:val="left"/>
                    <w:rPr>
                      <w:color w:val="auto"/>
                    </w:rPr>
                  </w:pPr>
                </w:p>
              </w:tc>
              <w:tc>
                <w:tcPr>
                  <w:tcW w:w="1085" w:type="pct"/>
                  <w:gridSpan w:val="2"/>
                  <w:tcBorders>
                    <w:tl2br w:val="nil"/>
                    <w:tr2bl w:val="nil"/>
                  </w:tcBorders>
                  <w:vAlign w:val="center"/>
                </w:tcPr>
                <w:p>
                  <w:pPr>
                    <w:adjustRightInd w:val="0"/>
                    <w:snapToGrid w:val="0"/>
                    <w:jc w:val="center"/>
                    <w:rPr>
                      <w:color w:val="auto"/>
                    </w:rPr>
                  </w:pPr>
                  <w:r>
                    <w:rPr>
                      <w:color w:val="auto"/>
                    </w:rPr>
                    <w:t>供气</w:t>
                  </w:r>
                </w:p>
              </w:tc>
              <w:tc>
                <w:tcPr>
                  <w:tcW w:w="3141" w:type="pct"/>
                  <w:tcBorders>
                    <w:tl2br w:val="nil"/>
                    <w:tr2bl w:val="nil"/>
                  </w:tcBorders>
                  <w:vAlign w:val="center"/>
                </w:tcPr>
                <w:p>
                  <w:pPr>
                    <w:adjustRightInd w:val="0"/>
                    <w:snapToGrid w:val="0"/>
                    <w:rPr>
                      <w:color w:val="auto"/>
                    </w:rPr>
                  </w:pPr>
                  <w:r>
                    <w:rPr>
                      <w:rFonts w:hint="eastAsia"/>
                      <w:color w:val="auto"/>
                    </w:rPr>
                    <w:t>依托周边市政供气管网</w:t>
                  </w:r>
                  <w:r>
                    <w:rPr>
                      <w:color w:val="auto"/>
                    </w:rPr>
                    <w:t>，由</w:t>
                  </w:r>
                  <w:r>
                    <w:rPr>
                      <w:rFonts w:hint="eastAsia"/>
                      <w:color w:val="auto"/>
                    </w:rPr>
                    <w:t>厂区东南面天然气</w:t>
                  </w:r>
                  <w:r>
                    <w:rPr>
                      <w:color w:val="auto"/>
                    </w:rPr>
                    <w:t>供气管网接入</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772" w:type="pct"/>
                  <w:vMerge w:val="continue"/>
                  <w:tcBorders>
                    <w:tl2br w:val="nil"/>
                    <w:tr2bl w:val="nil"/>
                  </w:tcBorders>
                  <w:vAlign w:val="center"/>
                </w:tcPr>
                <w:p>
                  <w:pPr>
                    <w:widowControl/>
                    <w:jc w:val="left"/>
                    <w:rPr>
                      <w:color w:val="auto"/>
                    </w:rPr>
                  </w:pPr>
                </w:p>
              </w:tc>
              <w:tc>
                <w:tcPr>
                  <w:tcW w:w="1085" w:type="pct"/>
                  <w:gridSpan w:val="2"/>
                  <w:tcBorders>
                    <w:tl2br w:val="nil"/>
                    <w:tr2bl w:val="nil"/>
                  </w:tcBorders>
                  <w:vAlign w:val="center"/>
                </w:tcPr>
                <w:p>
                  <w:pPr>
                    <w:adjustRightInd w:val="0"/>
                    <w:snapToGrid w:val="0"/>
                    <w:jc w:val="center"/>
                    <w:rPr>
                      <w:color w:val="auto"/>
                    </w:rPr>
                  </w:pPr>
                  <w:r>
                    <w:rPr>
                      <w:color w:val="auto"/>
                    </w:rPr>
                    <w:t>供配电</w:t>
                  </w:r>
                </w:p>
              </w:tc>
              <w:tc>
                <w:tcPr>
                  <w:tcW w:w="3141" w:type="pct"/>
                  <w:tcBorders>
                    <w:tl2br w:val="nil"/>
                    <w:tr2bl w:val="nil"/>
                  </w:tcBorders>
                  <w:vAlign w:val="center"/>
                </w:tcPr>
                <w:p>
                  <w:pPr>
                    <w:tabs>
                      <w:tab w:val="center" w:pos="2250"/>
                    </w:tabs>
                    <w:adjustRightInd w:val="0"/>
                    <w:snapToGrid w:val="0"/>
                    <w:rPr>
                      <w:color w:val="auto"/>
                    </w:rPr>
                  </w:pPr>
                  <w:r>
                    <w:rPr>
                      <w:color w:val="auto"/>
                    </w:rPr>
                    <w:t>依托</w:t>
                  </w:r>
                  <w:r>
                    <w:rPr>
                      <w:rFonts w:hint="eastAsia"/>
                      <w:color w:val="auto"/>
                    </w:rPr>
                    <w:t>周边市政</w:t>
                  </w:r>
                  <w:r>
                    <w:rPr>
                      <w:color w:val="auto"/>
                    </w:rPr>
                    <w:t>供电网络</w:t>
                  </w:r>
                  <w:r>
                    <w:rPr>
                      <w:rFonts w:hint="eastAsia"/>
                      <w:color w:val="auto"/>
                    </w:rPr>
                    <w:tab/>
                  </w:r>
                  <w:r>
                    <w:rPr>
                      <w:color w:val="auto"/>
                    </w:rPr>
                    <w:t>，由</w:t>
                  </w:r>
                  <w:r>
                    <w:rPr>
                      <w:rFonts w:hint="eastAsia"/>
                      <w:color w:val="auto"/>
                    </w:rPr>
                    <w:t>厂区东南面市政供电网络</w:t>
                  </w:r>
                  <w:r>
                    <w:rPr>
                      <w:color w:val="auto"/>
                    </w:rPr>
                    <w:t>接入</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772" w:type="pct"/>
                  <w:vMerge w:val="restart"/>
                  <w:tcBorders>
                    <w:tl2br w:val="nil"/>
                    <w:tr2bl w:val="nil"/>
                  </w:tcBorders>
                  <w:vAlign w:val="center"/>
                </w:tcPr>
                <w:p>
                  <w:pPr>
                    <w:widowControl/>
                    <w:jc w:val="center"/>
                    <w:rPr>
                      <w:color w:val="auto"/>
                    </w:rPr>
                  </w:pPr>
                  <w:r>
                    <w:rPr>
                      <w:color w:val="auto"/>
                    </w:rPr>
                    <w:t>环保工程</w:t>
                  </w:r>
                </w:p>
              </w:tc>
              <w:tc>
                <w:tcPr>
                  <w:tcW w:w="1085" w:type="pct"/>
                  <w:gridSpan w:val="2"/>
                  <w:tcBorders>
                    <w:tl2br w:val="nil"/>
                    <w:tr2bl w:val="nil"/>
                  </w:tcBorders>
                  <w:vAlign w:val="center"/>
                </w:tcPr>
                <w:p>
                  <w:pPr>
                    <w:adjustRightInd w:val="0"/>
                    <w:snapToGrid w:val="0"/>
                    <w:jc w:val="center"/>
                    <w:rPr>
                      <w:color w:val="auto"/>
                    </w:rPr>
                  </w:pPr>
                  <w:r>
                    <w:rPr>
                      <w:color w:val="auto"/>
                    </w:rPr>
                    <w:t>废气处理</w:t>
                  </w:r>
                </w:p>
              </w:tc>
              <w:tc>
                <w:tcPr>
                  <w:tcW w:w="3141" w:type="pct"/>
                  <w:tcBorders>
                    <w:tl2br w:val="nil"/>
                    <w:tr2bl w:val="nil"/>
                  </w:tcBorders>
                  <w:vAlign w:val="center"/>
                </w:tcPr>
                <w:p>
                  <w:pPr>
                    <w:adjustRightInd w:val="0"/>
                    <w:snapToGrid w:val="0"/>
                    <w:rPr>
                      <w:color w:val="auto"/>
                    </w:rPr>
                  </w:pPr>
                  <w:r>
                    <w:rPr>
                      <w:rFonts w:hint="eastAsia"/>
                      <w:color w:val="auto"/>
                    </w:rPr>
                    <w:t>2#厂房复合区产生非甲烷总烃、颗粒物采用“滤筒除尘器+活性炭吸附”处理后引至15m高的1#排气筒排放；3#厂房开花区、打包区产生的颗粒物采用“布袋除尘器”处理后引至15m高的2#排气筒排放；3#厂房碎布区产生的颗粒物采用“布袋除尘器”处理后在厂房内无组织排放；员工食堂产生的油烟经油烟净化器处理后引至综合楼屋顶排放。</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772" w:type="pct"/>
                  <w:vMerge w:val="continue"/>
                  <w:tcBorders>
                    <w:tl2br w:val="nil"/>
                    <w:tr2bl w:val="nil"/>
                  </w:tcBorders>
                  <w:vAlign w:val="center"/>
                </w:tcPr>
                <w:p>
                  <w:pPr>
                    <w:widowControl/>
                    <w:jc w:val="left"/>
                    <w:rPr>
                      <w:color w:val="auto"/>
                    </w:rPr>
                  </w:pPr>
                </w:p>
              </w:tc>
              <w:tc>
                <w:tcPr>
                  <w:tcW w:w="1085" w:type="pct"/>
                  <w:gridSpan w:val="2"/>
                  <w:tcBorders>
                    <w:tl2br w:val="nil"/>
                    <w:tr2bl w:val="nil"/>
                  </w:tcBorders>
                  <w:vAlign w:val="center"/>
                </w:tcPr>
                <w:p>
                  <w:pPr>
                    <w:adjustRightInd w:val="0"/>
                    <w:snapToGrid w:val="0"/>
                    <w:jc w:val="center"/>
                    <w:rPr>
                      <w:color w:val="auto"/>
                    </w:rPr>
                  </w:pPr>
                  <w:r>
                    <w:rPr>
                      <w:color w:val="auto"/>
                    </w:rPr>
                    <w:t>废水处理</w:t>
                  </w:r>
                </w:p>
              </w:tc>
              <w:tc>
                <w:tcPr>
                  <w:tcW w:w="3141" w:type="pct"/>
                  <w:tcBorders>
                    <w:tl2br w:val="nil"/>
                    <w:tr2bl w:val="nil"/>
                  </w:tcBorders>
                  <w:vAlign w:val="center"/>
                </w:tcPr>
                <w:p>
                  <w:pPr>
                    <w:adjustRightInd w:val="0"/>
                    <w:snapToGrid w:val="0"/>
                    <w:rPr>
                      <w:color w:val="auto"/>
                    </w:rPr>
                  </w:pPr>
                  <w:r>
                    <w:rPr>
                      <w:rFonts w:hint="eastAsia"/>
                      <w:color w:val="auto"/>
                    </w:rPr>
                    <w:t>员工食堂建有处理能力为2m</w:t>
                  </w:r>
                  <w:r>
                    <w:rPr>
                      <w:rFonts w:hint="eastAsia"/>
                      <w:color w:val="auto"/>
                      <w:vertAlign w:val="superscript"/>
                    </w:rPr>
                    <w:t>3</w:t>
                  </w:r>
                  <w:r>
                    <w:rPr>
                      <w:rFonts w:hint="eastAsia"/>
                      <w:color w:val="auto"/>
                    </w:rPr>
                    <w:t>/d的隔油池、厂区东南角建有处理能力为20m</w:t>
                  </w:r>
                  <w:r>
                    <w:rPr>
                      <w:rFonts w:hint="eastAsia"/>
                      <w:color w:val="auto"/>
                      <w:vertAlign w:val="superscript"/>
                    </w:rPr>
                    <w:t>3</w:t>
                  </w:r>
                  <w:r>
                    <w:rPr>
                      <w:rFonts w:hint="eastAsia"/>
                      <w:color w:val="auto"/>
                    </w:rPr>
                    <w:t>/d的生化池，食堂废水经隔油处理后与生活污水进入生化池处理达三级标准后排入市政污水管网，经东城污水处理厂深度处理达一级B标后排入淮远河。</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772" w:type="pct"/>
                  <w:vMerge w:val="continue"/>
                  <w:tcBorders>
                    <w:tl2br w:val="nil"/>
                    <w:tr2bl w:val="nil"/>
                  </w:tcBorders>
                  <w:vAlign w:val="center"/>
                </w:tcPr>
                <w:p>
                  <w:pPr>
                    <w:widowControl/>
                    <w:jc w:val="left"/>
                    <w:rPr>
                      <w:color w:val="auto"/>
                    </w:rPr>
                  </w:pPr>
                </w:p>
              </w:tc>
              <w:tc>
                <w:tcPr>
                  <w:tcW w:w="449" w:type="pct"/>
                  <w:vMerge w:val="restart"/>
                  <w:tcBorders>
                    <w:tl2br w:val="nil"/>
                    <w:tr2bl w:val="nil"/>
                  </w:tcBorders>
                  <w:vAlign w:val="center"/>
                </w:tcPr>
                <w:p>
                  <w:pPr>
                    <w:adjustRightInd w:val="0"/>
                    <w:snapToGrid w:val="0"/>
                    <w:jc w:val="center"/>
                    <w:rPr>
                      <w:color w:val="auto"/>
                    </w:rPr>
                  </w:pPr>
                  <w:r>
                    <w:rPr>
                      <w:color w:val="auto"/>
                    </w:rPr>
                    <w:t>固废</w:t>
                  </w:r>
                </w:p>
                <w:p>
                  <w:pPr>
                    <w:adjustRightInd w:val="0"/>
                    <w:snapToGrid w:val="0"/>
                    <w:jc w:val="center"/>
                    <w:rPr>
                      <w:color w:val="auto"/>
                    </w:rPr>
                  </w:pPr>
                  <w:r>
                    <w:rPr>
                      <w:color w:val="auto"/>
                    </w:rPr>
                    <w:t>处理</w:t>
                  </w:r>
                </w:p>
              </w:tc>
              <w:tc>
                <w:tcPr>
                  <w:tcW w:w="635" w:type="pct"/>
                  <w:tcBorders>
                    <w:tl2br w:val="nil"/>
                    <w:tr2bl w:val="nil"/>
                  </w:tcBorders>
                  <w:vAlign w:val="center"/>
                </w:tcPr>
                <w:p>
                  <w:pPr>
                    <w:adjustRightInd w:val="0"/>
                    <w:snapToGrid w:val="0"/>
                    <w:jc w:val="center"/>
                    <w:rPr>
                      <w:color w:val="auto"/>
                    </w:rPr>
                  </w:pPr>
                  <w:r>
                    <w:rPr>
                      <w:color w:val="auto"/>
                    </w:rPr>
                    <w:t>危险</w:t>
                  </w:r>
                </w:p>
                <w:p>
                  <w:pPr>
                    <w:adjustRightInd w:val="0"/>
                    <w:snapToGrid w:val="0"/>
                    <w:jc w:val="center"/>
                    <w:rPr>
                      <w:color w:val="auto"/>
                    </w:rPr>
                  </w:pPr>
                  <w:r>
                    <w:rPr>
                      <w:color w:val="auto"/>
                    </w:rPr>
                    <w:t>废物</w:t>
                  </w:r>
                </w:p>
              </w:tc>
              <w:tc>
                <w:tcPr>
                  <w:tcW w:w="3141" w:type="pct"/>
                  <w:tcBorders>
                    <w:tl2br w:val="nil"/>
                    <w:tr2bl w:val="nil"/>
                  </w:tcBorders>
                  <w:vAlign w:val="center"/>
                </w:tcPr>
                <w:p>
                  <w:pPr>
                    <w:adjustRightInd w:val="0"/>
                    <w:snapToGrid w:val="0"/>
                    <w:rPr>
                      <w:color w:val="auto"/>
                    </w:rPr>
                  </w:pPr>
                  <w:r>
                    <w:rPr>
                      <w:rFonts w:hint="eastAsia"/>
                      <w:color w:val="auto"/>
                    </w:rPr>
                    <w:t>2#</w:t>
                  </w:r>
                  <w:r>
                    <w:rPr>
                      <w:color w:val="auto"/>
                    </w:rPr>
                    <w:t>厂房</w:t>
                  </w:r>
                  <w:r>
                    <w:rPr>
                      <w:rFonts w:hint="eastAsia"/>
                      <w:color w:val="auto"/>
                    </w:rPr>
                    <w:t>东北侧</w:t>
                  </w:r>
                  <w:r>
                    <w:rPr>
                      <w:color w:val="auto"/>
                    </w:rPr>
                    <w:t>设置1个面积为</w:t>
                  </w:r>
                  <w:r>
                    <w:rPr>
                      <w:rFonts w:hint="eastAsia"/>
                      <w:color w:val="auto"/>
                    </w:rPr>
                    <w:t>10</w:t>
                  </w:r>
                  <w:r>
                    <w:rPr>
                      <w:color w:val="auto"/>
                    </w:rPr>
                    <w:t>m</w:t>
                  </w:r>
                  <w:r>
                    <w:rPr>
                      <w:color w:val="auto"/>
                      <w:vertAlign w:val="superscript"/>
                    </w:rPr>
                    <w:t>2</w:t>
                  </w:r>
                  <w:r>
                    <w:rPr>
                      <w:color w:val="auto"/>
                    </w:rPr>
                    <w:t>危险废物暂存间，其地面及裙角进行防腐、防渗处理，</w:t>
                  </w:r>
                  <w:r>
                    <w:rPr>
                      <w:rFonts w:hint="eastAsia"/>
                      <w:color w:val="auto"/>
                    </w:rPr>
                    <w:t>危险废物</w:t>
                  </w:r>
                  <w:r>
                    <w:rPr>
                      <w:color w:val="auto"/>
                    </w:rPr>
                    <w:t>经分类暂存后定期交有危险废物处理制造单位处置。</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772" w:type="pct"/>
                  <w:vMerge w:val="continue"/>
                  <w:tcBorders>
                    <w:tl2br w:val="nil"/>
                    <w:tr2bl w:val="nil"/>
                  </w:tcBorders>
                  <w:vAlign w:val="center"/>
                </w:tcPr>
                <w:p>
                  <w:pPr>
                    <w:widowControl/>
                    <w:jc w:val="left"/>
                    <w:rPr>
                      <w:color w:val="auto"/>
                    </w:rPr>
                  </w:pPr>
                </w:p>
              </w:tc>
              <w:tc>
                <w:tcPr>
                  <w:tcW w:w="449" w:type="pct"/>
                  <w:vMerge w:val="continue"/>
                  <w:tcBorders>
                    <w:tl2br w:val="nil"/>
                    <w:tr2bl w:val="nil"/>
                  </w:tcBorders>
                  <w:vAlign w:val="center"/>
                </w:tcPr>
                <w:p>
                  <w:pPr>
                    <w:adjustRightInd w:val="0"/>
                    <w:snapToGrid w:val="0"/>
                    <w:jc w:val="center"/>
                    <w:rPr>
                      <w:color w:val="auto"/>
                    </w:rPr>
                  </w:pPr>
                </w:p>
              </w:tc>
              <w:tc>
                <w:tcPr>
                  <w:tcW w:w="635" w:type="pct"/>
                  <w:tcBorders>
                    <w:tl2br w:val="nil"/>
                    <w:tr2bl w:val="nil"/>
                  </w:tcBorders>
                  <w:vAlign w:val="center"/>
                </w:tcPr>
                <w:p>
                  <w:pPr>
                    <w:adjustRightInd w:val="0"/>
                    <w:snapToGrid w:val="0"/>
                    <w:jc w:val="center"/>
                    <w:rPr>
                      <w:color w:val="auto"/>
                    </w:rPr>
                  </w:pPr>
                  <w:r>
                    <w:rPr>
                      <w:color w:val="auto"/>
                    </w:rPr>
                    <w:t>一般工业固废</w:t>
                  </w:r>
                </w:p>
              </w:tc>
              <w:tc>
                <w:tcPr>
                  <w:tcW w:w="3141" w:type="pct"/>
                  <w:tcBorders>
                    <w:tl2br w:val="nil"/>
                    <w:tr2bl w:val="nil"/>
                  </w:tcBorders>
                  <w:vAlign w:val="center"/>
                </w:tcPr>
                <w:p>
                  <w:pPr>
                    <w:adjustRightInd w:val="0"/>
                    <w:snapToGrid w:val="0"/>
                    <w:rPr>
                      <w:color w:val="auto"/>
                    </w:rPr>
                  </w:pPr>
                  <w:r>
                    <w:rPr>
                      <w:rFonts w:hint="eastAsia"/>
                      <w:color w:val="auto"/>
                    </w:rPr>
                    <w:t>2#</w:t>
                  </w:r>
                  <w:r>
                    <w:rPr>
                      <w:color w:val="auto"/>
                    </w:rPr>
                    <w:t>厂房</w:t>
                  </w:r>
                  <w:r>
                    <w:rPr>
                      <w:rFonts w:hint="eastAsia"/>
                      <w:color w:val="auto"/>
                    </w:rPr>
                    <w:t>东南部</w:t>
                  </w:r>
                  <w:r>
                    <w:rPr>
                      <w:color w:val="auto"/>
                    </w:rPr>
                    <w:t>设置1个面积为</w:t>
                  </w:r>
                  <w:r>
                    <w:rPr>
                      <w:rFonts w:hint="eastAsia"/>
                      <w:color w:val="auto"/>
                    </w:rPr>
                    <w:t>10</w:t>
                  </w:r>
                  <w:r>
                    <w:rPr>
                      <w:color w:val="auto"/>
                    </w:rPr>
                    <w:t>m</w:t>
                  </w:r>
                  <w:r>
                    <w:rPr>
                      <w:color w:val="auto"/>
                      <w:vertAlign w:val="superscript"/>
                    </w:rPr>
                    <w:t>2</w:t>
                  </w:r>
                  <w:r>
                    <w:rPr>
                      <w:rFonts w:hint="eastAsia"/>
                      <w:color w:val="auto"/>
                    </w:rPr>
                    <w:t>一般工业固废暂存间</w:t>
                  </w:r>
                  <w:r>
                    <w:rPr>
                      <w:color w:val="auto"/>
                    </w:rPr>
                    <w:t>，</w:t>
                  </w:r>
                  <w:r>
                    <w:rPr>
                      <w:rFonts w:hint="eastAsia"/>
                      <w:color w:val="auto"/>
                    </w:rPr>
                    <w:t>一般工业固废分类收集后交废品回收公司处置。</w:t>
                  </w:r>
                </w:p>
              </w:tc>
            </w:tr>
          </w:tbl>
          <w:p>
            <w:pPr>
              <w:snapToGrid w:val="0"/>
              <w:spacing w:line="360" w:lineRule="auto"/>
              <w:rPr>
                <w:rFonts w:ascii="宋体" w:hAnsi="宋体" w:cs="宋体"/>
                <w:b/>
                <w:bCs/>
                <w:color w:val="auto"/>
                <w:sz w:val="24"/>
              </w:rPr>
            </w:pPr>
            <w:r>
              <w:rPr>
                <w:rFonts w:hint="eastAsia"/>
                <w:b/>
                <w:bCs/>
                <w:color w:val="auto"/>
                <w:sz w:val="24"/>
              </w:rPr>
              <w:t>3.现有工程</w:t>
            </w:r>
            <w:r>
              <w:rPr>
                <w:b/>
                <w:bCs/>
                <w:color w:val="auto"/>
                <w:sz w:val="24"/>
              </w:rPr>
              <w:t>环保设施及污染物产排</w:t>
            </w:r>
            <w:r>
              <w:rPr>
                <w:rFonts w:hint="eastAsia" w:ascii="宋体" w:hAnsi="宋体" w:cs="宋体"/>
                <w:b/>
                <w:bCs/>
                <w:color w:val="auto"/>
                <w:sz w:val="24"/>
              </w:rPr>
              <w:t>情况</w:t>
            </w:r>
          </w:p>
          <w:p>
            <w:pPr>
              <w:snapToGrid w:val="0"/>
              <w:spacing w:line="360" w:lineRule="auto"/>
              <w:ind w:firstLine="480" w:firstLineChars="200"/>
              <w:rPr>
                <w:color w:val="auto"/>
                <w:sz w:val="24"/>
              </w:rPr>
            </w:pPr>
            <w:r>
              <w:rPr>
                <w:color w:val="auto"/>
                <w:sz w:val="24"/>
              </w:rPr>
              <w:t>（1）废气</w:t>
            </w:r>
          </w:p>
          <w:p>
            <w:pPr>
              <w:spacing w:line="360" w:lineRule="auto"/>
              <w:ind w:firstLine="480" w:firstLineChars="200"/>
              <w:rPr>
                <w:color w:val="auto"/>
                <w:sz w:val="24"/>
              </w:rPr>
            </w:pPr>
            <w:r>
              <w:rPr>
                <w:color w:val="auto"/>
                <w:sz w:val="24"/>
              </w:rPr>
              <w:t>现有工程产生的废气主要为2#车间复合区产生的</w:t>
            </w:r>
            <w:r>
              <w:rPr>
                <w:rFonts w:hint="eastAsia"/>
                <w:color w:val="auto"/>
                <w:sz w:val="24"/>
              </w:rPr>
              <w:t>非甲烷总烃</w:t>
            </w:r>
            <w:r>
              <w:rPr>
                <w:color w:val="auto"/>
                <w:sz w:val="24"/>
              </w:rPr>
              <w:t>、颗粒物、3#厂房开花区、打包区、碎布区产生的颗粒物、员工食堂产生的油烟、非甲烷总烃。</w:t>
            </w:r>
          </w:p>
          <w:p>
            <w:pPr>
              <w:pStyle w:val="2"/>
              <w:ind w:firstLine="480" w:firstLineChars="200"/>
              <w:rPr>
                <w:rFonts w:ascii="Times New Roman" w:hAnsi="Times New Roman" w:cs="Times New Roman"/>
                <w:color w:val="auto"/>
              </w:rPr>
            </w:pPr>
            <w:r>
              <w:rPr>
                <w:rFonts w:ascii="Times New Roman" w:hAnsi="Times New Roman" w:cs="Times New Roman"/>
                <w:color w:val="auto"/>
                <w:lang w:bidi="ar"/>
              </w:rPr>
              <w:t>①2#车间复合区废气</w:t>
            </w:r>
          </w:p>
          <w:p>
            <w:pPr>
              <w:pStyle w:val="3"/>
              <w:ind w:firstLine="480" w:firstLineChars="200"/>
              <w:rPr>
                <w:rFonts w:hint="default" w:ascii="Times New Roman" w:hAnsi="Times New Roman" w:cs="Times New Roman"/>
                <w:bCs/>
                <w:color w:val="auto"/>
              </w:rPr>
            </w:pPr>
            <w:r>
              <w:rPr>
                <w:rFonts w:hint="default" w:ascii="Times New Roman" w:hAnsi="Times New Roman" w:cs="Times New Roman"/>
                <w:bCs/>
                <w:color w:val="auto"/>
              </w:rPr>
              <w:t>通过调查，</w:t>
            </w:r>
            <w:r>
              <w:rPr>
                <w:rFonts w:hint="default" w:ascii="Times New Roman" w:hAnsi="Times New Roman" w:cs="Times New Roman"/>
                <w:color w:val="auto"/>
              </w:rPr>
              <w:t>2#厂房复合区产生挥发性有机物、颗粒物采用“滤筒除尘器+活性炭吸附”处理后引至15m高的1#排气筒排放。根据</w:t>
            </w:r>
            <w:r>
              <w:rPr>
                <w:rFonts w:hint="default" w:ascii="Times New Roman" w:hAnsi="Times New Roman" w:cs="Times New Roman"/>
                <w:bCs/>
                <w:color w:val="auto"/>
              </w:rPr>
              <w:t>《</w:t>
            </w:r>
            <w:r>
              <w:rPr>
                <w:rFonts w:hint="default" w:ascii="Times New Roman" w:hAnsi="Times New Roman" w:cs="Times New Roman"/>
                <w:color w:val="auto"/>
                <w:spacing w:val="8"/>
                <w:shd w:val="clear" w:color="auto" w:fill="FFFFFF"/>
              </w:rPr>
              <w:t>年产汽车零部件800万件及汽车纤维材料8000吨扩建项目（一阶段）</w:t>
            </w:r>
            <w:r>
              <w:rPr>
                <w:rFonts w:hint="default" w:ascii="Times New Roman" w:hAnsi="Times New Roman" w:cs="Times New Roman"/>
                <w:bCs/>
                <w:color w:val="auto"/>
              </w:rPr>
              <w:t>竣工环境保护验收监测报告表》</w:t>
            </w:r>
            <w:r>
              <w:rPr>
                <w:rFonts w:hint="eastAsia" w:ascii="Times New Roman" w:hAnsi="Times New Roman" w:cs="Times New Roman"/>
                <w:bCs/>
                <w:color w:val="auto"/>
                <w:lang w:eastAsia="zh-CN"/>
              </w:rPr>
              <w:t>和</w:t>
            </w:r>
            <w:r>
              <w:rPr>
                <w:rFonts w:hint="default" w:ascii="Times New Roman" w:hAnsi="Times New Roman" w:cs="Times New Roman"/>
                <w:color w:val="auto"/>
                <w:lang w:eastAsia="zh-CN"/>
              </w:rPr>
              <w:t>《</w:t>
            </w:r>
            <w:r>
              <w:rPr>
                <w:rFonts w:hint="default" w:ascii="Times New Roman" w:hAnsi="Times New Roman" w:cs="Times New Roman"/>
                <w:color w:val="auto"/>
                <w:spacing w:val="8"/>
                <w:szCs w:val="21"/>
                <w:shd w:val="clear" w:color="auto" w:fill="FFFFFF"/>
                <w:lang w:eastAsia="zh-CN"/>
              </w:rPr>
              <w:t>年产汽车零部件800万件及汽车纤维材料8000吨扩建项目环境影响报告表</w:t>
            </w:r>
            <w:r>
              <w:rPr>
                <w:rFonts w:hint="default" w:ascii="Times New Roman" w:hAnsi="Times New Roman" w:cs="Times New Roman"/>
                <w:color w:val="auto"/>
                <w:lang w:eastAsia="zh-CN"/>
              </w:rPr>
              <w:t>》</w:t>
            </w:r>
            <w:r>
              <w:rPr>
                <w:rFonts w:hint="default" w:ascii="Times New Roman" w:hAnsi="Times New Roman" w:cs="Times New Roman"/>
                <w:bCs/>
                <w:color w:val="auto"/>
              </w:rPr>
              <w:t>，1#排气筒颗粒物排放浓度为17.433mg/m</w:t>
            </w:r>
            <w:r>
              <w:rPr>
                <w:rFonts w:hint="default" w:ascii="Times New Roman" w:hAnsi="Times New Roman" w:cs="Times New Roman"/>
                <w:bCs/>
                <w:color w:val="auto"/>
                <w:vertAlign w:val="superscript"/>
              </w:rPr>
              <w:t>3</w:t>
            </w:r>
            <w:r>
              <w:rPr>
                <w:rFonts w:hint="default" w:ascii="Times New Roman" w:hAnsi="Times New Roman" w:cs="Times New Roman"/>
                <w:bCs/>
                <w:color w:val="auto"/>
              </w:rPr>
              <w:t>，排放速率为0.101kg/h</w:t>
            </w:r>
            <w:r>
              <w:rPr>
                <w:rFonts w:hint="default" w:ascii="Times New Roman" w:hAnsi="Times New Roman" w:cs="Times New Roman"/>
                <w:bCs/>
                <w:color w:val="auto"/>
                <w:lang w:eastAsia="zh-CN"/>
              </w:rPr>
              <w:t>；非</w:t>
            </w:r>
            <w:r>
              <w:rPr>
                <w:rFonts w:hint="default" w:ascii="Times New Roman" w:hAnsi="Times New Roman" w:cs="Times New Roman"/>
                <w:bCs/>
                <w:color w:val="auto"/>
              </w:rPr>
              <w:t>甲烷总烃排放浓度为2.207mg/m</w:t>
            </w:r>
            <w:r>
              <w:rPr>
                <w:rFonts w:hint="default" w:ascii="Times New Roman" w:hAnsi="Times New Roman" w:cs="Times New Roman"/>
                <w:bCs/>
                <w:color w:val="auto"/>
                <w:vertAlign w:val="superscript"/>
              </w:rPr>
              <w:t>3</w:t>
            </w:r>
            <w:r>
              <w:rPr>
                <w:rFonts w:hint="default" w:ascii="Times New Roman" w:hAnsi="Times New Roman" w:cs="Times New Roman"/>
                <w:bCs/>
                <w:color w:val="auto"/>
              </w:rPr>
              <w:t>，排放速率为0.013kg/h，满足重庆市</w:t>
            </w:r>
            <w:r>
              <w:rPr>
                <w:rFonts w:hint="default" w:ascii="Times New Roman" w:hAnsi="Times New Roman" w:cs="Times New Roman"/>
                <w:bCs/>
                <w:snapToGrid w:val="0"/>
                <w:color w:val="auto"/>
              </w:rPr>
              <w:t>《</w:t>
            </w:r>
            <w:r>
              <w:rPr>
                <w:rFonts w:hint="default" w:ascii="Times New Roman" w:hAnsi="Times New Roman" w:cs="Times New Roman"/>
                <w:color w:val="auto"/>
              </w:rPr>
              <w:t>大气污染物综合排放标准》(DB50/418－2016)的标准要求</w:t>
            </w:r>
            <w:r>
              <w:rPr>
                <w:rFonts w:hint="eastAsia" w:ascii="Times New Roman" w:hAnsi="Times New Roman" w:cs="Times New Roman"/>
                <w:color w:val="auto"/>
                <w:lang w:eastAsia="zh-CN"/>
              </w:rPr>
              <w:t>，</w:t>
            </w:r>
            <w:r>
              <w:rPr>
                <w:rFonts w:hint="default" w:ascii="Times New Roman" w:hAnsi="Times New Roman" w:cs="Times New Roman"/>
                <w:color w:val="auto"/>
                <w:lang w:val="en-US" w:eastAsia="zh-CN"/>
              </w:rPr>
              <w:t>1#排气筒颗粒物排放量为</w:t>
            </w:r>
            <w:r>
              <w:rPr>
                <w:rFonts w:hint="default" w:ascii="Times New Roman" w:hAnsi="Times New Roman" w:cs="Times New Roman"/>
                <w:bCs/>
                <w:color w:val="auto"/>
              </w:rPr>
              <w:t>排放量为0.</w:t>
            </w:r>
            <w:r>
              <w:rPr>
                <w:rFonts w:hint="eastAsia" w:ascii="Times New Roman" w:hAnsi="Times New Roman" w:cs="Times New Roman"/>
                <w:bCs/>
                <w:color w:val="auto"/>
                <w:lang w:val="en-US" w:eastAsia="zh-CN"/>
              </w:rPr>
              <w:t>043</w:t>
            </w:r>
            <w:r>
              <w:rPr>
                <w:rFonts w:hint="default" w:ascii="Times New Roman" w:hAnsi="Times New Roman" w:cs="Times New Roman"/>
                <w:bCs/>
                <w:color w:val="auto"/>
              </w:rPr>
              <w:t>t/a；</w:t>
            </w:r>
            <w:r>
              <w:rPr>
                <w:rFonts w:hint="default" w:ascii="Times New Roman" w:hAnsi="Times New Roman" w:cs="Times New Roman"/>
                <w:bCs/>
                <w:color w:val="auto"/>
                <w:lang w:eastAsia="zh-CN"/>
              </w:rPr>
              <w:t>非甲烷总烃</w:t>
            </w:r>
            <w:r>
              <w:rPr>
                <w:rFonts w:hint="default" w:ascii="Times New Roman" w:hAnsi="Times New Roman" w:cs="Times New Roman"/>
                <w:bCs/>
                <w:color w:val="auto"/>
              </w:rPr>
              <w:t>排放量为0.0</w:t>
            </w:r>
            <w:r>
              <w:rPr>
                <w:rFonts w:hint="eastAsia" w:ascii="Times New Roman" w:hAnsi="Times New Roman" w:cs="Times New Roman"/>
                <w:bCs/>
                <w:color w:val="auto"/>
                <w:lang w:val="en-US" w:eastAsia="zh-CN"/>
              </w:rPr>
              <w:t>90</w:t>
            </w:r>
            <w:r>
              <w:rPr>
                <w:rFonts w:hint="default" w:ascii="Times New Roman" w:hAnsi="Times New Roman" w:cs="Times New Roman"/>
                <w:bCs/>
                <w:color w:val="auto"/>
              </w:rPr>
              <w:t>t/a；</w:t>
            </w:r>
          </w:p>
          <w:p>
            <w:pPr>
              <w:pStyle w:val="3"/>
              <w:ind w:firstLine="480" w:firstLineChars="200"/>
              <w:rPr>
                <w:rFonts w:ascii="Times New Roman" w:hAnsi="Times New Roman" w:cs="Times New Roman"/>
                <w:color w:val="auto"/>
              </w:rPr>
            </w:pPr>
            <w:r>
              <w:rPr>
                <w:rFonts w:ascii="Times New Roman" w:hAnsi="Times New Roman" w:cs="Times New Roman"/>
                <w:bCs/>
                <w:color w:val="auto"/>
              </w:rPr>
              <w:t>②</w:t>
            </w:r>
            <w:r>
              <w:rPr>
                <w:rFonts w:hint="eastAsia" w:ascii="Times New Roman" w:hAnsi="Times New Roman" w:cs="Times New Roman"/>
                <w:bCs/>
                <w:color w:val="auto"/>
              </w:rPr>
              <w:t>3#车间开花区、打包区废气</w:t>
            </w:r>
          </w:p>
          <w:p>
            <w:pPr>
              <w:spacing w:line="360" w:lineRule="auto"/>
              <w:ind w:firstLine="480" w:firstLineChars="200"/>
              <w:rPr>
                <w:rFonts w:hint="eastAsia" w:eastAsia="宋体"/>
                <w:bCs/>
                <w:color w:val="auto"/>
                <w:sz w:val="24"/>
                <w:szCs w:val="24"/>
                <w:lang w:eastAsia="zh-CN"/>
              </w:rPr>
            </w:pPr>
            <w:r>
              <w:rPr>
                <w:bCs/>
                <w:color w:val="auto"/>
                <w:sz w:val="24"/>
                <w:szCs w:val="24"/>
              </w:rPr>
              <w:t>通过调查，</w:t>
            </w:r>
            <w:r>
              <w:rPr>
                <w:color w:val="auto"/>
                <w:sz w:val="24"/>
                <w:szCs w:val="24"/>
              </w:rPr>
              <w:t>3#厂房开花区、打包区、碎布区产生的颗粒物</w:t>
            </w:r>
            <w:r>
              <w:rPr>
                <w:rFonts w:hint="eastAsia"/>
                <w:color w:val="auto"/>
                <w:sz w:val="24"/>
                <w:szCs w:val="24"/>
              </w:rPr>
              <w:t>采用“布袋除尘器”处理后引至15m高的2#排气筒排放。根据</w:t>
            </w:r>
            <w:r>
              <w:rPr>
                <w:bCs/>
                <w:color w:val="auto"/>
                <w:sz w:val="24"/>
                <w:szCs w:val="24"/>
              </w:rPr>
              <w:t>《</w:t>
            </w:r>
            <w:r>
              <w:rPr>
                <w:color w:val="auto"/>
                <w:spacing w:val="8"/>
                <w:sz w:val="24"/>
                <w:szCs w:val="24"/>
                <w:shd w:val="clear" w:color="auto" w:fill="FFFFFF"/>
              </w:rPr>
              <w:t>年产汽车零部件800万件及汽车纤维材料8000吨扩建项目</w:t>
            </w:r>
            <w:r>
              <w:rPr>
                <w:rFonts w:hint="eastAsia"/>
                <w:color w:val="auto"/>
                <w:spacing w:val="8"/>
                <w:sz w:val="24"/>
                <w:szCs w:val="24"/>
                <w:shd w:val="clear" w:color="auto" w:fill="FFFFFF"/>
              </w:rPr>
              <w:t>（一阶段）</w:t>
            </w:r>
            <w:r>
              <w:rPr>
                <w:bCs/>
                <w:color w:val="auto"/>
                <w:sz w:val="24"/>
                <w:szCs w:val="24"/>
              </w:rPr>
              <w:t>竣工环境保护验收监测报告表》</w:t>
            </w:r>
            <w:r>
              <w:rPr>
                <w:rFonts w:hint="eastAsia" w:ascii="Times New Roman" w:hAnsi="Times New Roman" w:cs="Times New Roman"/>
                <w:bCs/>
                <w:color w:val="auto"/>
                <w:sz w:val="24"/>
                <w:szCs w:val="24"/>
                <w:lang w:eastAsia="zh-CN"/>
              </w:rPr>
              <w:t>和</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pacing w:val="8"/>
                <w:sz w:val="24"/>
                <w:szCs w:val="24"/>
                <w:shd w:val="clear" w:color="auto" w:fill="FFFFFF"/>
                <w:lang w:eastAsia="zh-CN"/>
              </w:rPr>
              <w:t>年产汽车零部件800万件及汽车纤维材料8000吨扩建项目环境影响报告表</w:t>
            </w:r>
            <w:r>
              <w:rPr>
                <w:rFonts w:hint="default" w:ascii="Times New Roman" w:hAnsi="Times New Roman" w:cs="Times New Roman"/>
                <w:color w:val="auto"/>
                <w:sz w:val="24"/>
                <w:szCs w:val="24"/>
                <w:lang w:eastAsia="zh-CN"/>
              </w:rPr>
              <w:t>》</w:t>
            </w:r>
            <w:r>
              <w:rPr>
                <w:rFonts w:hint="eastAsia"/>
                <w:bCs/>
                <w:color w:val="auto"/>
                <w:sz w:val="24"/>
                <w:szCs w:val="24"/>
              </w:rPr>
              <w:t>，2#排气筒颗粒物排放浓度为17.683mg/m</w:t>
            </w:r>
            <w:r>
              <w:rPr>
                <w:rFonts w:hint="eastAsia"/>
                <w:bCs/>
                <w:color w:val="auto"/>
                <w:sz w:val="24"/>
                <w:szCs w:val="24"/>
                <w:vertAlign w:val="superscript"/>
              </w:rPr>
              <w:t>3</w:t>
            </w:r>
            <w:r>
              <w:rPr>
                <w:rFonts w:hint="eastAsia"/>
                <w:bCs/>
                <w:color w:val="auto"/>
                <w:sz w:val="24"/>
                <w:szCs w:val="24"/>
              </w:rPr>
              <w:t>，排放速率为0.617kg/h，满足重庆市</w:t>
            </w:r>
            <w:r>
              <w:rPr>
                <w:bCs/>
                <w:snapToGrid w:val="0"/>
                <w:color w:val="auto"/>
                <w:sz w:val="24"/>
                <w:szCs w:val="24"/>
              </w:rPr>
              <w:t>《</w:t>
            </w:r>
            <w:r>
              <w:rPr>
                <w:color w:val="auto"/>
                <w:sz w:val="24"/>
                <w:szCs w:val="24"/>
              </w:rPr>
              <w:t>大气污染物综合排放标准》(DB50/418－2016)</w:t>
            </w:r>
            <w:r>
              <w:rPr>
                <w:rFonts w:hint="eastAsia"/>
                <w:color w:val="auto"/>
                <w:sz w:val="24"/>
                <w:szCs w:val="24"/>
              </w:rPr>
              <w:t>的标准要求</w:t>
            </w:r>
            <w:r>
              <w:rPr>
                <w:rFonts w:hint="eastAsia"/>
                <w:color w:val="auto"/>
                <w:sz w:val="24"/>
                <w:szCs w:val="24"/>
                <w:lang w:eastAsia="zh-CN"/>
              </w:rPr>
              <w:t>，</w:t>
            </w:r>
            <w:r>
              <w:rPr>
                <w:rFonts w:hint="eastAsia"/>
                <w:bCs/>
                <w:color w:val="auto"/>
                <w:sz w:val="24"/>
                <w:szCs w:val="24"/>
                <w:lang w:val="en-US" w:eastAsia="zh-CN"/>
              </w:rPr>
              <w:t>2#排气筒颗粒物</w:t>
            </w:r>
            <w:r>
              <w:rPr>
                <w:rFonts w:hint="eastAsia"/>
                <w:bCs/>
                <w:color w:val="auto"/>
                <w:sz w:val="24"/>
                <w:szCs w:val="24"/>
              </w:rPr>
              <w:t>排放量为</w:t>
            </w:r>
            <w:r>
              <w:rPr>
                <w:rFonts w:hint="eastAsia"/>
                <w:bCs/>
                <w:color w:val="auto"/>
                <w:sz w:val="24"/>
                <w:szCs w:val="24"/>
                <w:lang w:val="en-US" w:eastAsia="zh-CN"/>
              </w:rPr>
              <w:t>0.72</w:t>
            </w:r>
            <w:r>
              <w:rPr>
                <w:rFonts w:hint="eastAsia"/>
                <w:bCs/>
                <w:color w:val="auto"/>
                <w:sz w:val="24"/>
                <w:szCs w:val="24"/>
              </w:rPr>
              <w:t>t/a</w:t>
            </w:r>
            <w:r>
              <w:rPr>
                <w:rFonts w:hint="eastAsia"/>
                <w:bCs/>
                <w:color w:val="auto"/>
                <w:sz w:val="24"/>
                <w:szCs w:val="24"/>
                <w:lang w:eastAsia="zh-CN"/>
              </w:rPr>
              <w:t>。</w:t>
            </w:r>
          </w:p>
          <w:p>
            <w:pPr>
              <w:spacing w:line="360" w:lineRule="auto"/>
              <w:ind w:firstLine="480" w:firstLineChars="200"/>
              <w:rPr>
                <w:color w:val="auto"/>
              </w:rPr>
            </w:pPr>
            <w:r>
              <w:rPr>
                <w:color w:val="auto"/>
                <w:sz w:val="24"/>
              </w:rPr>
              <w:t>③</w:t>
            </w:r>
            <w:r>
              <w:rPr>
                <w:rFonts w:hint="eastAsia"/>
                <w:color w:val="auto"/>
                <w:sz w:val="24"/>
              </w:rPr>
              <w:t>食堂废气</w:t>
            </w:r>
          </w:p>
          <w:p>
            <w:pPr>
              <w:pStyle w:val="2"/>
              <w:ind w:firstLine="480" w:firstLineChars="200"/>
              <w:rPr>
                <w:rFonts w:ascii="Times New Roman" w:hAnsi="Times New Roman" w:cs="Times New Roman"/>
                <w:color w:val="auto"/>
              </w:rPr>
            </w:pPr>
            <w:r>
              <w:rPr>
                <w:rFonts w:hint="eastAsia"/>
                <w:color w:val="auto"/>
              </w:rPr>
              <w:t>通过调查，员工食堂产生的油烟、非甲烷总烃经油烟净化器处理后引至综合楼屋顶排</w:t>
            </w:r>
            <w:r>
              <w:rPr>
                <w:rFonts w:ascii="Times New Roman" w:hAnsi="Times New Roman" w:cs="Times New Roman"/>
                <w:color w:val="auto"/>
              </w:rPr>
              <w:t>放，平均每天烹饪时间按3h计，风机风量为4000m</w:t>
            </w:r>
            <w:r>
              <w:rPr>
                <w:rFonts w:ascii="Times New Roman" w:hAnsi="Times New Roman" w:cs="Times New Roman"/>
                <w:color w:val="auto"/>
                <w:vertAlign w:val="superscript"/>
              </w:rPr>
              <w:t>3</w:t>
            </w:r>
            <w:r>
              <w:rPr>
                <w:rFonts w:ascii="Times New Roman" w:hAnsi="Times New Roman" w:cs="Times New Roman"/>
                <w:color w:val="auto"/>
              </w:rPr>
              <w:t>/h。根据</w:t>
            </w:r>
            <w:r>
              <w:rPr>
                <w:rFonts w:ascii="Times New Roman" w:hAnsi="Times New Roman" w:cs="Times New Roman"/>
                <w:bCs/>
                <w:color w:val="auto"/>
              </w:rPr>
              <w:t>《</w:t>
            </w:r>
            <w:r>
              <w:rPr>
                <w:rFonts w:ascii="Times New Roman" w:hAnsi="Times New Roman" w:cs="Times New Roman"/>
                <w:color w:val="auto"/>
                <w:spacing w:val="8"/>
                <w:shd w:val="clear" w:color="auto" w:fill="FFFFFF"/>
              </w:rPr>
              <w:t>年产汽车零部件800万件及汽车纤维材料8000吨扩建项目（一阶段）</w:t>
            </w:r>
            <w:r>
              <w:rPr>
                <w:rFonts w:ascii="Times New Roman" w:hAnsi="Times New Roman" w:cs="Times New Roman"/>
                <w:color w:val="auto"/>
              </w:rPr>
              <w:t>竣工环境保护验收监测报告表》，油烟排放浓度为0.65mg/m</w:t>
            </w:r>
            <w:r>
              <w:rPr>
                <w:rFonts w:ascii="Times New Roman" w:hAnsi="Times New Roman" w:cs="Times New Roman"/>
                <w:color w:val="auto"/>
                <w:vertAlign w:val="superscript"/>
              </w:rPr>
              <w:t>3</w:t>
            </w:r>
            <w:r>
              <w:rPr>
                <w:rFonts w:ascii="Times New Roman" w:hAnsi="Times New Roman" w:cs="Times New Roman"/>
                <w:color w:val="auto"/>
              </w:rPr>
              <w:t>,排放量为0.002t/a；非甲烷总烃排放浓度为0.036mg/m</w:t>
            </w:r>
            <w:r>
              <w:rPr>
                <w:rFonts w:ascii="Times New Roman" w:hAnsi="Times New Roman" w:cs="Times New Roman"/>
                <w:color w:val="auto"/>
                <w:vertAlign w:val="superscript"/>
              </w:rPr>
              <w:t>3</w:t>
            </w:r>
            <w:r>
              <w:rPr>
                <w:rFonts w:ascii="Times New Roman" w:hAnsi="Times New Roman" w:cs="Times New Roman"/>
                <w:color w:val="auto"/>
              </w:rPr>
              <w:t>,排放量为0.036t/a，满足《餐饮业大气污染物排放标准》（DB50/859-2018）的相关标准要求。</w:t>
            </w:r>
          </w:p>
          <w:p>
            <w:pPr>
              <w:pStyle w:val="2"/>
              <w:ind w:firstLine="480" w:firstLineChars="200"/>
              <w:rPr>
                <w:color w:val="auto"/>
              </w:rPr>
            </w:pPr>
            <w:r>
              <w:rPr>
                <w:rFonts w:hint="eastAsia"/>
                <w:color w:val="auto"/>
              </w:rPr>
              <w:t>④厂区无组织排放废气</w:t>
            </w:r>
          </w:p>
          <w:p>
            <w:pPr>
              <w:spacing w:line="360" w:lineRule="auto"/>
              <w:ind w:firstLine="480" w:firstLineChars="200"/>
              <w:rPr>
                <w:color w:val="auto"/>
                <w:sz w:val="24"/>
              </w:rPr>
            </w:pPr>
            <w:r>
              <w:rPr>
                <w:color w:val="auto"/>
                <w:sz w:val="24"/>
              </w:rPr>
              <w:t>根据</w:t>
            </w:r>
            <w:r>
              <w:rPr>
                <w:bCs/>
                <w:color w:val="auto"/>
                <w:sz w:val="24"/>
              </w:rPr>
              <w:t>《</w:t>
            </w:r>
            <w:r>
              <w:rPr>
                <w:color w:val="auto"/>
                <w:spacing w:val="8"/>
                <w:sz w:val="24"/>
                <w:shd w:val="clear" w:color="auto" w:fill="FFFFFF"/>
              </w:rPr>
              <w:t>年产汽车零部件800万件及汽车纤维材料8000吨扩建项目（一阶段）</w:t>
            </w:r>
            <w:r>
              <w:rPr>
                <w:color w:val="auto"/>
                <w:sz w:val="24"/>
              </w:rPr>
              <w:t>竣工环境保护验收监测报告表》</w:t>
            </w:r>
            <w:r>
              <w:rPr>
                <w:rFonts w:hint="eastAsia"/>
                <w:color w:val="auto"/>
                <w:sz w:val="24"/>
              </w:rPr>
              <w:t>，颗粒物无组织排放浓度为0.570mg/m</w:t>
            </w:r>
            <w:r>
              <w:rPr>
                <w:rFonts w:hint="eastAsia"/>
                <w:color w:val="auto"/>
                <w:sz w:val="24"/>
                <w:vertAlign w:val="superscript"/>
              </w:rPr>
              <w:t>3</w:t>
            </w:r>
            <w:r>
              <w:rPr>
                <w:color w:val="auto"/>
                <w:sz w:val="24"/>
              </w:rPr>
              <w:t>；非甲烷总烃无组织排放浓度为2.032mg/m</w:t>
            </w:r>
            <w:r>
              <w:rPr>
                <w:color w:val="auto"/>
                <w:sz w:val="24"/>
                <w:vertAlign w:val="superscript"/>
              </w:rPr>
              <w:t>3</w:t>
            </w:r>
            <w:r>
              <w:rPr>
                <w:bCs/>
                <w:color w:val="auto"/>
                <w:sz w:val="24"/>
              </w:rPr>
              <w:t>，满足重庆市</w:t>
            </w:r>
            <w:r>
              <w:rPr>
                <w:bCs/>
                <w:snapToGrid w:val="0"/>
                <w:color w:val="auto"/>
                <w:sz w:val="24"/>
              </w:rPr>
              <w:t>《</w:t>
            </w:r>
            <w:r>
              <w:rPr>
                <w:color w:val="auto"/>
                <w:sz w:val="24"/>
              </w:rPr>
              <w:t>大气污染物综合排放标准》(DB50/418－2016)的标准要求。</w:t>
            </w:r>
          </w:p>
          <w:p>
            <w:pPr>
              <w:adjustRightInd w:val="0"/>
              <w:snapToGrid w:val="0"/>
              <w:spacing w:line="360" w:lineRule="auto"/>
              <w:ind w:firstLine="480" w:firstLineChars="200"/>
              <w:rPr>
                <w:bCs/>
                <w:color w:val="auto"/>
                <w:sz w:val="24"/>
              </w:rPr>
            </w:pPr>
            <w:r>
              <w:rPr>
                <w:bCs/>
                <w:color w:val="auto"/>
                <w:sz w:val="24"/>
              </w:rPr>
              <w:t>（2）废水</w:t>
            </w:r>
          </w:p>
          <w:p>
            <w:pPr>
              <w:pStyle w:val="3"/>
              <w:ind w:firstLine="480" w:firstLineChars="200"/>
              <w:rPr>
                <w:rFonts w:ascii="Times New Roman" w:hAnsi="Times New Roman" w:cs="Times New Roman"/>
                <w:color w:val="auto"/>
              </w:rPr>
            </w:pPr>
            <w:r>
              <w:rPr>
                <w:rFonts w:ascii="Times New Roman" w:hAnsi="Times New Roman" w:cs="Times New Roman"/>
                <w:color w:val="auto"/>
              </w:rPr>
              <w:t>现有工程产生的废水主要为食堂废水、生活污水</w:t>
            </w:r>
            <w:r>
              <w:rPr>
                <w:rFonts w:hint="eastAsia" w:ascii="Times New Roman" w:hAnsi="Times New Roman" w:cs="Times New Roman"/>
                <w:color w:val="auto"/>
              </w:rPr>
              <w:t>，其主要污染物为COD、BOD</w:t>
            </w:r>
            <w:r>
              <w:rPr>
                <w:rFonts w:hint="eastAsia" w:ascii="Times New Roman" w:hAnsi="Times New Roman" w:cs="Times New Roman"/>
                <w:color w:val="auto"/>
                <w:vertAlign w:val="subscript"/>
              </w:rPr>
              <w:t>5</w:t>
            </w:r>
            <w:r>
              <w:rPr>
                <w:rFonts w:hint="eastAsia" w:ascii="Times New Roman" w:hAnsi="Times New Roman" w:cs="Times New Roman"/>
                <w:color w:val="auto"/>
              </w:rPr>
              <w:t>、SS、氨氮、动植物油</w:t>
            </w:r>
            <w:r>
              <w:rPr>
                <w:rFonts w:ascii="Times New Roman" w:hAnsi="Times New Roman" w:cs="Times New Roman"/>
                <w:color w:val="auto"/>
              </w:rPr>
              <w:t>。通过调查，员工食堂建有处理能力为2m</w:t>
            </w:r>
            <w:r>
              <w:rPr>
                <w:rFonts w:ascii="Times New Roman" w:hAnsi="Times New Roman" w:cs="Times New Roman"/>
                <w:color w:val="auto"/>
                <w:vertAlign w:val="superscript"/>
              </w:rPr>
              <w:t>3</w:t>
            </w:r>
            <w:r>
              <w:rPr>
                <w:rFonts w:ascii="Times New Roman" w:hAnsi="Times New Roman" w:cs="Times New Roman"/>
                <w:color w:val="auto"/>
              </w:rPr>
              <w:t>/d的隔油池、厂区东南角建有处理能力为</w:t>
            </w:r>
            <w:r>
              <w:rPr>
                <w:rFonts w:hint="eastAsia" w:ascii="Times New Roman" w:hAnsi="Times New Roman" w:cs="Times New Roman"/>
                <w:color w:val="auto"/>
              </w:rPr>
              <w:t>20</w:t>
            </w:r>
            <w:r>
              <w:rPr>
                <w:rFonts w:ascii="Times New Roman" w:hAnsi="Times New Roman" w:cs="Times New Roman"/>
                <w:color w:val="auto"/>
              </w:rPr>
              <w:t>m</w:t>
            </w:r>
            <w:r>
              <w:rPr>
                <w:rFonts w:ascii="Times New Roman" w:hAnsi="Times New Roman" w:cs="Times New Roman"/>
                <w:color w:val="auto"/>
                <w:vertAlign w:val="superscript"/>
              </w:rPr>
              <w:t>3</w:t>
            </w:r>
            <w:r>
              <w:rPr>
                <w:rFonts w:ascii="Times New Roman" w:hAnsi="Times New Roman" w:cs="Times New Roman"/>
                <w:color w:val="auto"/>
              </w:rPr>
              <w:t>/d的生化池，食堂废水经隔油处理后与生活污水进入生化池处理达三级标准后排入市政污水管网，经</w:t>
            </w:r>
            <w:r>
              <w:rPr>
                <w:rFonts w:hint="eastAsia" w:ascii="Times New Roman" w:hAnsi="Times New Roman" w:cs="Times New Roman"/>
                <w:color w:val="auto"/>
              </w:rPr>
              <w:t>东城</w:t>
            </w:r>
            <w:r>
              <w:rPr>
                <w:rFonts w:ascii="Times New Roman" w:hAnsi="Times New Roman" w:cs="Times New Roman"/>
                <w:color w:val="auto"/>
              </w:rPr>
              <w:t>污水处理厂深度处理达一级</w:t>
            </w:r>
            <w:r>
              <w:rPr>
                <w:rFonts w:hint="eastAsia" w:ascii="Times New Roman" w:hAnsi="Times New Roman" w:cs="Times New Roman"/>
                <w:color w:val="auto"/>
              </w:rPr>
              <w:t>B</w:t>
            </w:r>
            <w:r>
              <w:rPr>
                <w:rFonts w:ascii="Times New Roman" w:hAnsi="Times New Roman" w:cs="Times New Roman"/>
                <w:color w:val="auto"/>
              </w:rPr>
              <w:t>标后排入</w:t>
            </w:r>
            <w:r>
              <w:rPr>
                <w:rFonts w:hint="eastAsia" w:ascii="Times New Roman" w:hAnsi="Times New Roman" w:cs="Times New Roman"/>
                <w:color w:val="auto"/>
              </w:rPr>
              <w:t>淮远河</w:t>
            </w:r>
            <w:r>
              <w:rPr>
                <w:rFonts w:ascii="Times New Roman" w:hAnsi="Times New Roman" w:cs="Times New Roman"/>
                <w:color w:val="auto"/>
              </w:rPr>
              <w:t>。</w:t>
            </w:r>
            <w:r>
              <w:rPr>
                <w:rFonts w:hint="eastAsia" w:ascii="Times New Roman" w:hAnsi="Times New Roman" w:cs="Times New Roman"/>
                <w:color w:val="auto"/>
              </w:rPr>
              <w:t>根据</w:t>
            </w:r>
            <w:r>
              <w:rPr>
                <w:rFonts w:ascii="Times New Roman" w:hAnsi="Times New Roman" w:cs="Times New Roman"/>
                <w:bCs/>
                <w:color w:val="auto"/>
              </w:rPr>
              <w:t>《</w:t>
            </w:r>
            <w:r>
              <w:rPr>
                <w:rFonts w:ascii="Times New Roman" w:hAnsi="Times New Roman" w:cs="Times New Roman"/>
                <w:color w:val="auto"/>
                <w:spacing w:val="8"/>
                <w:shd w:val="clear" w:color="auto" w:fill="FFFFFF"/>
              </w:rPr>
              <w:t>年产汽车零部件800万件及汽车纤维材料8000吨扩建项目</w:t>
            </w:r>
            <w:r>
              <w:rPr>
                <w:rFonts w:hint="eastAsia" w:ascii="Times New Roman" w:hAnsi="Times New Roman" w:cs="Times New Roman"/>
                <w:color w:val="auto"/>
                <w:spacing w:val="8"/>
                <w:shd w:val="clear" w:color="auto" w:fill="FFFFFF"/>
              </w:rPr>
              <w:t>（一阶段）</w:t>
            </w:r>
            <w:r>
              <w:rPr>
                <w:rFonts w:ascii="Times New Roman" w:hAnsi="Times New Roman" w:cs="Times New Roman"/>
                <w:bCs/>
                <w:color w:val="auto"/>
              </w:rPr>
              <w:t>竣工环境保护验收监测报告表》</w:t>
            </w:r>
            <w:r>
              <w:rPr>
                <w:rFonts w:hint="eastAsia" w:ascii="Times New Roman" w:hAnsi="Times New Roman" w:cs="Times New Roman"/>
                <w:bCs/>
                <w:color w:val="auto"/>
              </w:rPr>
              <w:t>，厂区生化池排放口各污染物排放浓度满足</w:t>
            </w:r>
            <w:r>
              <w:rPr>
                <w:rFonts w:ascii="Times New Roman" w:hAnsi="Times New Roman" w:cs="Times New Roman"/>
                <w:color w:val="auto"/>
              </w:rPr>
              <w:t>《污水综合排放标准》（GB8978-1996）三级标准</w:t>
            </w:r>
            <w:r>
              <w:rPr>
                <w:rFonts w:hint="eastAsia" w:ascii="Times New Roman" w:hAnsi="Times New Roman" w:cs="Times New Roman"/>
                <w:color w:val="auto"/>
              </w:rPr>
              <w:t>的要求，现有工程水污染物核算见表2.1</w:t>
            </w:r>
            <w:r>
              <w:rPr>
                <w:rFonts w:hint="eastAsia" w:ascii="Times New Roman" w:hAnsi="Times New Roman" w:cs="Times New Roman"/>
                <w:color w:val="auto"/>
                <w:lang w:val="en-US" w:eastAsia="zh-CN"/>
              </w:rPr>
              <w:t>4</w:t>
            </w:r>
            <w:r>
              <w:rPr>
                <w:rFonts w:hint="eastAsia" w:ascii="Times New Roman" w:hAnsi="Times New Roman" w:cs="Times New Roman"/>
                <w:color w:val="auto"/>
              </w:rPr>
              <w:t>。</w:t>
            </w:r>
          </w:p>
          <w:p>
            <w:pPr>
              <w:spacing w:line="360" w:lineRule="auto"/>
              <w:jc w:val="center"/>
              <w:rPr>
                <w:bCs/>
                <w:snapToGrid w:val="0"/>
                <w:color w:val="auto"/>
                <w:kern w:val="0"/>
                <w:sz w:val="21"/>
                <w:szCs w:val="21"/>
              </w:rPr>
            </w:pPr>
            <w:r>
              <w:rPr>
                <w:bCs/>
                <w:snapToGrid w:val="0"/>
                <w:color w:val="auto"/>
                <w:kern w:val="0"/>
                <w:sz w:val="21"/>
                <w:szCs w:val="21"/>
              </w:rPr>
              <w:t>表2.</w:t>
            </w:r>
            <w:r>
              <w:rPr>
                <w:rFonts w:hint="eastAsia"/>
                <w:bCs/>
                <w:snapToGrid w:val="0"/>
                <w:color w:val="auto"/>
                <w:kern w:val="0"/>
                <w:sz w:val="21"/>
                <w:szCs w:val="21"/>
              </w:rPr>
              <w:t>1</w:t>
            </w:r>
            <w:r>
              <w:rPr>
                <w:rFonts w:hint="eastAsia"/>
                <w:bCs/>
                <w:snapToGrid w:val="0"/>
                <w:color w:val="auto"/>
                <w:kern w:val="0"/>
                <w:sz w:val="21"/>
                <w:szCs w:val="21"/>
                <w:lang w:val="en-US" w:eastAsia="zh-CN"/>
              </w:rPr>
              <w:t>4</w:t>
            </w:r>
            <w:r>
              <w:rPr>
                <w:bCs/>
                <w:snapToGrid w:val="0"/>
                <w:color w:val="auto"/>
                <w:kern w:val="0"/>
                <w:sz w:val="21"/>
                <w:szCs w:val="21"/>
              </w:rPr>
              <w:t xml:space="preserve"> </w:t>
            </w:r>
            <w:r>
              <w:rPr>
                <w:rFonts w:hint="eastAsia"/>
                <w:bCs/>
                <w:snapToGrid w:val="0"/>
                <w:color w:val="auto"/>
                <w:kern w:val="0"/>
                <w:sz w:val="21"/>
                <w:szCs w:val="21"/>
              </w:rPr>
              <w:t>现有工程</w:t>
            </w:r>
            <w:r>
              <w:rPr>
                <w:color w:val="auto"/>
                <w:sz w:val="21"/>
                <w:szCs w:val="21"/>
              </w:rPr>
              <w:t>水污染物核算表</w:t>
            </w:r>
          </w:p>
          <w:tbl>
            <w:tblPr>
              <w:tblStyle w:val="22"/>
              <w:tblW w:w="4995"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255"/>
              <w:gridCol w:w="1423"/>
              <w:gridCol w:w="1269"/>
              <w:gridCol w:w="1336"/>
              <w:gridCol w:w="204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617" w:type="pct"/>
                  <w:vAlign w:val="center"/>
                </w:tcPr>
                <w:p>
                  <w:pPr>
                    <w:adjustRightInd w:val="0"/>
                    <w:snapToGrid w:val="0"/>
                    <w:jc w:val="center"/>
                    <w:rPr>
                      <w:snapToGrid w:val="0"/>
                      <w:color w:val="auto"/>
                      <w:kern w:val="0"/>
                      <w:szCs w:val="21"/>
                    </w:rPr>
                  </w:pPr>
                  <w:r>
                    <w:rPr>
                      <w:snapToGrid w:val="0"/>
                      <w:color w:val="auto"/>
                      <w:kern w:val="0"/>
                      <w:szCs w:val="21"/>
                    </w:rPr>
                    <w:t>项目</w:t>
                  </w:r>
                </w:p>
              </w:tc>
              <w:tc>
                <w:tcPr>
                  <w:tcW w:w="750" w:type="pct"/>
                  <w:vAlign w:val="center"/>
                </w:tcPr>
                <w:p>
                  <w:pPr>
                    <w:adjustRightInd w:val="0"/>
                    <w:snapToGrid w:val="0"/>
                    <w:jc w:val="center"/>
                    <w:rPr>
                      <w:snapToGrid w:val="0"/>
                      <w:color w:val="auto"/>
                      <w:kern w:val="0"/>
                      <w:szCs w:val="21"/>
                    </w:rPr>
                  </w:pPr>
                  <w:r>
                    <w:rPr>
                      <w:snapToGrid w:val="0"/>
                      <w:color w:val="auto"/>
                      <w:kern w:val="0"/>
                      <w:szCs w:val="21"/>
                    </w:rPr>
                    <w:t>产生量</w:t>
                  </w:r>
                </w:p>
              </w:tc>
              <w:tc>
                <w:tcPr>
                  <w:tcW w:w="851" w:type="pct"/>
                  <w:vAlign w:val="center"/>
                </w:tcPr>
                <w:p>
                  <w:pPr>
                    <w:adjustRightInd w:val="0"/>
                    <w:snapToGrid w:val="0"/>
                    <w:jc w:val="center"/>
                    <w:rPr>
                      <w:snapToGrid w:val="0"/>
                      <w:color w:val="auto"/>
                      <w:kern w:val="0"/>
                      <w:szCs w:val="21"/>
                    </w:rPr>
                  </w:pPr>
                  <w:r>
                    <w:rPr>
                      <w:snapToGrid w:val="0"/>
                      <w:color w:val="auto"/>
                      <w:kern w:val="0"/>
                      <w:szCs w:val="21"/>
                    </w:rPr>
                    <w:t>污染物</w:t>
                  </w:r>
                </w:p>
              </w:tc>
              <w:tc>
                <w:tcPr>
                  <w:tcW w:w="759" w:type="pct"/>
                  <w:vAlign w:val="center"/>
                </w:tcPr>
                <w:p>
                  <w:pPr>
                    <w:adjustRightInd w:val="0"/>
                    <w:snapToGrid w:val="0"/>
                    <w:jc w:val="center"/>
                    <w:rPr>
                      <w:snapToGrid w:val="0"/>
                      <w:color w:val="auto"/>
                      <w:kern w:val="0"/>
                      <w:szCs w:val="21"/>
                    </w:rPr>
                  </w:pPr>
                  <w:r>
                    <w:rPr>
                      <w:snapToGrid w:val="0"/>
                      <w:color w:val="auto"/>
                      <w:kern w:val="0"/>
                      <w:szCs w:val="21"/>
                    </w:rPr>
                    <w:t>排放浓度</w:t>
                  </w:r>
                </w:p>
                <w:p>
                  <w:pPr>
                    <w:adjustRightInd w:val="0"/>
                    <w:snapToGrid w:val="0"/>
                    <w:jc w:val="center"/>
                    <w:rPr>
                      <w:snapToGrid w:val="0"/>
                      <w:color w:val="auto"/>
                      <w:kern w:val="0"/>
                      <w:szCs w:val="21"/>
                    </w:rPr>
                  </w:pPr>
                  <w:r>
                    <w:rPr>
                      <w:snapToGrid w:val="0"/>
                      <w:color w:val="auto"/>
                      <w:kern w:val="0"/>
                      <w:szCs w:val="21"/>
                    </w:rPr>
                    <w:t>mg/L</w:t>
                  </w:r>
                </w:p>
              </w:tc>
              <w:tc>
                <w:tcPr>
                  <w:tcW w:w="799" w:type="pct"/>
                  <w:vAlign w:val="center"/>
                </w:tcPr>
                <w:p>
                  <w:pPr>
                    <w:pStyle w:val="18"/>
                    <w:pBdr>
                      <w:bottom w:val="none" w:color="auto" w:sz="0" w:space="0"/>
                    </w:pBdr>
                    <w:tabs>
                      <w:tab w:val="clear" w:pos="4153"/>
                      <w:tab w:val="clear" w:pos="8306"/>
                    </w:tabs>
                    <w:adjustRightInd w:val="0"/>
                    <w:jc w:val="center"/>
                    <w:rPr>
                      <w:snapToGrid w:val="0"/>
                      <w:color w:val="auto"/>
                      <w:kern w:val="0"/>
                      <w:sz w:val="21"/>
                      <w:szCs w:val="21"/>
                    </w:rPr>
                  </w:pPr>
                  <w:r>
                    <w:rPr>
                      <w:snapToGrid w:val="0"/>
                      <w:color w:val="auto"/>
                      <w:kern w:val="0"/>
                      <w:sz w:val="21"/>
                      <w:szCs w:val="21"/>
                    </w:rPr>
                    <w:t>排放量</w:t>
                  </w:r>
                </w:p>
                <w:p>
                  <w:pPr>
                    <w:pStyle w:val="18"/>
                    <w:pBdr>
                      <w:bottom w:val="none" w:color="auto" w:sz="0" w:space="0"/>
                    </w:pBdr>
                    <w:tabs>
                      <w:tab w:val="clear" w:pos="4153"/>
                      <w:tab w:val="clear" w:pos="8306"/>
                    </w:tabs>
                    <w:adjustRightInd w:val="0"/>
                    <w:jc w:val="center"/>
                    <w:rPr>
                      <w:color w:val="auto"/>
                      <w:sz w:val="21"/>
                      <w:szCs w:val="21"/>
                    </w:rPr>
                  </w:pPr>
                  <w:r>
                    <w:rPr>
                      <w:snapToGrid w:val="0"/>
                      <w:color w:val="auto"/>
                      <w:kern w:val="0"/>
                      <w:sz w:val="21"/>
                      <w:szCs w:val="21"/>
                    </w:rPr>
                    <w:t>t/a</w:t>
                  </w:r>
                </w:p>
              </w:tc>
              <w:tc>
                <w:tcPr>
                  <w:tcW w:w="1222" w:type="pct"/>
                  <w:vAlign w:val="center"/>
                </w:tcPr>
                <w:p>
                  <w:pPr>
                    <w:adjustRightInd w:val="0"/>
                    <w:snapToGrid w:val="0"/>
                    <w:jc w:val="center"/>
                    <w:rPr>
                      <w:snapToGrid w:val="0"/>
                      <w:color w:val="auto"/>
                      <w:kern w:val="0"/>
                      <w:szCs w:val="21"/>
                    </w:rPr>
                  </w:pPr>
                  <w:r>
                    <w:rPr>
                      <w:snapToGrid w:val="0"/>
                      <w:color w:val="auto"/>
                      <w:kern w:val="0"/>
                      <w:szCs w:val="21"/>
                    </w:rPr>
                    <w:t>处理方式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617" w:type="pct"/>
                  <w:vMerge w:val="restart"/>
                  <w:vAlign w:val="center"/>
                </w:tcPr>
                <w:p>
                  <w:pPr>
                    <w:adjustRightInd w:val="0"/>
                    <w:snapToGrid w:val="0"/>
                    <w:jc w:val="center"/>
                    <w:rPr>
                      <w:bCs/>
                      <w:color w:val="auto"/>
                      <w:szCs w:val="21"/>
                    </w:rPr>
                  </w:pPr>
                  <w:r>
                    <w:rPr>
                      <w:bCs/>
                      <w:color w:val="auto"/>
                      <w:szCs w:val="21"/>
                    </w:rPr>
                    <w:t>综合废水</w:t>
                  </w:r>
                </w:p>
              </w:tc>
              <w:tc>
                <w:tcPr>
                  <w:tcW w:w="750" w:type="pct"/>
                  <w:vMerge w:val="restart"/>
                  <w:vAlign w:val="center"/>
                </w:tcPr>
                <w:p>
                  <w:pPr>
                    <w:adjustRightInd w:val="0"/>
                    <w:snapToGrid w:val="0"/>
                    <w:jc w:val="center"/>
                    <w:rPr>
                      <w:color w:val="auto"/>
                      <w:szCs w:val="21"/>
                    </w:rPr>
                  </w:pPr>
                  <w:r>
                    <w:rPr>
                      <w:rFonts w:hint="eastAsia"/>
                      <w:color w:val="auto"/>
                      <w:szCs w:val="21"/>
                    </w:rPr>
                    <w:t>2742</w:t>
                  </w:r>
                  <w:r>
                    <w:rPr>
                      <w:color w:val="auto"/>
                      <w:szCs w:val="21"/>
                    </w:rPr>
                    <w:t>m</w:t>
                  </w:r>
                  <w:r>
                    <w:rPr>
                      <w:color w:val="auto"/>
                      <w:szCs w:val="21"/>
                      <w:vertAlign w:val="superscript"/>
                    </w:rPr>
                    <w:t>3</w:t>
                  </w:r>
                  <w:r>
                    <w:rPr>
                      <w:color w:val="auto"/>
                      <w:szCs w:val="21"/>
                    </w:rPr>
                    <w:t>/a</w:t>
                  </w:r>
                </w:p>
              </w:tc>
              <w:tc>
                <w:tcPr>
                  <w:tcW w:w="851" w:type="pct"/>
                  <w:vAlign w:val="center"/>
                </w:tcPr>
                <w:p>
                  <w:pPr>
                    <w:adjustRightInd w:val="0"/>
                    <w:snapToGrid w:val="0"/>
                    <w:jc w:val="center"/>
                    <w:rPr>
                      <w:color w:val="auto"/>
                      <w:szCs w:val="21"/>
                    </w:rPr>
                  </w:pPr>
                  <w:r>
                    <w:rPr>
                      <w:color w:val="auto"/>
                      <w:szCs w:val="21"/>
                    </w:rPr>
                    <w:t>COD</w:t>
                  </w:r>
                </w:p>
              </w:tc>
              <w:tc>
                <w:tcPr>
                  <w:tcW w:w="759" w:type="pct"/>
                  <w:vAlign w:val="center"/>
                </w:tcPr>
                <w:p>
                  <w:pPr>
                    <w:adjustRightInd w:val="0"/>
                    <w:snapToGrid w:val="0"/>
                    <w:jc w:val="center"/>
                    <w:rPr>
                      <w:color w:val="auto"/>
                      <w:szCs w:val="21"/>
                    </w:rPr>
                  </w:pPr>
                  <w:r>
                    <w:rPr>
                      <w:rFonts w:hint="eastAsia"/>
                      <w:color w:val="auto"/>
                      <w:szCs w:val="21"/>
                    </w:rPr>
                    <w:t>60</w:t>
                  </w:r>
                </w:p>
              </w:tc>
              <w:tc>
                <w:tcPr>
                  <w:tcW w:w="1345" w:type="dxa"/>
                  <w:vAlign w:val="center"/>
                </w:tcPr>
                <w:p>
                  <w:pPr>
                    <w:widowControl/>
                    <w:jc w:val="center"/>
                    <w:textAlignment w:val="center"/>
                    <w:rPr>
                      <w:color w:val="auto"/>
                      <w:szCs w:val="21"/>
                    </w:rPr>
                  </w:pPr>
                  <w:r>
                    <w:rPr>
                      <w:rFonts w:hint="eastAsia"/>
                      <w:color w:val="auto"/>
                      <w:kern w:val="0"/>
                      <w:szCs w:val="21"/>
                      <w:lang w:bidi="ar"/>
                    </w:rPr>
                    <w:t>0.165</w:t>
                  </w:r>
                </w:p>
              </w:tc>
              <w:tc>
                <w:tcPr>
                  <w:tcW w:w="1222" w:type="pct"/>
                  <w:vMerge w:val="restart"/>
                  <w:vAlign w:val="center"/>
                </w:tcPr>
                <w:p>
                  <w:pPr>
                    <w:rPr>
                      <w:color w:val="auto"/>
                      <w:szCs w:val="21"/>
                    </w:rPr>
                  </w:pPr>
                  <w:r>
                    <w:rPr>
                      <w:color w:val="auto"/>
                      <w:szCs w:val="21"/>
                    </w:rPr>
                    <w:t>废水经处理后排入</w:t>
                  </w:r>
                  <w:r>
                    <w:rPr>
                      <w:rFonts w:hint="eastAsia"/>
                      <w:color w:val="auto"/>
                      <w:szCs w:val="21"/>
                    </w:rPr>
                    <w:t>东城</w:t>
                  </w:r>
                  <w:r>
                    <w:rPr>
                      <w:color w:val="auto"/>
                      <w:szCs w:val="21"/>
                    </w:rPr>
                    <w:t>污水处理厂处理达一级</w:t>
                  </w:r>
                  <w:r>
                    <w:rPr>
                      <w:rFonts w:hint="eastAsia"/>
                      <w:color w:val="auto"/>
                      <w:szCs w:val="21"/>
                    </w:rPr>
                    <w:t>B</w:t>
                  </w:r>
                  <w:r>
                    <w:rPr>
                      <w:color w:val="auto"/>
                      <w:szCs w:val="21"/>
                    </w:rPr>
                    <w:t>标后排入</w:t>
                  </w:r>
                  <w:r>
                    <w:rPr>
                      <w:rFonts w:hint="eastAsia"/>
                      <w:color w:val="auto"/>
                      <w:szCs w:val="21"/>
                    </w:rPr>
                    <w:t>淮远河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617" w:type="pct"/>
                  <w:vMerge w:val="continue"/>
                  <w:vAlign w:val="center"/>
                </w:tcPr>
                <w:p>
                  <w:pPr>
                    <w:adjustRightInd w:val="0"/>
                    <w:snapToGrid w:val="0"/>
                    <w:jc w:val="center"/>
                    <w:rPr>
                      <w:bCs/>
                      <w:color w:val="auto"/>
                      <w:szCs w:val="21"/>
                    </w:rPr>
                  </w:pPr>
                </w:p>
              </w:tc>
              <w:tc>
                <w:tcPr>
                  <w:tcW w:w="750" w:type="pct"/>
                  <w:vMerge w:val="continue"/>
                  <w:vAlign w:val="center"/>
                </w:tcPr>
                <w:p>
                  <w:pPr>
                    <w:adjustRightInd w:val="0"/>
                    <w:snapToGrid w:val="0"/>
                    <w:jc w:val="center"/>
                    <w:rPr>
                      <w:color w:val="auto"/>
                      <w:szCs w:val="21"/>
                    </w:rPr>
                  </w:pPr>
                </w:p>
              </w:tc>
              <w:tc>
                <w:tcPr>
                  <w:tcW w:w="851" w:type="pct"/>
                  <w:vAlign w:val="center"/>
                </w:tcPr>
                <w:p>
                  <w:pPr>
                    <w:adjustRightInd w:val="0"/>
                    <w:snapToGrid w:val="0"/>
                    <w:jc w:val="center"/>
                    <w:rPr>
                      <w:color w:val="auto"/>
                      <w:szCs w:val="21"/>
                    </w:rPr>
                  </w:pPr>
                  <w:r>
                    <w:rPr>
                      <w:rFonts w:hint="eastAsia"/>
                      <w:color w:val="auto"/>
                      <w:szCs w:val="21"/>
                    </w:rPr>
                    <w:t>BOD</w:t>
                  </w:r>
                  <w:r>
                    <w:rPr>
                      <w:rFonts w:hint="eastAsia"/>
                      <w:color w:val="auto"/>
                      <w:szCs w:val="21"/>
                      <w:vertAlign w:val="subscript"/>
                    </w:rPr>
                    <w:t>5</w:t>
                  </w:r>
                </w:p>
              </w:tc>
              <w:tc>
                <w:tcPr>
                  <w:tcW w:w="759" w:type="pct"/>
                  <w:vAlign w:val="center"/>
                </w:tcPr>
                <w:p>
                  <w:pPr>
                    <w:adjustRightInd w:val="0"/>
                    <w:snapToGrid w:val="0"/>
                    <w:jc w:val="center"/>
                    <w:rPr>
                      <w:color w:val="auto"/>
                      <w:szCs w:val="21"/>
                    </w:rPr>
                  </w:pPr>
                  <w:r>
                    <w:rPr>
                      <w:rFonts w:hint="eastAsia"/>
                      <w:color w:val="auto"/>
                      <w:szCs w:val="21"/>
                    </w:rPr>
                    <w:t>20</w:t>
                  </w:r>
                </w:p>
              </w:tc>
              <w:tc>
                <w:tcPr>
                  <w:tcW w:w="1345" w:type="dxa"/>
                  <w:vAlign w:val="center"/>
                </w:tcPr>
                <w:p>
                  <w:pPr>
                    <w:widowControl/>
                    <w:jc w:val="center"/>
                    <w:textAlignment w:val="center"/>
                    <w:rPr>
                      <w:color w:val="auto"/>
                      <w:szCs w:val="21"/>
                    </w:rPr>
                  </w:pPr>
                  <w:r>
                    <w:rPr>
                      <w:color w:val="auto"/>
                      <w:kern w:val="0"/>
                      <w:szCs w:val="21"/>
                      <w:lang w:bidi="ar"/>
                    </w:rPr>
                    <w:t>0.</w:t>
                  </w:r>
                  <w:r>
                    <w:rPr>
                      <w:rFonts w:hint="eastAsia"/>
                      <w:color w:val="auto"/>
                      <w:kern w:val="0"/>
                      <w:szCs w:val="21"/>
                      <w:lang w:bidi="ar"/>
                    </w:rPr>
                    <w:t>055</w:t>
                  </w:r>
                </w:p>
              </w:tc>
              <w:tc>
                <w:tcPr>
                  <w:tcW w:w="1222" w:type="pct"/>
                  <w:vMerge w:val="continue"/>
                  <w:vAlign w:val="center"/>
                </w:tcPr>
                <w:p>
                  <w:pPr>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617" w:type="pct"/>
                  <w:vMerge w:val="continue"/>
                  <w:vAlign w:val="center"/>
                </w:tcPr>
                <w:p>
                  <w:pPr>
                    <w:adjustRightInd w:val="0"/>
                    <w:snapToGrid w:val="0"/>
                    <w:jc w:val="center"/>
                    <w:rPr>
                      <w:rFonts w:ascii="宋体" w:cs="宋体"/>
                      <w:bCs/>
                      <w:color w:val="auto"/>
                      <w:szCs w:val="21"/>
                    </w:rPr>
                  </w:pPr>
                </w:p>
              </w:tc>
              <w:tc>
                <w:tcPr>
                  <w:tcW w:w="750" w:type="pct"/>
                  <w:vMerge w:val="continue"/>
                  <w:vAlign w:val="center"/>
                </w:tcPr>
                <w:p>
                  <w:pPr>
                    <w:adjustRightInd w:val="0"/>
                    <w:snapToGrid w:val="0"/>
                    <w:jc w:val="center"/>
                    <w:rPr>
                      <w:rFonts w:ascii="宋体" w:cs="宋体"/>
                      <w:color w:val="auto"/>
                      <w:szCs w:val="21"/>
                    </w:rPr>
                  </w:pPr>
                </w:p>
              </w:tc>
              <w:tc>
                <w:tcPr>
                  <w:tcW w:w="851" w:type="pct"/>
                  <w:vAlign w:val="center"/>
                </w:tcPr>
                <w:p>
                  <w:pPr>
                    <w:adjustRightInd w:val="0"/>
                    <w:snapToGrid w:val="0"/>
                    <w:jc w:val="center"/>
                    <w:rPr>
                      <w:rFonts w:ascii="宋体" w:hAnsi="宋体" w:cs="宋体"/>
                      <w:color w:val="auto"/>
                      <w:szCs w:val="21"/>
                    </w:rPr>
                  </w:pPr>
                  <w:r>
                    <w:rPr>
                      <w:rFonts w:hint="eastAsia" w:ascii="宋体" w:hAnsi="宋体" w:cs="宋体"/>
                      <w:color w:val="auto"/>
                      <w:szCs w:val="21"/>
                    </w:rPr>
                    <w:t>SS</w:t>
                  </w:r>
                </w:p>
              </w:tc>
              <w:tc>
                <w:tcPr>
                  <w:tcW w:w="759" w:type="pct"/>
                  <w:vAlign w:val="center"/>
                </w:tcPr>
                <w:p>
                  <w:pPr>
                    <w:adjustRightInd w:val="0"/>
                    <w:snapToGrid w:val="0"/>
                    <w:jc w:val="center"/>
                    <w:rPr>
                      <w:rFonts w:ascii="宋体" w:cs="宋体"/>
                      <w:color w:val="auto"/>
                      <w:szCs w:val="21"/>
                    </w:rPr>
                  </w:pPr>
                  <w:r>
                    <w:rPr>
                      <w:rFonts w:hint="eastAsia"/>
                      <w:color w:val="auto"/>
                      <w:szCs w:val="21"/>
                    </w:rPr>
                    <w:t>20</w:t>
                  </w:r>
                </w:p>
              </w:tc>
              <w:tc>
                <w:tcPr>
                  <w:tcW w:w="1345" w:type="dxa"/>
                  <w:vAlign w:val="center"/>
                </w:tcPr>
                <w:p>
                  <w:pPr>
                    <w:widowControl/>
                    <w:jc w:val="center"/>
                    <w:textAlignment w:val="center"/>
                    <w:rPr>
                      <w:color w:val="auto"/>
                      <w:szCs w:val="21"/>
                    </w:rPr>
                  </w:pPr>
                  <w:r>
                    <w:rPr>
                      <w:color w:val="auto"/>
                      <w:kern w:val="0"/>
                      <w:szCs w:val="21"/>
                      <w:lang w:bidi="ar"/>
                    </w:rPr>
                    <w:t>0.</w:t>
                  </w:r>
                  <w:r>
                    <w:rPr>
                      <w:rFonts w:hint="eastAsia"/>
                      <w:color w:val="auto"/>
                      <w:kern w:val="0"/>
                      <w:szCs w:val="21"/>
                      <w:lang w:bidi="ar"/>
                    </w:rPr>
                    <w:t>055</w:t>
                  </w:r>
                </w:p>
              </w:tc>
              <w:tc>
                <w:tcPr>
                  <w:tcW w:w="1222" w:type="pct"/>
                  <w:vMerge w:val="continue"/>
                  <w:vAlign w:val="center"/>
                </w:tcPr>
                <w:p>
                  <w:pPr>
                    <w:jc w:val="center"/>
                    <w:rPr>
                      <w:rFonts w:ascii="宋体" w:cs="宋体"/>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617" w:type="pct"/>
                  <w:vMerge w:val="continue"/>
                  <w:vAlign w:val="center"/>
                </w:tcPr>
                <w:p>
                  <w:pPr>
                    <w:adjustRightInd w:val="0"/>
                    <w:snapToGrid w:val="0"/>
                    <w:jc w:val="center"/>
                    <w:rPr>
                      <w:rFonts w:ascii="宋体" w:cs="宋体"/>
                      <w:bCs/>
                      <w:color w:val="auto"/>
                      <w:szCs w:val="21"/>
                    </w:rPr>
                  </w:pPr>
                </w:p>
              </w:tc>
              <w:tc>
                <w:tcPr>
                  <w:tcW w:w="750" w:type="pct"/>
                  <w:vMerge w:val="continue"/>
                  <w:vAlign w:val="center"/>
                </w:tcPr>
                <w:p>
                  <w:pPr>
                    <w:adjustRightInd w:val="0"/>
                    <w:snapToGrid w:val="0"/>
                    <w:jc w:val="center"/>
                    <w:rPr>
                      <w:rFonts w:ascii="宋体" w:cs="宋体"/>
                      <w:color w:val="auto"/>
                      <w:szCs w:val="21"/>
                    </w:rPr>
                  </w:pPr>
                </w:p>
              </w:tc>
              <w:tc>
                <w:tcPr>
                  <w:tcW w:w="851" w:type="pct"/>
                  <w:vAlign w:val="center"/>
                </w:tcPr>
                <w:p>
                  <w:pPr>
                    <w:adjustRightInd w:val="0"/>
                    <w:snapToGrid w:val="0"/>
                    <w:jc w:val="center"/>
                    <w:rPr>
                      <w:rFonts w:ascii="宋体" w:hAnsi="宋体" w:cs="宋体"/>
                      <w:color w:val="auto"/>
                      <w:szCs w:val="21"/>
                    </w:rPr>
                  </w:pPr>
                  <w:r>
                    <w:rPr>
                      <w:rFonts w:hint="eastAsia" w:ascii="宋体" w:hAnsi="宋体" w:cs="宋体"/>
                      <w:color w:val="auto"/>
                      <w:szCs w:val="21"/>
                    </w:rPr>
                    <w:t>氨氮</w:t>
                  </w:r>
                </w:p>
              </w:tc>
              <w:tc>
                <w:tcPr>
                  <w:tcW w:w="759" w:type="pct"/>
                  <w:vAlign w:val="center"/>
                </w:tcPr>
                <w:p>
                  <w:pPr>
                    <w:adjustRightInd w:val="0"/>
                    <w:snapToGrid w:val="0"/>
                    <w:jc w:val="center"/>
                    <w:rPr>
                      <w:rFonts w:ascii="宋体" w:cs="宋体"/>
                      <w:color w:val="auto"/>
                      <w:szCs w:val="21"/>
                    </w:rPr>
                  </w:pPr>
                  <w:r>
                    <w:rPr>
                      <w:rFonts w:hint="eastAsia"/>
                      <w:color w:val="auto"/>
                      <w:szCs w:val="21"/>
                    </w:rPr>
                    <w:t>8</w:t>
                  </w:r>
                </w:p>
              </w:tc>
              <w:tc>
                <w:tcPr>
                  <w:tcW w:w="1345" w:type="dxa"/>
                  <w:vAlign w:val="center"/>
                </w:tcPr>
                <w:p>
                  <w:pPr>
                    <w:widowControl/>
                    <w:jc w:val="center"/>
                    <w:textAlignment w:val="center"/>
                    <w:rPr>
                      <w:color w:val="auto"/>
                      <w:szCs w:val="21"/>
                    </w:rPr>
                  </w:pPr>
                  <w:r>
                    <w:rPr>
                      <w:color w:val="auto"/>
                      <w:kern w:val="0"/>
                      <w:szCs w:val="21"/>
                      <w:lang w:bidi="ar"/>
                    </w:rPr>
                    <w:t>0.0</w:t>
                  </w:r>
                  <w:r>
                    <w:rPr>
                      <w:rFonts w:hint="eastAsia"/>
                      <w:color w:val="auto"/>
                      <w:kern w:val="0"/>
                      <w:szCs w:val="21"/>
                      <w:lang w:bidi="ar"/>
                    </w:rPr>
                    <w:t>22</w:t>
                  </w:r>
                </w:p>
              </w:tc>
              <w:tc>
                <w:tcPr>
                  <w:tcW w:w="1222" w:type="pct"/>
                  <w:vMerge w:val="continue"/>
                  <w:vAlign w:val="center"/>
                </w:tcPr>
                <w:p>
                  <w:pPr>
                    <w:jc w:val="center"/>
                    <w:rPr>
                      <w:rFonts w:ascii="宋体" w:cs="宋体"/>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0" w:hRule="atLeast"/>
              </w:trPr>
              <w:tc>
                <w:tcPr>
                  <w:tcW w:w="617" w:type="pct"/>
                  <w:vMerge w:val="continue"/>
                  <w:vAlign w:val="center"/>
                </w:tcPr>
                <w:p>
                  <w:pPr>
                    <w:adjustRightInd w:val="0"/>
                    <w:snapToGrid w:val="0"/>
                    <w:jc w:val="center"/>
                    <w:rPr>
                      <w:rFonts w:ascii="宋体" w:cs="宋体"/>
                      <w:bCs/>
                      <w:color w:val="auto"/>
                      <w:szCs w:val="21"/>
                    </w:rPr>
                  </w:pPr>
                </w:p>
              </w:tc>
              <w:tc>
                <w:tcPr>
                  <w:tcW w:w="750" w:type="pct"/>
                  <w:vMerge w:val="continue"/>
                  <w:vAlign w:val="center"/>
                </w:tcPr>
                <w:p>
                  <w:pPr>
                    <w:adjustRightInd w:val="0"/>
                    <w:snapToGrid w:val="0"/>
                    <w:jc w:val="center"/>
                    <w:rPr>
                      <w:rFonts w:ascii="宋体" w:cs="宋体"/>
                      <w:color w:val="auto"/>
                      <w:szCs w:val="21"/>
                    </w:rPr>
                  </w:pPr>
                </w:p>
              </w:tc>
              <w:tc>
                <w:tcPr>
                  <w:tcW w:w="851" w:type="pct"/>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动植物油</w:t>
                  </w:r>
                </w:p>
              </w:tc>
              <w:tc>
                <w:tcPr>
                  <w:tcW w:w="759" w:type="pct"/>
                  <w:vAlign w:val="center"/>
                </w:tcPr>
                <w:p>
                  <w:pPr>
                    <w:adjustRightInd w:val="0"/>
                    <w:snapToGrid w:val="0"/>
                    <w:jc w:val="center"/>
                    <w:rPr>
                      <w:rFonts w:ascii="宋体" w:cs="宋体"/>
                      <w:color w:val="auto"/>
                      <w:szCs w:val="21"/>
                    </w:rPr>
                  </w:pPr>
                  <w:r>
                    <w:rPr>
                      <w:rFonts w:hint="eastAsia"/>
                      <w:color w:val="auto"/>
                      <w:szCs w:val="21"/>
                    </w:rPr>
                    <w:t>3</w:t>
                  </w:r>
                </w:p>
              </w:tc>
              <w:tc>
                <w:tcPr>
                  <w:tcW w:w="1345" w:type="dxa"/>
                  <w:vAlign w:val="center"/>
                </w:tcPr>
                <w:p>
                  <w:pPr>
                    <w:widowControl/>
                    <w:jc w:val="center"/>
                    <w:textAlignment w:val="center"/>
                    <w:rPr>
                      <w:color w:val="auto"/>
                      <w:szCs w:val="21"/>
                    </w:rPr>
                  </w:pPr>
                  <w:r>
                    <w:rPr>
                      <w:color w:val="auto"/>
                      <w:kern w:val="0"/>
                      <w:szCs w:val="21"/>
                      <w:lang w:bidi="ar"/>
                    </w:rPr>
                    <w:t>0.00</w:t>
                  </w:r>
                  <w:r>
                    <w:rPr>
                      <w:rFonts w:hint="eastAsia"/>
                      <w:color w:val="auto"/>
                      <w:kern w:val="0"/>
                      <w:szCs w:val="21"/>
                      <w:lang w:bidi="ar"/>
                    </w:rPr>
                    <w:t>8</w:t>
                  </w:r>
                </w:p>
              </w:tc>
              <w:tc>
                <w:tcPr>
                  <w:tcW w:w="1222" w:type="pct"/>
                  <w:vMerge w:val="continue"/>
                  <w:vAlign w:val="center"/>
                </w:tcPr>
                <w:p>
                  <w:pPr>
                    <w:jc w:val="center"/>
                    <w:rPr>
                      <w:rFonts w:ascii="宋体" w:cs="宋体"/>
                      <w:color w:val="auto"/>
                      <w:szCs w:val="21"/>
                    </w:rPr>
                  </w:pPr>
                </w:p>
              </w:tc>
            </w:tr>
          </w:tbl>
          <w:p>
            <w:pPr>
              <w:spacing w:line="460" w:lineRule="exact"/>
              <w:ind w:firstLine="480"/>
              <w:rPr>
                <w:color w:val="auto"/>
                <w:sz w:val="24"/>
              </w:rPr>
            </w:pPr>
            <w:r>
              <w:rPr>
                <w:color w:val="auto"/>
                <w:sz w:val="24"/>
              </w:rPr>
              <w:t>（3）噪声</w:t>
            </w:r>
          </w:p>
          <w:p>
            <w:pPr>
              <w:spacing w:line="440" w:lineRule="exact"/>
              <w:ind w:firstLine="480" w:firstLineChars="200"/>
              <w:jc w:val="left"/>
              <w:rPr>
                <w:color w:val="auto"/>
                <w:sz w:val="24"/>
              </w:rPr>
            </w:pPr>
            <w:r>
              <w:rPr>
                <w:color w:val="auto"/>
                <w:sz w:val="24"/>
              </w:rPr>
              <w:t>根据</w:t>
            </w:r>
            <w:r>
              <w:rPr>
                <w:bCs/>
                <w:color w:val="auto"/>
                <w:sz w:val="24"/>
              </w:rPr>
              <w:t>《</w:t>
            </w:r>
            <w:r>
              <w:rPr>
                <w:color w:val="auto"/>
                <w:spacing w:val="8"/>
                <w:sz w:val="24"/>
                <w:shd w:val="clear" w:color="auto" w:fill="FFFFFF"/>
              </w:rPr>
              <w:t>年产汽车零部件800万件及汽车纤维材料8000吨扩建项目</w:t>
            </w:r>
            <w:r>
              <w:rPr>
                <w:rFonts w:hint="eastAsia"/>
                <w:color w:val="auto"/>
                <w:spacing w:val="8"/>
                <w:sz w:val="24"/>
                <w:shd w:val="clear" w:color="auto" w:fill="FFFFFF"/>
              </w:rPr>
              <w:t>（一阶段）</w:t>
            </w:r>
            <w:r>
              <w:rPr>
                <w:bCs/>
                <w:color w:val="auto"/>
                <w:sz w:val="24"/>
              </w:rPr>
              <w:t>竣工环境保护验收监测报告表》</w:t>
            </w:r>
            <w:r>
              <w:rPr>
                <w:color w:val="auto"/>
                <w:sz w:val="24"/>
              </w:rPr>
              <w:t>，</w:t>
            </w:r>
            <w:r>
              <w:rPr>
                <w:rFonts w:hint="eastAsia"/>
                <w:color w:val="auto"/>
                <w:sz w:val="24"/>
              </w:rPr>
              <w:t>现</w:t>
            </w:r>
            <w:r>
              <w:rPr>
                <w:bCs/>
                <w:color w:val="auto"/>
                <w:sz w:val="24"/>
              </w:rPr>
              <w:t>有工程厂界噪声监测结果见表</w:t>
            </w:r>
            <w:r>
              <w:rPr>
                <w:rFonts w:hint="eastAsia"/>
                <w:bCs/>
                <w:color w:val="auto"/>
                <w:sz w:val="24"/>
              </w:rPr>
              <w:t>2.1</w:t>
            </w:r>
            <w:r>
              <w:rPr>
                <w:rFonts w:hint="eastAsia"/>
                <w:bCs/>
                <w:color w:val="auto"/>
                <w:sz w:val="24"/>
                <w:lang w:val="en-US" w:eastAsia="zh-CN"/>
              </w:rPr>
              <w:t>5</w:t>
            </w:r>
            <w:r>
              <w:rPr>
                <w:bCs/>
                <w:color w:val="auto"/>
                <w:sz w:val="24"/>
              </w:rPr>
              <w:t>。</w:t>
            </w:r>
          </w:p>
          <w:p>
            <w:pPr>
              <w:spacing w:line="440" w:lineRule="exact"/>
              <w:jc w:val="center"/>
              <w:rPr>
                <w:color w:val="auto"/>
                <w:sz w:val="21"/>
                <w:szCs w:val="21"/>
              </w:rPr>
            </w:pPr>
            <w:r>
              <w:rPr>
                <w:color w:val="auto"/>
                <w:sz w:val="21"/>
                <w:szCs w:val="21"/>
              </w:rPr>
              <w:t>表2.</w:t>
            </w:r>
            <w:r>
              <w:rPr>
                <w:rFonts w:hint="eastAsia"/>
                <w:color w:val="auto"/>
                <w:sz w:val="21"/>
                <w:szCs w:val="21"/>
              </w:rPr>
              <w:t>1</w:t>
            </w:r>
            <w:r>
              <w:rPr>
                <w:rFonts w:hint="eastAsia"/>
                <w:color w:val="auto"/>
                <w:sz w:val="21"/>
                <w:szCs w:val="21"/>
                <w:lang w:val="en-US" w:eastAsia="zh-CN"/>
              </w:rPr>
              <w:t>5</w:t>
            </w:r>
            <w:r>
              <w:rPr>
                <w:color w:val="auto"/>
                <w:sz w:val="21"/>
                <w:szCs w:val="21"/>
              </w:rPr>
              <w:t xml:space="preserve"> 现有工程厂界噪声监测结果</w:t>
            </w:r>
          </w:p>
          <w:tbl>
            <w:tblPr>
              <w:tblStyle w:val="22"/>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2354"/>
              <w:gridCol w:w="1346"/>
              <w:gridCol w:w="1349"/>
              <w:gridCol w:w="756"/>
              <w:gridCol w:w="758"/>
              <w:gridCol w:w="68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5" w:type="pct"/>
                  <w:vMerge w:val="restart"/>
                  <w:vAlign w:val="center"/>
                </w:tcPr>
                <w:p>
                  <w:pPr>
                    <w:adjustRightInd w:val="0"/>
                    <w:snapToGrid w:val="0"/>
                    <w:jc w:val="center"/>
                    <w:rPr>
                      <w:color w:val="auto"/>
                    </w:rPr>
                  </w:pPr>
                  <w:r>
                    <w:rPr>
                      <w:color w:val="auto"/>
                    </w:rPr>
                    <w:t>监测点位</w:t>
                  </w:r>
                </w:p>
              </w:tc>
              <w:tc>
                <w:tcPr>
                  <w:tcW w:w="1405" w:type="pct"/>
                  <w:vMerge w:val="restart"/>
                  <w:vAlign w:val="center"/>
                </w:tcPr>
                <w:p>
                  <w:pPr>
                    <w:adjustRightInd w:val="0"/>
                    <w:snapToGrid w:val="0"/>
                    <w:jc w:val="center"/>
                    <w:rPr>
                      <w:color w:val="auto"/>
                    </w:rPr>
                  </w:pPr>
                  <w:r>
                    <w:rPr>
                      <w:color w:val="auto"/>
                      <w:lang w:val="en-GB"/>
                    </w:rPr>
                    <w:t>监测日期</w:t>
                  </w:r>
                </w:p>
              </w:tc>
              <w:tc>
                <w:tcPr>
                  <w:tcW w:w="1610" w:type="pct"/>
                  <w:gridSpan w:val="2"/>
                  <w:vMerge w:val="restart"/>
                  <w:vAlign w:val="center"/>
                </w:tcPr>
                <w:p>
                  <w:pPr>
                    <w:adjustRightInd w:val="0"/>
                    <w:snapToGrid w:val="0"/>
                    <w:jc w:val="center"/>
                    <w:rPr>
                      <w:color w:val="auto"/>
                    </w:rPr>
                  </w:pPr>
                  <w:r>
                    <w:rPr>
                      <w:color w:val="auto"/>
                    </w:rPr>
                    <w:t>监测结果dB(A)</w:t>
                  </w:r>
                </w:p>
              </w:tc>
              <w:tc>
                <w:tcPr>
                  <w:tcW w:w="905" w:type="pct"/>
                  <w:gridSpan w:val="2"/>
                  <w:vAlign w:val="center"/>
                </w:tcPr>
                <w:p>
                  <w:pPr>
                    <w:adjustRightInd w:val="0"/>
                    <w:snapToGrid w:val="0"/>
                    <w:jc w:val="center"/>
                    <w:rPr>
                      <w:color w:val="auto"/>
                    </w:rPr>
                  </w:pPr>
                  <w:r>
                    <w:rPr>
                      <w:color w:val="auto"/>
                    </w:rPr>
                    <w:t>标准值dB(A)</w:t>
                  </w:r>
                </w:p>
              </w:tc>
              <w:tc>
                <w:tcPr>
                  <w:tcW w:w="412" w:type="pct"/>
                  <w:vMerge w:val="restart"/>
                  <w:vAlign w:val="center"/>
                </w:tcPr>
                <w:p>
                  <w:pPr>
                    <w:adjustRightInd w:val="0"/>
                    <w:snapToGrid w:val="0"/>
                    <w:jc w:val="center"/>
                    <w:rPr>
                      <w:color w:val="auto"/>
                    </w:rPr>
                  </w:pPr>
                  <w:r>
                    <w:rPr>
                      <w:color w:val="auto"/>
                    </w:rPr>
                    <w:t>达标</w:t>
                  </w:r>
                </w:p>
                <w:p>
                  <w:pPr>
                    <w:adjustRightInd w:val="0"/>
                    <w:snapToGrid w:val="0"/>
                    <w:jc w:val="center"/>
                    <w:rPr>
                      <w:color w:val="auto"/>
                    </w:rPr>
                  </w:pPr>
                  <w:r>
                    <w:rPr>
                      <w:color w:val="auto"/>
                    </w:rPr>
                    <w:t>分析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65" w:type="pct"/>
                  <w:vMerge w:val="continue"/>
                  <w:vAlign w:val="center"/>
                </w:tcPr>
                <w:p>
                  <w:pPr>
                    <w:adjustRightInd w:val="0"/>
                    <w:snapToGrid w:val="0"/>
                    <w:jc w:val="center"/>
                    <w:rPr>
                      <w:color w:val="auto"/>
                    </w:rPr>
                  </w:pPr>
                </w:p>
              </w:tc>
              <w:tc>
                <w:tcPr>
                  <w:tcW w:w="1405" w:type="pct"/>
                  <w:vMerge w:val="continue"/>
                  <w:vAlign w:val="center"/>
                </w:tcPr>
                <w:p>
                  <w:pPr>
                    <w:adjustRightInd w:val="0"/>
                    <w:snapToGrid w:val="0"/>
                    <w:jc w:val="center"/>
                    <w:rPr>
                      <w:color w:val="auto"/>
                    </w:rPr>
                  </w:pPr>
                </w:p>
              </w:tc>
              <w:tc>
                <w:tcPr>
                  <w:tcW w:w="1610" w:type="pct"/>
                  <w:gridSpan w:val="2"/>
                  <w:vMerge w:val="continue"/>
                  <w:vAlign w:val="center"/>
                </w:tcPr>
                <w:p>
                  <w:pPr>
                    <w:adjustRightInd w:val="0"/>
                    <w:snapToGrid w:val="0"/>
                    <w:jc w:val="center"/>
                    <w:rPr>
                      <w:color w:val="auto"/>
                    </w:rPr>
                  </w:pPr>
                </w:p>
              </w:tc>
              <w:tc>
                <w:tcPr>
                  <w:tcW w:w="452" w:type="pct"/>
                  <w:vMerge w:val="restart"/>
                  <w:vAlign w:val="center"/>
                </w:tcPr>
                <w:p>
                  <w:pPr>
                    <w:adjustRightInd w:val="0"/>
                    <w:snapToGrid w:val="0"/>
                    <w:jc w:val="center"/>
                    <w:rPr>
                      <w:color w:val="auto"/>
                    </w:rPr>
                  </w:pPr>
                  <w:r>
                    <w:rPr>
                      <w:color w:val="auto"/>
                    </w:rPr>
                    <w:t>昼间</w:t>
                  </w:r>
                </w:p>
              </w:tc>
              <w:tc>
                <w:tcPr>
                  <w:tcW w:w="453" w:type="pct"/>
                  <w:vMerge w:val="restart"/>
                  <w:vAlign w:val="center"/>
                </w:tcPr>
                <w:p>
                  <w:pPr>
                    <w:adjustRightInd w:val="0"/>
                    <w:snapToGrid w:val="0"/>
                    <w:jc w:val="center"/>
                    <w:rPr>
                      <w:color w:val="auto"/>
                    </w:rPr>
                  </w:pPr>
                  <w:r>
                    <w:rPr>
                      <w:color w:val="auto"/>
                    </w:rPr>
                    <w:t>夜间</w:t>
                  </w:r>
                </w:p>
              </w:tc>
              <w:tc>
                <w:tcPr>
                  <w:tcW w:w="412" w:type="pct"/>
                  <w:vMerge w:val="continue"/>
                  <w:vAlign w:val="center"/>
                </w:tcPr>
                <w:p>
                  <w:pPr>
                    <w:adjustRightInd w:val="0"/>
                    <w:snapToGrid w:val="0"/>
                    <w:jc w:val="center"/>
                    <w:rPr>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5" w:type="pct"/>
                  <w:vMerge w:val="continue"/>
                  <w:vAlign w:val="center"/>
                </w:tcPr>
                <w:p>
                  <w:pPr>
                    <w:adjustRightInd w:val="0"/>
                    <w:snapToGrid w:val="0"/>
                    <w:jc w:val="center"/>
                    <w:rPr>
                      <w:color w:val="auto"/>
                    </w:rPr>
                  </w:pPr>
                </w:p>
              </w:tc>
              <w:tc>
                <w:tcPr>
                  <w:tcW w:w="1405" w:type="pct"/>
                  <w:vMerge w:val="continue"/>
                  <w:vAlign w:val="center"/>
                </w:tcPr>
                <w:p>
                  <w:pPr>
                    <w:adjustRightInd w:val="0"/>
                    <w:snapToGrid w:val="0"/>
                    <w:jc w:val="center"/>
                    <w:rPr>
                      <w:color w:val="auto"/>
                    </w:rPr>
                  </w:pPr>
                </w:p>
              </w:tc>
              <w:tc>
                <w:tcPr>
                  <w:tcW w:w="804" w:type="pct"/>
                  <w:vAlign w:val="center"/>
                </w:tcPr>
                <w:p>
                  <w:pPr>
                    <w:adjustRightInd w:val="0"/>
                    <w:snapToGrid w:val="0"/>
                    <w:jc w:val="center"/>
                    <w:rPr>
                      <w:color w:val="auto"/>
                    </w:rPr>
                  </w:pPr>
                  <w:r>
                    <w:rPr>
                      <w:color w:val="auto"/>
                    </w:rPr>
                    <w:t>昼间</w:t>
                  </w:r>
                </w:p>
              </w:tc>
              <w:tc>
                <w:tcPr>
                  <w:tcW w:w="806" w:type="pct"/>
                  <w:vAlign w:val="center"/>
                </w:tcPr>
                <w:p>
                  <w:pPr>
                    <w:adjustRightInd w:val="0"/>
                    <w:snapToGrid w:val="0"/>
                    <w:jc w:val="center"/>
                    <w:rPr>
                      <w:color w:val="auto"/>
                    </w:rPr>
                  </w:pPr>
                  <w:r>
                    <w:rPr>
                      <w:color w:val="auto"/>
                    </w:rPr>
                    <w:t>夜间</w:t>
                  </w:r>
                </w:p>
              </w:tc>
              <w:tc>
                <w:tcPr>
                  <w:tcW w:w="452" w:type="pct"/>
                  <w:vMerge w:val="continue"/>
                  <w:vAlign w:val="center"/>
                </w:tcPr>
                <w:p>
                  <w:pPr>
                    <w:adjustRightInd w:val="0"/>
                    <w:snapToGrid w:val="0"/>
                    <w:jc w:val="center"/>
                    <w:rPr>
                      <w:color w:val="auto"/>
                    </w:rPr>
                  </w:pPr>
                </w:p>
              </w:tc>
              <w:tc>
                <w:tcPr>
                  <w:tcW w:w="453" w:type="pct"/>
                  <w:vMerge w:val="continue"/>
                </w:tcPr>
                <w:p>
                  <w:pPr>
                    <w:adjustRightInd w:val="0"/>
                    <w:snapToGrid w:val="0"/>
                    <w:jc w:val="center"/>
                    <w:rPr>
                      <w:color w:val="auto"/>
                    </w:rPr>
                  </w:pPr>
                </w:p>
              </w:tc>
              <w:tc>
                <w:tcPr>
                  <w:tcW w:w="412" w:type="pct"/>
                  <w:vMerge w:val="continue"/>
                  <w:vAlign w:val="center"/>
                </w:tcPr>
                <w:p>
                  <w:pPr>
                    <w:adjustRightInd w:val="0"/>
                    <w:snapToGrid w:val="0"/>
                    <w:jc w:val="center"/>
                    <w:rPr>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56" w:hRule="atLeast"/>
              </w:trPr>
              <w:tc>
                <w:tcPr>
                  <w:tcW w:w="665" w:type="pct"/>
                  <w:vMerge w:val="restart"/>
                  <w:vAlign w:val="center"/>
                </w:tcPr>
                <w:p>
                  <w:pPr>
                    <w:adjustRightInd w:val="0"/>
                    <w:snapToGrid w:val="0"/>
                    <w:jc w:val="center"/>
                    <w:rPr>
                      <w:color w:val="auto"/>
                    </w:rPr>
                  </w:pPr>
                  <w:r>
                    <w:rPr>
                      <w:color w:val="auto"/>
                    </w:rPr>
                    <w:t>厂界Z1</w:t>
                  </w:r>
                </w:p>
              </w:tc>
              <w:tc>
                <w:tcPr>
                  <w:tcW w:w="1405" w:type="pct"/>
                  <w:vAlign w:val="center"/>
                </w:tcPr>
                <w:p>
                  <w:pPr>
                    <w:adjustRightInd w:val="0"/>
                    <w:snapToGrid w:val="0"/>
                    <w:jc w:val="center"/>
                    <w:rPr>
                      <w:color w:val="auto"/>
                    </w:rPr>
                  </w:pPr>
                  <w:r>
                    <w:rPr>
                      <w:color w:val="auto"/>
                    </w:rPr>
                    <w:t>20</w:t>
                  </w:r>
                  <w:r>
                    <w:rPr>
                      <w:rFonts w:hint="eastAsia"/>
                      <w:color w:val="auto"/>
                    </w:rPr>
                    <w:t>21</w:t>
                  </w:r>
                  <w:r>
                    <w:rPr>
                      <w:color w:val="auto"/>
                    </w:rPr>
                    <w:t>年</w:t>
                  </w:r>
                  <w:r>
                    <w:rPr>
                      <w:rFonts w:hint="eastAsia"/>
                      <w:color w:val="auto"/>
                    </w:rPr>
                    <w:t>12</w:t>
                  </w:r>
                  <w:r>
                    <w:rPr>
                      <w:color w:val="auto"/>
                    </w:rPr>
                    <w:t>月</w:t>
                  </w:r>
                  <w:r>
                    <w:rPr>
                      <w:rFonts w:hint="eastAsia"/>
                      <w:color w:val="auto"/>
                    </w:rPr>
                    <w:t>27</w:t>
                  </w:r>
                  <w:r>
                    <w:rPr>
                      <w:color w:val="auto"/>
                    </w:rPr>
                    <w:t>日</w:t>
                  </w:r>
                </w:p>
              </w:tc>
              <w:tc>
                <w:tcPr>
                  <w:tcW w:w="804" w:type="pct"/>
                  <w:vAlign w:val="center"/>
                </w:tcPr>
                <w:p>
                  <w:pPr>
                    <w:adjustRightInd w:val="0"/>
                    <w:snapToGrid w:val="0"/>
                    <w:jc w:val="center"/>
                    <w:rPr>
                      <w:color w:val="auto"/>
                    </w:rPr>
                  </w:pPr>
                  <w:r>
                    <w:rPr>
                      <w:rFonts w:hint="eastAsia"/>
                      <w:color w:val="auto"/>
                    </w:rPr>
                    <w:t>59</w:t>
                  </w:r>
                </w:p>
              </w:tc>
              <w:tc>
                <w:tcPr>
                  <w:tcW w:w="806" w:type="pct"/>
                  <w:vAlign w:val="center"/>
                </w:tcPr>
                <w:p>
                  <w:pPr>
                    <w:adjustRightInd w:val="0"/>
                    <w:snapToGrid w:val="0"/>
                    <w:jc w:val="center"/>
                    <w:rPr>
                      <w:color w:val="auto"/>
                    </w:rPr>
                  </w:pPr>
                  <w:r>
                    <w:rPr>
                      <w:rFonts w:hint="eastAsia"/>
                      <w:color w:val="auto"/>
                    </w:rPr>
                    <w:t>49</w:t>
                  </w:r>
                </w:p>
              </w:tc>
              <w:tc>
                <w:tcPr>
                  <w:tcW w:w="452" w:type="pct"/>
                  <w:vMerge w:val="restart"/>
                  <w:vAlign w:val="center"/>
                </w:tcPr>
                <w:p>
                  <w:pPr>
                    <w:adjustRightInd w:val="0"/>
                    <w:snapToGrid w:val="0"/>
                    <w:jc w:val="center"/>
                    <w:rPr>
                      <w:color w:val="auto"/>
                    </w:rPr>
                  </w:pPr>
                  <w:r>
                    <w:rPr>
                      <w:color w:val="auto"/>
                    </w:rPr>
                    <w:t>6</w:t>
                  </w:r>
                  <w:r>
                    <w:rPr>
                      <w:rFonts w:hint="eastAsia"/>
                      <w:color w:val="auto"/>
                    </w:rPr>
                    <w:t>5</w:t>
                  </w:r>
                </w:p>
              </w:tc>
              <w:tc>
                <w:tcPr>
                  <w:tcW w:w="453" w:type="pct"/>
                  <w:vMerge w:val="restart"/>
                  <w:vAlign w:val="center"/>
                </w:tcPr>
                <w:p>
                  <w:pPr>
                    <w:adjustRightInd w:val="0"/>
                    <w:snapToGrid w:val="0"/>
                    <w:jc w:val="center"/>
                    <w:rPr>
                      <w:color w:val="auto"/>
                    </w:rPr>
                  </w:pPr>
                  <w:r>
                    <w:rPr>
                      <w:color w:val="auto"/>
                    </w:rPr>
                    <w:t>55</w:t>
                  </w:r>
                </w:p>
              </w:tc>
              <w:tc>
                <w:tcPr>
                  <w:tcW w:w="412" w:type="pct"/>
                  <w:vAlign w:val="center"/>
                </w:tcPr>
                <w:p>
                  <w:pPr>
                    <w:adjustRightInd w:val="0"/>
                    <w:snapToGrid w:val="0"/>
                    <w:jc w:val="center"/>
                    <w:rPr>
                      <w:color w:val="auto"/>
                    </w:rPr>
                  </w:pPr>
                  <w:r>
                    <w:rPr>
                      <w:color w:val="auto"/>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665" w:type="pct"/>
                  <w:vMerge w:val="continue"/>
                  <w:vAlign w:val="center"/>
                </w:tcPr>
                <w:p>
                  <w:pPr>
                    <w:adjustRightInd w:val="0"/>
                    <w:snapToGrid w:val="0"/>
                    <w:jc w:val="center"/>
                    <w:rPr>
                      <w:color w:val="auto"/>
                    </w:rPr>
                  </w:pPr>
                </w:p>
              </w:tc>
              <w:tc>
                <w:tcPr>
                  <w:tcW w:w="1405" w:type="pct"/>
                  <w:vAlign w:val="center"/>
                </w:tcPr>
                <w:p>
                  <w:pPr>
                    <w:adjustRightInd w:val="0"/>
                    <w:snapToGrid w:val="0"/>
                    <w:jc w:val="center"/>
                    <w:rPr>
                      <w:color w:val="auto"/>
                    </w:rPr>
                  </w:pPr>
                  <w:r>
                    <w:rPr>
                      <w:color w:val="auto"/>
                    </w:rPr>
                    <w:t>20</w:t>
                  </w:r>
                  <w:r>
                    <w:rPr>
                      <w:rFonts w:hint="eastAsia"/>
                      <w:color w:val="auto"/>
                    </w:rPr>
                    <w:t>21</w:t>
                  </w:r>
                  <w:r>
                    <w:rPr>
                      <w:color w:val="auto"/>
                    </w:rPr>
                    <w:t>年</w:t>
                  </w:r>
                  <w:r>
                    <w:rPr>
                      <w:rFonts w:hint="eastAsia"/>
                      <w:color w:val="auto"/>
                    </w:rPr>
                    <w:t>12</w:t>
                  </w:r>
                  <w:r>
                    <w:rPr>
                      <w:color w:val="auto"/>
                    </w:rPr>
                    <w:t>月</w:t>
                  </w:r>
                  <w:r>
                    <w:rPr>
                      <w:rFonts w:hint="eastAsia"/>
                      <w:color w:val="auto"/>
                    </w:rPr>
                    <w:t>28</w:t>
                  </w:r>
                  <w:r>
                    <w:rPr>
                      <w:color w:val="auto"/>
                    </w:rPr>
                    <w:t>日</w:t>
                  </w:r>
                </w:p>
              </w:tc>
              <w:tc>
                <w:tcPr>
                  <w:tcW w:w="804" w:type="pct"/>
                  <w:vAlign w:val="center"/>
                </w:tcPr>
                <w:p>
                  <w:pPr>
                    <w:adjustRightInd w:val="0"/>
                    <w:snapToGrid w:val="0"/>
                    <w:jc w:val="center"/>
                    <w:rPr>
                      <w:color w:val="auto"/>
                    </w:rPr>
                  </w:pPr>
                  <w:r>
                    <w:rPr>
                      <w:rFonts w:hint="eastAsia"/>
                      <w:color w:val="auto"/>
                    </w:rPr>
                    <w:t>59</w:t>
                  </w:r>
                </w:p>
              </w:tc>
              <w:tc>
                <w:tcPr>
                  <w:tcW w:w="806" w:type="pct"/>
                  <w:vAlign w:val="center"/>
                </w:tcPr>
                <w:p>
                  <w:pPr>
                    <w:adjustRightInd w:val="0"/>
                    <w:snapToGrid w:val="0"/>
                    <w:jc w:val="center"/>
                    <w:rPr>
                      <w:color w:val="auto"/>
                    </w:rPr>
                  </w:pPr>
                  <w:r>
                    <w:rPr>
                      <w:rFonts w:hint="eastAsia"/>
                      <w:color w:val="auto"/>
                    </w:rPr>
                    <w:t>49</w:t>
                  </w:r>
                </w:p>
              </w:tc>
              <w:tc>
                <w:tcPr>
                  <w:tcW w:w="452" w:type="pct"/>
                  <w:vMerge w:val="continue"/>
                  <w:vAlign w:val="center"/>
                </w:tcPr>
                <w:p>
                  <w:pPr>
                    <w:adjustRightInd w:val="0"/>
                    <w:snapToGrid w:val="0"/>
                    <w:jc w:val="center"/>
                    <w:rPr>
                      <w:color w:val="auto"/>
                    </w:rPr>
                  </w:pPr>
                </w:p>
              </w:tc>
              <w:tc>
                <w:tcPr>
                  <w:tcW w:w="453" w:type="pct"/>
                  <w:vMerge w:val="continue"/>
                  <w:vAlign w:val="center"/>
                </w:tcPr>
                <w:p>
                  <w:pPr>
                    <w:adjustRightInd w:val="0"/>
                    <w:snapToGrid w:val="0"/>
                    <w:jc w:val="center"/>
                    <w:rPr>
                      <w:color w:val="auto"/>
                    </w:rPr>
                  </w:pPr>
                </w:p>
              </w:tc>
              <w:tc>
                <w:tcPr>
                  <w:tcW w:w="412" w:type="pct"/>
                  <w:vAlign w:val="center"/>
                </w:tcPr>
                <w:p>
                  <w:pPr>
                    <w:adjustRightInd w:val="0"/>
                    <w:snapToGrid w:val="0"/>
                    <w:jc w:val="center"/>
                    <w:rPr>
                      <w:color w:val="auto"/>
                    </w:rPr>
                  </w:pPr>
                  <w:r>
                    <w:rPr>
                      <w:color w:val="auto"/>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665" w:type="pct"/>
                  <w:vMerge w:val="restart"/>
                  <w:vAlign w:val="center"/>
                </w:tcPr>
                <w:p>
                  <w:pPr>
                    <w:adjustRightInd w:val="0"/>
                    <w:snapToGrid w:val="0"/>
                    <w:jc w:val="center"/>
                    <w:rPr>
                      <w:color w:val="auto"/>
                    </w:rPr>
                  </w:pPr>
                  <w:r>
                    <w:rPr>
                      <w:color w:val="auto"/>
                    </w:rPr>
                    <w:t>厂界Z2</w:t>
                  </w:r>
                </w:p>
              </w:tc>
              <w:tc>
                <w:tcPr>
                  <w:tcW w:w="1405" w:type="pct"/>
                  <w:vAlign w:val="center"/>
                </w:tcPr>
                <w:p>
                  <w:pPr>
                    <w:adjustRightInd w:val="0"/>
                    <w:snapToGrid w:val="0"/>
                    <w:jc w:val="center"/>
                    <w:rPr>
                      <w:color w:val="auto"/>
                    </w:rPr>
                  </w:pPr>
                  <w:r>
                    <w:rPr>
                      <w:color w:val="auto"/>
                    </w:rPr>
                    <w:t>20</w:t>
                  </w:r>
                  <w:r>
                    <w:rPr>
                      <w:rFonts w:hint="eastAsia"/>
                      <w:color w:val="auto"/>
                    </w:rPr>
                    <w:t>21</w:t>
                  </w:r>
                  <w:r>
                    <w:rPr>
                      <w:color w:val="auto"/>
                    </w:rPr>
                    <w:t>年</w:t>
                  </w:r>
                  <w:r>
                    <w:rPr>
                      <w:rFonts w:hint="eastAsia"/>
                      <w:color w:val="auto"/>
                    </w:rPr>
                    <w:t>12</w:t>
                  </w:r>
                  <w:r>
                    <w:rPr>
                      <w:color w:val="auto"/>
                    </w:rPr>
                    <w:t>月</w:t>
                  </w:r>
                  <w:r>
                    <w:rPr>
                      <w:rFonts w:hint="eastAsia"/>
                      <w:color w:val="auto"/>
                    </w:rPr>
                    <w:t>27</w:t>
                  </w:r>
                  <w:r>
                    <w:rPr>
                      <w:color w:val="auto"/>
                    </w:rPr>
                    <w:t>日</w:t>
                  </w:r>
                </w:p>
              </w:tc>
              <w:tc>
                <w:tcPr>
                  <w:tcW w:w="804" w:type="pct"/>
                  <w:vAlign w:val="center"/>
                </w:tcPr>
                <w:p>
                  <w:pPr>
                    <w:adjustRightInd w:val="0"/>
                    <w:snapToGrid w:val="0"/>
                    <w:jc w:val="center"/>
                    <w:rPr>
                      <w:color w:val="auto"/>
                    </w:rPr>
                  </w:pPr>
                  <w:r>
                    <w:rPr>
                      <w:rFonts w:hint="eastAsia"/>
                      <w:color w:val="auto"/>
                    </w:rPr>
                    <w:t>59</w:t>
                  </w:r>
                </w:p>
              </w:tc>
              <w:tc>
                <w:tcPr>
                  <w:tcW w:w="806" w:type="pct"/>
                  <w:vAlign w:val="center"/>
                </w:tcPr>
                <w:p>
                  <w:pPr>
                    <w:adjustRightInd w:val="0"/>
                    <w:snapToGrid w:val="0"/>
                    <w:jc w:val="center"/>
                    <w:rPr>
                      <w:color w:val="auto"/>
                    </w:rPr>
                  </w:pPr>
                  <w:r>
                    <w:rPr>
                      <w:rFonts w:hint="eastAsia"/>
                      <w:color w:val="auto"/>
                    </w:rPr>
                    <w:t>49</w:t>
                  </w:r>
                </w:p>
              </w:tc>
              <w:tc>
                <w:tcPr>
                  <w:tcW w:w="452" w:type="pct"/>
                  <w:vMerge w:val="continue"/>
                  <w:vAlign w:val="center"/>
                </w:tcPr>
                <w:p>
                  <w:pPr>
                    <w:adjustRightInd w:val="0"/>
                    <w:snapToGrid w:val="0"/>
                    <w:jc w:val="center"/>
                    <w:rPr>
                      <w:color w:val="auto"/>
                    </w:rPr>
                  </w:pPr>
                </w:p>
              </w:tc>
              <w:tc>
                <w:tcPr>
                  <w:tcW w:w="453" w:type="pct"/>
                  <w:vMerge w:val="continue"/>
                  <w:vAlign w:val="center"/>
                </w:tcPr>
                <w:p>
                  <w:pPr>
                    <w:adjustRightInd w:val="0"/>
                    <w:snapToGrid w:val="0"/>
                    <w:jc w:val="center"/>
                    <w:rPr>
                      <w:color w:val="auto"/>
                    </w:rPr>
                  </w:pPr>
                </w:p>
              </w:tc>
              <w:tc>
                <w:tcPr>
                  <w:tcW w:w="412" w:type="pct"/>
                  <w:vAlign w:val="center"/>
                </w:tcPr>
                <w:p>
                  <w:pPr>
                    <w:adjustRightInd w:val="0"/>
                    <w:snapToGrid w:val="0"/>
                    <w:jc w:val="center"/>
                    <w:rPr>
                      <w:color w:val="auto"/>
                    </w:rPr>
                  </w:pPr>
                  <w:r>
                    <w:rPr>
                      <w:color w:val="auto"/>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665" w:type="pct"/>
                  <w:vMerge w:val="continue"/>
                  <w:vAlign w:val="center"/>
                </w:tcPr>
                <w:p>
                  <w:pPr>
                    <w:adjustRightInd w:val="0"/>
                    <w:snapToGrid w:val="0"/>
                    <w:jc w:val="center"/>
                    <w:rPr>
                      <w:color w:val="auto"/>
                    </w:rPr>
                  </w:pPr>
                </w:p>
              </w:tc>
              <w:tc>
                <w:tcPr>
                  <w:tcW w:w="1405" w:type="pct"/>
                  <w:vAlign w:val="center"/>
                </w:tcPr>
                <w:p>
                  <w:pPr>
                    <w:adjustRightInd w:val="0"/>
                    <w:snapToGrid w:val="0"/>
                    <w:jc w:val="center"/>
                    <w:rPr>
                      <w:color w:val="auto"/>
                    </w:rPr>
                  </w:pPr>
                  <w:r>
                    <w:rPr>
                      <w:color w:val="auto"/>
                    </w:rPr>
                    <w:t>20</w:t>
                  </w:r>
                  <w:r>
                    <w:rPr>
                      <w:rFonts w:hint="eastAsia"/>
                      <w:color w:val="auto"/>
                    </w:rPr>
                    <w:t>21</w:t>
                  </w:r>
                  <w:r>
                    <w:rPr>
                      <w:color w:val="auto"/>
                    </w:rPr>
                    <w:t>年</w:t>
                  </w:r>
                  <w:r>
                    <w:rPr>
                      <w:rFonts w:hint="eastAsia"/>
                      <w:color w:val="auto"/>
                    </w:rPr>
                    <w:t>12</w:t>
                  </w:r>
                  <w:r>
                    <w:rPr>
                      <w:color w:val="auto"/>
                    </w:rPr>
                    <w:t>月</w:t>
                  </w:r>
                  <w:r>
                    <w:rPr>
                      <w:rFonts w:hint="eastAsia"/>
                      <w:color w:val="auto"/>
                    </w:rPr>
                    <w:t>28</w:t>
                  </w:r>
                  <w:r>
                    <w:rPr>
                      <w:color w:val="auto"/>
                    </w:rPr>
                    <w:t>日</w:t>
                  </w:r>
                </w:p>
              </w:tc>
              <w:tc>
                <w:tcPr>
                  <w:tcW w:w="804" w:type="pct"/>
                  <w:vAlign w:val="center"/>
                </w:tcPr>
                <w:p>
                  <w:pPr>
                    <w:adjustRightInd w:val="0"/>
                    <w:snapToGrid w:val="0"/>
                    <w:jc w:val="center"/>
                    <w:rPr>
                      <w:color w:val="auto"/>
                    </w:rPr>
                  </w:pPr>
                  <w:r>
                    <w:rPr>
                      <w:rFonts w:hint="eastAsia"/>
                      <w:color w:val="auto"/>
                    </w:rPr>
                    <w:t>59</w:t>
                  </w:r>
                </w:p>
              </w:tc>
              <w:tc>
                <w:tcPr>
                  <w:tcW w:w="806" w:type="pct"/>
                  <w:vAlign w:val="center"/>
                </w:tcPr>
                <w:p>
                  <w:pPr>
                    <w:adjustRightInd w:val="0"/>
                    <w:snapToGrid w:val="0"/>
                    <w:jc w:val="center"/>
                    <w:rPr>
                      <w:color w:val="auto"/>
                    </w:rPr>
                  </w:pPr>
                  <w:r>
                    <w:rPr>
                      <w:rFonts w:hint="eastAsia"/>
                      <w:color w:val="auto"/>
                    </w:rPr>
                    <w:t>50</w:t>
                  </w:r>
                </w:p>
              </w:tc>
              <w:tc>
                <w:tcPr>
                  <w:tcW w:w="452" w:type="pct"/>
                  <w:vMerge w:val="continue"/>
                  <w:vAlign w:val="center"/>
                </w:tcPr>
                <w:p>
                  <w:pPr>
                    <w:adjustRightInd w:val="0"/>
                    <w:snapToGrid w:val="0"/>
                    <w:jc w:val="center"/>
                    <w:rPr>
                      <w:color w:val="auto"/>
                    </w:rPr>
                  </w:pPr>
                </w:p>
              </w:tc>
              <w:tc>
                <w:tcPr>
                  <w:tcW w:w="453" w:type="pct"/>
                  <w:vMerge w:val="continue"/>
                  <w:vAlign w:val="center"/>
                </w:tcPr>
                <w:p>
                  <w:pPr>
                    <w:adjustRightInd w:val="0"/>
                    <w:snapToGrid w:val="0"/>
                    <w:jc w:val="center"/>
                    <w:rPr>
                      <w:color w:val="auto"/>
                    </w:rPr>
                  </w:pPr>
                </w:p>
              </w:tc>
              <w:tc>
                <w:tcPr>
                  <w:tcW w:w="412" w:type="pct"/>
                  <w:vAlign w:val="center"/>
                </w:tcPr>
                <w:p>
                  <w:pPr>
                    <w:adjustRightInd w:val="0"/>
                    <w:snapToGrid w:val="0"/>
                    <w:jc w:val="center"/>
                    <w:rPr>
                      <w:color w:val="auto"/>
                    </w:rPr>
                  </w:pPr>
                  <w:r>
                    <w:rPr>
                      <w:color w:val="auto"/>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665" w:type="pct"/>
                  <w:vMerge w:val="restart"/>
                  <w:vAlign w:val="center"/>
                </w:tcPr>
                <w:p>
                  <w:pPr>
                    <w:adjustRightInd w:val="0"/>
                    <w:snapToGrid w:val="0"/>
                    <w:jc w:val="center"/>
                    <w:rPr>
                      <w:color w:val="auto"/>
                    </w:rPr>
                  </w:pPr>
                  <w:r>
                    <w:rPr>
                      <w:color w:val="auto"/>
                    </w:rPr>
                    <w:t>厂界Z3</w:t>
                  </w:r>
                </w:p>
              </w:tc>
              <w:tc>
                <w:tcPr>
                  <w:tcW w:w="1405" w:type="pct"/>
                  <w:vAlign w:val="center"/>
                </w:tcPr>
                <w:p>
                  <w:pPr>
                    <w:adjustRightInd w:val="0"/>
                    <w:snapToGrid w:val="0"/>
                    <w:jc w:val="center"/>
                    <w:rPr>
                      <w:color w:val="auto"/>
                    </w:rPr>
                  </w:pPr>
                  <w:r>
                    <w:rPr>
                      <w:color w:val="auto"/>
                    </w:rPr>
                    <w:t>20</w:t>
                  </w:r>
                  <w:r>
                    <w:rPr>
                      <w:rFonts w:hint="eastAsia"/>
                      <w:color w:val="auto"/>
                    </w:rPr>
                    <w:t>21</w:t>
                  </w:r>
                  <w:r>
                    <w:rPr>
                      <w:color w:val="auto"/>
                    </w:rPr>
                    <w:t>年</w:t>
                  </w:r>
                  <w:r>
                    <w:rPr>
                      <w:rFonts w:hint="eastAsia"/>
                      <w:color w:val="auto"/>
                    </w:rPr>
                    <w:t>12</w:t>
                  </w:r>
                  <w:r>
                    <w:rPr>
                      <w:color w:val="auto"/>
                    </w:rPr>
                    <w:t>月</w:t>
                  </w:r>
                  <w:r>
                    <w:rPr>
                      <w:rFonts w:hint="eastAsia"/>
                      <w:color w:val="auto"/>
                    </w:rPr>
                    <w:t>27</w:t>
                  </w:r>
                  <w:r>
                    <w:rPr>
                      <w:color w:val="auto"/>
                    </w:rPr>
                    <w:t>日</w:t>
                  </w:r>
                </w:p>
              </w:tc>
              <w:tc>
                <w:tcPr>
                  <w:tcW w:w="804" w:type="pct"/>
                  <w:vAlign w:val="center"/>
                </w:tcPr>
                <w:p>
                  <w:pPr>
                    <w:adjustRightInd w:val="0"/>
                    <w:snapToGrid w:val="0"/>
                    <w:jc w:val="center"/>
                    <w:rPr>
                      <w:color w:val="auto"/>
                    </w:rPr>
                  </w:pPr>
                  <w:r>
                    <w:rPr>
                      <w:rFonts w:hint="eastAsia"/>
                      <w:color w:val="auto"/>
                    </w:rPr>
                    <w:t>60</w:t>
                  </w:r>
                </w:p>
              </w:tc>
              <w:tc>
                <w:tcPr>
                  <w:tcW w:w="806" w:type="pct"/>
                  <w:vAlign w:val="center"/>
                </w:tcPr>
                <w:p>
                  <w:pPr>
                    <w:adjustRightInd w:val="0"/>
                    <w:snapToGrid w:val="0"/>
                    <w:jc w:val="center"/>
                    <w:rPr>
                      <w:color w:val="auto"/>
                    </w:rPr>
                  </w:pPr>
                  <w:r>
                    <w:rPr>
                      <w:rFonts w:hint="eastAsia"/>
                      <w:color w:val="auto"/>
                    </w:rPr>
                    <w:t>50</w:t>
                  </w:r>
                </w:p>
              </w:tc>
              <w:tc>
                <w:tcPr>
                  <w:tcW w:w="452" w:type="pct"/>
                  <w:vMerge w:val="continue"/>
                  <w:vAlign w:val="center"/>
                </w:tcPr>
                <w:p>
                  <w:pPr>
                    <w:adjustRightInd w:val="0"/>
                    <w:snapToGrid w:val="0"/>
                    <w:jc w:val="center"/>
                    <w:rPr>
                      <w:color w:val="auto"/>
                    </w:rPr>
                  </w:pPr>
                </w:p>
              </w:tc>
              <w:tc>
                <w:tcPr>
                  <w:tcW w:w="453" w:type="pct"/>
                  <w:vMerge w:val="continue"/>
                  <w:vAlign w:val="center"/>
                </w:tcPr>
                <w:p>
                  <w:pPr>
                    <w:adjustRightInd w:val="0"/>
                    <w:snapToGrid w:val="0"/>
                    <w:jc w:val="center"/>
                    <w:rPr>
                      <w:color w:val="auto"/>
                    </w:rPr>
                  </w:pPr>
                </w:p>
              </w:tc>
              <w:tc>
                <w:tcPr>
                  <w:tcW w:w="412" w:type="pct"/>
                  <w:vAlign w:val="center"/>
                </w:tcPr>
                <w:p>
                  <w:pPr>
                    <w:adjustRightInd w:val="0"/>
                    <w:snapToGrid w:val="0"/>
                    <w:jc w:val="center"/>
                    <w:rPr>
                      <w:color w:val="auto"/>
                    </w:rPr>
                  </w:pPr>
                  <w:r>
                    <w:rPr>
                      <w:color w:val="auto"/>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665" w:type="pct"/>
                  <w:vMerge w:val="continue"/>
                  <w:vAlign w:val="center"/>
                </w:tcPr>
                <w:p>
                  <w:pPr>
                    <w:adjustRightInd w:val="0"/>
                    <w:snapToGrid w:val="0"/>
                    <w:jc w:val="center"/>
                    <w:rPr>
                      <w:color w:val="auto"/>
                    </w:rPr>
                  </w:pPr>
                </w:p>
              </w:tc>
              <w:tc>
                <w:tcPr>
                  <w:tcW w:w="1405" w:type="pct"/>
                  <w:vAlign w:val="center"/>
                </w:tcPr>
                <w:p>
                  <w:pPr>
                    <w:adjustRightInd w:val="0"/>
                    <w:snapToGrid w:val="0"/>
                    <w:jc w:val="center"/>
                    <w:rPr>
                      <w:color w:val="auto"/>
                    </w:rPr>
                  </w:pPr>
                  <w:r>
                    <w:rPr>
                      <w:color w:val="auto"/>
                    </w:rPr>
                    <w:t>20</w:t>
                  </w:r>
                  <w:r>
                    <w:rPr>
                      <w:rFonts w:hint="eastAsia"/>
                      <w:color w:val="auto"/>
                    </w:rPr>
                    <w:t>21</w:t>
                  </w:r>
                  <w:r>
                    <w:rPr>
                      <w:color w:val="auto"/>
                    </w:rPr>
                    <w:t>年</w:t>
                  </w:r>
                  <w:r>
                    <w:rPr>
                      <w:rFonts w:hint="eastAsia"/>
                      <w:color w:val="auto"/>
                    </w:rPr>
                    <w:t>12</w:t>
                  </w:r>
                  <w:r>
                    <w:rPr>
                      <w:color w:val="auto"/>
                    </w:rPr>
                    <w:t>月</w:t>
                  </w:r>
                  <w:r>
                    <w:rPr>
                      <w:rFonts w:hint="eastAsia"/>
                      <w:color w:val="auto"/>
                    </w:rPr>
                    <w:t>28</w:t>
                  </w:r>
                  <w:r>
                    <w:rPr>
                      <w:color w:val="auto"/>
                    </w:rPr>
                    <w:t>日</w:t>
                  </w:r>
                </w:p>
              </w:tc>
              <w:tc>
                <w:tcPr>
                  <w:tcW w:w="804" w:type="pct"/>
                  <w:vAlign w:val="center"/>
                </w:tcPr>
                <w:p>
                  <w:pPr>
                    <w:adjustRightInd w:val="0"/>
                    <w:snapToGrid w:val="0"/>
                    <w:jc w:val="center"/>
                    <w:rPr>
                      <w:color w:val="auto"/>
                    </w:rPr>
                  </w:pPr>
                  <w:r>
                    <w:rPr>
                      <w:rFonts w:hint="eastAsia"/>
                      <w:color w:val="auto"/>
                    </w:rPr>
                    <w:t>60</w:t>
                  </w:r>
                </w:p>
              </w:tc>
              <w:tc>
                <w:tcPr>
                  <w:tcW w:w="806" w:type="pct"/>
                  <w:vAlign w:val="center"/>
                </w:tcPr>
                <w:p>
                  <w:pPr>
                    <w:adjustRightInd w:val="0"/>
                    <w:snapToGrid w:val="0"/>
                    <w:jc w:val="center"/>
                    <w:rPr>
                      <w:color w:val="auto"/>
                    </w:rPr>
                  </w:pPr>
                  <w:r>
                    <w:rPr>
                      <w:rFonts w:hint="eastAsia"/>
                      <w:color w:val="auto"/>
                    </w:rPr>
                    <w:t>50</w:t>
                  </w:r>
                </w:p>
              </w:tc>
              <w:tc>
                <w:tcPr>
                  <w:tcW w:w="452" w:type="pct"/>
                  <w:vMerge w:val="continue"/>
                  <w:vAlign w:val="center"/>
                </w:tcPr>
                <w:p>
                  <w:pPr>
                    <w:adjustRightInd w:val="0"/>
                    <w:snapToGrid w:val="0"/>
                    <w:jc w:val="center"/>
                    <w:rPr>
                      <w:color w:val="auto"/>
                    </w:rPr>
                  </w:pPr>
                </w:p>
              </w:tc>
              <w:tc>
                <w:tcPr>
                  <w:tcW w:w="453" w:type="pct"/>
                  <w:vMerge w:val="continue"/>
                  <w:vAlign w:val="center"/>
                </w:tcPr>
                <w:p>
                  <w:pPr>
                    <w:adjustRightInd w:val="0"/>
                    <w:snapToGrid w:val="0"/>
                    <w:jc w:val="center"/>
                    <w:rPr>
                      <w:color w:val="auto"/>
                    </w:rPr>
                  </w:pPr>
                </w:p>
              </w:tc>
              <w:tc>
                <w:tcPr>
                  <w:tcW w:w="412" w:type="pct"/>
                  <w:vAlign w:val="center"/>
                </w:tcPr>
                <w:p>
                  <w:pPr>
                    <w:adjustRightInd w:val="0"/>
                    <w:snapToGrid w:val="0"/>
                    <w:jc w:val="center"/>
                    <w:rPr>
                      <w:color w:val="auto"/>
                    </w:rPr>
                  </w:pPr>
                  <w:r>
                    <w:rPr>
                      <w:color w:val="auto"/>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665" w:type="pct"/>
                  <w:vMerge w:val="restart"/>
                  <w:vAlign w:val="center"/>
                </w:tcPr>
                <w:p>
                  <w:pPr>
                    <w:adjustRightInd w:val="0"/>
                    <w:snapToGrid w:val="0"/>
                    <w:jc w:val="center"/>
                    <w:rPr>
                      <w:color w:val="auto"/>
                    </w:rPr>
                  </w:pPr>
                  <w:r>
                    <w:rPr>
                      <w:color w:val="auto"/>
                    </w:rPr>
                    <w:t>厂界Z4</w:t>
                  </w:r>
                </w:p>
              </w:tc>
              <w:tc>
                <w:tcPr>
                  <w:tcW w:w="1405" w:type="pct"/>
                  <w:vAlign w:val="center"/>
                </w:tcPr>
                <w:p>
                  <w:pPr>
                    <w:adjustRightInd w:val="0"/>
                    <w:snapToGrid w:val="0"/>
                    <w:jc w:val="center"/>
                    <w:rPr>
                      <w:color w:val="auto"/>
                    </w:rPr>
                  </w:pPr>
                  <w:r>
                    <w:rPr>
                      <w:color w:val="auto"/>
                    </w:rPr>
                    <w:t>20</w:t>
                  </w:r>
                  <w:r>
                    <w:rPr>
                      <w:rFonts w:hint="eastAsia"/>
                      <w:color w:val="auto"/>
                    </w:rPr>
                    <w:t>21</w:t>
                  </w:r>
                  <w:r>
                    <w:rPr>
                      <w:color w:val="auto"/>
                    </w:rPr>
                    <w:t>年</w:t>
                  </w:r>
                  <w:r>
                    <w:rPr>
                      <w:rFonts w:hint="eastAsia"/>
                      <w:color w:val="auto"/>
                    </w:rPr>
                    <w:t>12</w:t>
                  </w:r>
                  <w:r>
                    <w:rPr>
                      <w:color w:val="auto"/>
                    </w:rPr>
                    <w:t>月</w:t>
                  </w:r>
                  <w:r>
                    <w:rPr>
                      <w:rFonts w:hint="eastAsia"/>
                      <w:color w:val="auto"/>
                    </w:rPr>
                    <w:t>27</w:t>
                  </w:r>
                  <w:r>
                    <w:rPr>
                      <w:color w:val="auto"/>
                    </w:rPr>
                    <w:t>日</w:t>
                  </w:r>
                </w:p>
              </w:tc>
              <w:tc>
                <w:tcPr>
                  <w:tcW w:w="804" w:type="pct"/>
                  <w:vAlign w:val="center"/>
                </w:tcPr>
                <w:p>
                  <w:pPr>
                    <w:adjustRightInd w:val="0"/>
                    <w:snapToGrid w:val="0"/>
                    <w:jc w:val="center"/>
                    <w:rPr>
                      <w:color w:val="auto"/>
                    </w:rPr>
                  </w:pPr>
                  <w:r>
                    <w:rPr>
                      <w:rFonts w:hint="eastAsia"/>
                      <w:color w:val="auto"/>
                    </w:rPr>
                    <w:t>60</w:t>
                  </w:r>
                </w:p>
              </w:tc>
              <w:tc>
                <w:tcPr>
                  <w:tcW w:w="806" w:type="pct"/>
                  <w:vAlign w:val="center"/>
                </w:tcPr>
                <w:p>
                  <w:pPr>
                    <w:adjustRightInd w:val="0"/>
                    <w:snapToGrid w:val="0"/>
                    <w:jc w:val="center"/>
                    <w:rPr>
                      <w:color w:val="auto"/>
                    </w:rPr>
                  </w:pPr>
                  <w:r>
                    <w:rPr>
                      <w:rFonts w:hint="eastAsia"/>
                      <w:color w:val="auto"/>
                    </w:rPr>
                    <w:t>49</w:t>
                  </w:r>
                </w:p>
              </w:tc>
              <w:tc>
                <w:tcPr>
                  <w:tcW w:w="452" w:type="pct"/>
                  <w:vMerge w:val="continue"/>
                  <w:vAlign w:val="center"/>
                </w:tcPr>
                <w:p>
                  <w:pPr>
                    <w:adjustRightInd w:val="0"/>
                    <w:snapToGrid w:val="0"/>
                    <w:jc w:val="center"/>
                    <w:rPr>
                      <w:color w:val="auto"/>
                    </w:rPr>
                  </w:pPr>
                </w:p>
              </w:tc>
              <w:tc>
                <w:tcPr>
                  <w:tcW w:w="453" w:type="pct"/>
                  <w:vMerge w:val="continue"/>
                  <w:vAlign w:val="center"/>
                </w:tcPr>
                <w:p>
                  <w:pPr>
                    <w:adjustRightInd w:val="0"/>
                    <w:snapToGrid w:val="0"/>
                    <w:jc w:val="center"/>
                    <w:rPr>
                      <w:color w:val="auto"/>
                    </w:rPr>
                  </w:pPr>
                </w:p>
              </w:tc>
              <w:tc>
                <w:tcPr>
                  <w:tcW w:w="412" w:type="pct"/>
                  <w:vAlign w:val="center"/>
                </w:tcPr>
                <w:p>
                  <w:pPr>
                    <w:adjustRightInd w:val="0"/>
                    <w:snapToGrid w:val="0"/>
                    <w:jc w:val="center"/>
                    <w:rPr>
                      <w:color w:val="auto"/>
                    </w:rPr>
                  </w:pPr>
                  <w:r>
                    <w:rPr>
                      <w:color w:val="auto"/>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665" w:type="pct"/>
                  <w:vMerge w:val="continue"/>
                  <w:vAlign w:val="center"/>
                </w:tcPr>
                <w:p>
                  <w:pPr>
                    <w:adjustRightInd w:val="0"/>
                    <w:snapToGrid w:val="0"/>
                    <w:jc w:val="center"/>
                    <w:rPr>
                      <w:color w:val="auto"/>
                    </w:rPr>
                  </w:pPr>
                </w:p>
              </w:tc>
              <w:tc>
                <w:tcPr>
                  <w:tcW w:w="1405" w:type="pct"/>
                  <w:vAlign w:val="center"/>
                </w:tcPr>
                <w:p>
                  <w:pPr>
                    <w:adjustRightInd w:val="0"/>
                    <w:snapToGrid w:val="0"/>
                    <w:jc w:val="center"/>
                    <w:rPr>
                      <w:color w:val="auto"/>
                    </w:rPr>
                  </w:pPr>
                  <w:r>
                    <w:rPr>
                      <w:color w:val="auto"/>
                    </w:rPr>
                    <w:t>20</w:t>
                  </w:r>
                  <w:r>
                    <w:rPr>
                      <w:rFonts w:hint="eastAsia"/>
                      <w:color w:val="auto"/>
                    </w:rPr>
                    <w:t>21</w:t>
                  </w:r>
                  <w:r>
                    <w:rPr>
                      <w:color w:val="auto"/>
                    </w:rPr>
                    <w:t>年</w:t>
                  </w:r>
                  <w:r>
                    <w:rPr>
                      <w:rFonts w:hint="eastAsia"/>
                      <w:color w:val="auto"/>
                    </w:rPr>
                    <w:t>12</w:t>
                  </w:r>
                  <w:r>
                    <w:rPr>
                      <w:color w:val="auto"/>
                    </w:rPr>
                    <w:t>月</w:t>
                  </w:r>
                  <w:r>
                    <w:rPr>
                      <w:rFonts w:hint="eastAsia"/>
                      <w:color w:val="auto"/>
                    </w:rPr>
                    <w:t>28</w:t>
                  </w:r>
                  <w:r>
                    <w:rPr>
                      <w:color w:val="auto"/>
                    </w:rPr>
                    <w:t>日</w:t>
                  </w:r>
                </w:p>
              </w:tc>
              <w:tc>
                <w:tcPr>
                  <w:tcW w:w="804" w:type="pct"/>
                  <w:vAlign w:val="center"/>
                </w:tcPr>
                <w:p>
                  <w:pPr>
                    <w:adjustRightInd w:val="0"/>
                    <w:snapToGrid w:val="0"/>
                    <w:jc w:val="center"/>
                    <w:rPr>
                      <w:color w:val="auto"/>
                    </w:rPr>
                  </w:pPr>
                  <w:r>
                    <w:rPr>
                      <w:rFonts w:hint="eastAsia"/>
                      <w:color w:val="auto"/>
                    </w:rPr>
                    <w:t>60</w:t>
                  </w:r>
                </w:p>
              </w:tc>
              <w:tc>
                <w:tcPr>
                  <w:tcW w:w="806" w:type="pct"/>
                  <w:vAlign w:val="center"/>
                </w:tcPr>
                <w:p>
                  <w:pPr>
                    <w:adjustRightInd w:val="0"/>
                    <w:snapToGrid w:val="0"/>
                    <w:jc w:val="center"/>
                    <w:rPr>
                      <w:color w:val="auto"/>
                    </w:rPr>
                  </w:pPr>
                  <w:r>
                    <w:rPr>
                      <w:rFonts w:hint="eastAsia"/>
                      <w:color w:val="auto"/>
                    </w:rPr>
                    <w:t>50</w:t>
                  </w:r>
                </w:p>
              </w:tc>
              <w:tc>
                <w:tcPr>
                  <w:tcW w:w="452" w:type="pct"/>
                  <w:vMerge w:val="continue"/>
                  <w:vAlign w:val="center"/>
                </w:tcPr>
                <w:p>
                  <w:pPr>
                    <w:adjustRightInd w:val="0"/>
                    <w:snapToGrid w:val="0"/>
                    <w:jc w:val="center"/>
                    <w:rPr>
                      <w:color w:val="auto"/>
                    </w:rPr>
                  </w:pPr>
                </w:p>
              </w:tc>
              <w:tc>
                <w:tcPr>
                  <w:tcW w:w="453" w:type="pct"/>
                  <w:vMerge w:val="continue"/>
                  <w:vAlign w:val="center"/>
                </w:tcPr>
                <w:p>
                  <w:pPr>
                    <w:adjustRightInd w:val="0"/>
                    <w:snapToGrid w:val="0"/>
                    <w:jc w:val="center"/>
                    <w:rPr>
                      <w:color w:val="auto"/>
                    </w:rPr>
                  </w:pPr>
                </w:p>
              </w:tc>
              <w:tc>
                <w:tcPr>
                  <w:tcW w:w="412" w:type="pct"/>
                  <w:vAlign w:val="center"/>
                </w:tcPr>
                <w:p>
                  <w:pPr>
                    <w:adjustRightInd w:val="0"/>
                    <w:snapToGrid w:val="0"/>
                    <w:jc w:val="center"/>
                    <w:rPr>
                      <w:color w:val="auto"/>
                    </w:rPr>
                  </w:pPr>
                  <w:r>
                    <w:rPr>
                      <w:color w:val="auto"/>
                    </w:rPr>
                    <w:t>达标</w:t>
                  </w:r>
                </w:p>
              </w:tc>
            </w:tr>
          </w:tbl>
          <w:p>
            <w:pPr>
              <w:pStyle w:val="3"/>
              <w:ind w:firstLine="480" w:firstLineChars="200"/>
              <w:rPr>
                <w:rFonts w:ascii="Times New Roman" w:hAnsi="Times New Roman" w:cs="Times New Roman"/>
                <w:color w:val="auto"/>
              </w:rPr>
            </w:pPr>
            <w:r>
              <w:rPr>
                <w:rFonts w:ascii="Times New Roman" w:hAnsi="Times New Roman" w:cs="Times New Roman"/>
                <w:color w:val="auto"/>
              </w:rPr>
              <w:t>由表2.11可知，现有工程昼间、夜间厂界噪声满足《工业企业厂界环境噪声排放标准》（GB12348—2008）3类标准要求，</w:t>
            </w:r>
          </w:p>
          <w:p>
            <w:pPr>
              <w:spacing w:line="360" w:lineRule="auto"/>
              <w:ind w:firstLine="480" w:firstLineChars="200"/>
              <w:rPr>
                <w:color w:val="auto"/>
                <w:sz w:val="24"/>
              </w:rPr>
            </w:pPr>
            <w:r>
              <w:rPr>
                <w:rFonts w:hint="eastAsia"/>
                <w:color w:val="auto"/>
                <w:sz w:val="24"/>
              </w:rPr>
              <w:t>（4）固体废物</w:t>
            </w:r>
          </w:p>
          <w:p>
            <w:pPr>
              <w:keepLines/>
              <w:adjustRightInd w:val="0"/>
              <w:snapToGrid w:val="0"/>
              <w:spacing w:line="360" w:lineRule="auto"/>
              <w:ind w:firstLine="480" w:firstLineChars="200"/>
              <w:rPr>
                <w:color w:val="auto"/>
                <w:sz w:val="24"/>
              </w:rPr>
            </w:pPr>
            <w:r>
              <w:rPr>
                <w:color w:val="auto"/>
                <w:sz w:val="24"/>
              </w:rPr>
              <w:t>现有工程产生的危险废物包括：</w:t>
            </w:r>
            <w:r>
              <w:rPr>
                <w:rFonts w:hint="eastAsia"/>
                <w:color w:val="auto"/>
                <w:sz w:val="24"/>
              </w:rPr>
              <w:t>纤维碎屑、无纺布边角料、除尘器收集粉尘、废活性炭、废机油、废弃的</w:t>
            </w:r>
            <w:r>
              <w:rPr>
                <w:color w:val="auto"/>
                <w:sz w:val="24"/>
              </w:rPr>
              <w:t>含油抹布、劳保用品</w:t>
            </w:r>
            <w:r>
              <w:rPr>
                <w:rFonts w:hint="eastAsia"/>
                <w:color w:val="auto"/>
                <w:sz w:val="24"/>
              </w:rPr>
              <w:t>、生活垃圾以及餐厨垃圾，其中废活性炭、废机油、废油桶、废弃的</w:t>
            </w:r>
            <w:r>
              <w:rPr>
                <w:color w:val="auto"/>
                <w:sz w:val="24"/>
              </w:rPr>
              <w:t>含油抹布、劳保用品</w:t>
            </w:r>
            <w:r>
              <w:rPr>
                <w:rFonts w:hint="eastAsia"/>
                <w:color w:val="auto"/>
                <w:sz w:val="24"/>
              </w:rPr>
              <w:t>属于危险废物。</w:t>
            </w:r>
          </w:p>
          <w:p>
            <w:pPr>
              <w:spacing w:line="360" w:lineRule="auto"/>
              <w:ind w:firstLine="480" w:firstLineChars="200"/>
              <w:rPr>
                <w:color w:val="auto"/>
                <w:sz w:val="24"/>
              </w:rPr>
            </w:pPr>
            <w:r>
              <w:rPr>
                <w:rFonts w:hint="eastAsia"/>
                <w:color w:val="auto"/>
                <w:sz w:val="24"/>
              </w:rPr>
              <w:t>通过调查，现有工程2#厂房东北侧设有1个建筑面积为10m</w:t>
            </w:r>
            <w:r>
              <w:rPr>
                <w:rFonts w:hint="eastAsia"/>
                <w:color w:val="auto"/>
                <w:sz w:val="24"/>
                <w:vertAlign w:val="superscript"/>
              </w:rPr>
              <w:t>2</w:t>
            </w:r>
            <w:r>
              <w:rPr>
                <w:rFonts w:hint="eastAsia"/>
                <w:color w:val="auto"/>
                <w:sz w:val="24"/>
              </w:rPr>
              <w:t>的危险废物暂存间</w:t>
            </w:r>
            <w:r>
              <w:rPr>
                <w:color w:val="auto"/>
                <w:sz w:val="24"/>
              </w:rPr>
              <w:t>，地面采取了三防措施，设置了标识标牌，</w:t>
            </w:r>
            <w:r>
              <w:rPr>
                <w:rFonts w:hint="eastAsia"/>
                <w:color w:val="auto"/>
                <w:sz w:val="24"/>
              </w:rPr>
              <w:t>危险废物经分类收集、暂存后交有重庆巨光实业有限公司处置；现有工程2#厂房东南部设有1个建筑面积为10m</w:t>
            </w:r>
            <w:r>
              <w:rPr>
                <w:rFonts w:hint="eastAsia"/>
                <w:color w:val="auto"/>
                <w:sz w:val="24"/>
                <w:vertAlign w:val="superscript"/>
              </w:rPr>
              <w:t>2</w:t>
            </w:r>
            <w:r>
              <w:rPr>
                <w:rFonts w:hint="eastAsia"/>
                <w:color w:val="auto"/>
                <w:sz w:val="24"/>
              </w:rPr>
              <w:t>的一般工业固废暂存间，</w:t>
            </w:r>
            <w:r>
              <w:rPr>
                <w:color w:val="auto"/>
                <w:sz w:val="24"/>
              </w:rPr>
              <w:t>一般固废暂存间设置了标识标牌</w:t>
            </w:r>
            <w:r>
              <w:rPr>
                <w:rFonts w:hint="eastAsia"/>
                <w:color w:val="auto"/>
                <w:sz w:val="24"/>
              </w:rPr>
              <w:t>，</w:t>
            </w:r>
            <w:r>
              <w:rPr>
                <w:color w:val="auto"/>
                <w:sz w:val="24"/>
              </w:rPr>
              <w:t>地面进行了硬化</w:t>
            </w:r>
            <w:r>
              <w:rPr>
                <w:rFonts w:hint="eastAsia"/>
                <w:color w:val="auto"/>
                <w:sz w:val="24"/>
              </w:rPr>
              <w:t>，一般工业固废经暂存后交废品回收公司处置；生活垃圾经分类收集后交当地环卫部门处置；员工食堂产生的餐厨垃圾定期交餐厨垃圾处置单位处置。现有工程</w:t>
            </w:r>
            <w:r>
              <w:rPr>
                <w:color w:val="auto"/>
                <w:sz w:val="24"/>
              </w:rPr>
              <w:t>目</w:t>
            </w:r>
            <w:r>
              <w:rPr>
                <w:rFonts w:hint="eastAsia"/>
                <w:color w:val="auto"/>
                <w:sz w:val="24"/>
              </w:rPr>
              <w:t>固体</w:t>
            </w:r>
            <w:r>
              <w:rPr>
                <w:color w:val="auto"/>
                <w:sz w:val="24"/>
              </w:rPr>
              <w:t>废物产生情况见表</w:t>
            </w:r>
            <w:r>
              <w:rPr>
                <w:rFonts w:hint="eastAsia"/>
                <w:color w:val="auto"/>
                <w:sz w:val="24"/>
              </w:rPr>
              <w:t>2.</w:t>
            </w:r>
            <w:r>
              <w:rPr>
                <w:rFonts w:hint="eastAsia"/>
                <w:color w:val="auto"/>
                <w:sz w:val="24"/>
                <w:lang w:val="en-US" w:eastAsia="zh-CN"/>
              </w:rPr>
              <w:t>16</w:t>
            </w:r>
            <w:r>
              <w:rPr>
                <w:color w:val="auto"/>
                <w:sz w:val="24"/>
              </w:rPr>
              <w:t>。</w:t>
            </w:r>
          </w:p>
          <w:p>
            <w:pPr>
              <w:adjustRightInd w:val="0"/>
              <w:snapToGrid w:val="0"/>
              <w:spacing w:line="360" w:lineRule="auto"/>
              <w:jc w:val="center"/>
              <w:rPr>
                <w:color w:val="auto"/>
                <w:kern w:val="0"/>
                <w:sz w:val="24"/>
              </w:rPr>
            </w:pPr>
            <w:r>
              <w:rPr>
                <w:color w:val="auto"/>
                <w:sz w:val="24"/>
              </w:rPr>
              <w:t>表</w:t>
            </w:r>
            <w:r>
              <w:rPr>
                <w:rFonts w:hint="eastAsia"/>
                <w:color w:val="auto"/>
                <w:sz w:val="24"/>
              </w:rPr>
              <w:t>2.1</w:t>
            </w:r>
            <w:r>
              <w:rPr>
                <w:rFonts w:hint="eastAsia"/>
                <w:color w:val="auto"/>
                <w:sz w:val="24"/>
                <w:lang w:val="en-US" w:eastAsia="zh-CN"/>
              </w:rPr>
              <w:t>6</w:t>
            </w:r>
            <w:r>
              <w:rPr>
                <w:color w:val="auto"/>
                <w:sz w:val="24"/>
              </w:rPr>
              <w:t xml:space="preserve"> </w:t>
            </w:r>
            <w:r>
              <w:rPr>
                <w:rFonts w:hint="eastAsia"/>
                <w:color w:val="auto"/>
                <w:sz w:val="24"/>
              </w:rPr>
              <w:t>现有工程</w:t>
            </w:r>
            <w:r>
              <w:rPr>
                <w:color w:val="auto"/>
                <w:sz w:val="24"/>
              </w:rPr>
              <w:t>固废产生量及处置情况一览表</w:t>
            </w:r>
          </w:p>
          <w:tbl>
            <w:tblPr>
              <w:tblStyle w:val="22"/>
              <w:tblW w:w="4998" w:type="pct"/>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363"/>
              <w:gridCol w:w="1511"/>
              <w:gridCol w:w="1226"/>
              <w:gridCol w:w="3263"/>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PrEx>
              <w:trPr>
                <w:jc w:val="center"/>
              </w:trPr>
              <w:tc>
                <w:tcPr>
                  <w:tcW w:w="1412" w:type="pct"/>
                  <w:vAlign w:val="center"/>
                </w:tcPr>
                <w:p>
                  <w:pPr>
                    <w:adjustRightInd w:val="0"/>
                    <w:snapToGrid w:val="0"/>
                    <w:jc w:val="center"/>
                    <w:rPr>
                      <w:color w:val="auto"/>
                      <w:szCs w:val="21"/>
                    </w:rPr>
                  </w:pPr>
                  <w:r>
                    <w:rPr>
                      <w:color w:val="auto"/>
                      <w:szCs w:val="21"/>
                    </w:rPr>
                    <w:t>废物名称</w:t>
                  </w:r>
                </w:p>
              </w:tc>
              <w:tc>
                <w:tcPr>
                  <w:tcW w:w="903" w:type="pct"/>
                  <w:vAlign w:val="center"/>
                </w:tcPr>
                <w:p>
                  <w:pPr>
                    <w:adjustRightInd w:val="0"/>
                    <w:snapToGrid w:val="0"/>
                    <w:jc w:val="center"/>
                    <w:rPr>
                      <w:color w:val="auto"/>
                      <w:szCs w:val="21"/>
                    </w:rPr>
                  </w:pPr>
                  <w:r>
                    <w:rPr>
                      <w:color w:val="auto"/>
                      <w:szCs w:val="21"/>
                    </w:rPr>
                    <w:t>废物类别</w:t>
                  </w:r>
                </w:p>
              </w:tc>
              <w:tc>
                <w:tcPr>
                  <w:tcW w:w="733" w:type="pct"/>
                  <w:vAlign w:val="center"/>
                </w:tcPr>
                <w:p>
                  <w:pPr>
                    <w:adjustRightInd w:val="0"/>
                    <w:snapToGrid w:val="0"/>
                    <w:jc w:val="center"/>
                    <w:rPr>
                      <w:color w:val="auto"/>
                      <w:szCs w:val="21"/>
                    </w:rPr>
                  </w:pPr>
                  <w:r>
                    <w:rPr>
                      <w:color w:val="auto"/>
                      <w:szCs w:val="21"/>
                    </w:rPr>
                    <w:t>产生量(t/a)</w:t>
                  </w:r>
                </w:p>
              </w:tc>
              <w:tc>
                <w:tcPr>
                  <w:tcW w:w="1951" w:type="pct"/>
                  <w:vAlign w:val="center"/>
                </w:tcPr>
                <w:p>
                  <w:pPr>
                    <w:adjustRightInd w:val="0"/>
                    <w:snapToGrid w:val="0"/>
                    <w:jc w:val="center"/>
                    <w:rPr>
                      <w:color w:val="auto"/>
                      <w:szCs w:val="21"/>
                    </w:rPr>
                  </w:pPr>
                  <w:r>
                    <w:rPr>
                      <w:color w:val="auto"/>
                      <w:szCs w:val="21"/>
                    </w:rPr>
                    <w:t>处置情况</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12" w:type="pct"/>
                  <w:vAlign w:val="center"/>
                </w:tcPr>
                <w:p>
                  <w:pPr>
                    <w:pStyle w:val="2"/>
                    <w:snapToGrid w:val="0"/>
                    <w:spacing w:line="240" w:lineRule="auto"/>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纤维碎屑</w:t>
                  </w:r>
                </w:p>
              </w:tc>
              <w:tc>
                <w:tcPr>
                  <w:tcW w:w="903" w:type="pct"/>
                  <w:vMerge w:val="restart"/>
                  <w:vAlign w:val="center"/>
                </w:tcPr>
                <w:p>
                  <w:pPr>
                    <w:adjustRightInd w:val="0"/>
                    <w:snapToGrid w:val="0"/>
                    <w:jc w:val="center"/>
                    <w:rPr>
                      <w:color w:val="auto"/>
                      <w:szCs w:val="21"/>
                    </w:rPr>
                  </w:pPr>
                  <w:r>
                    <w:rPr>
                      <w:color w:val="auto"/>
                      <w:szCs w:val="21"/>
                    </w:rPr>
                    <w:t>一般工业</w:t>
                  </w:r>
                  <w:r>
                    <w:rPr>
                      <w:rFonts w:hint="eastAsia"/>
                      <w:color w:val="auto"/>
                      <w:szCs w:val="21"/>
                    </w:rPr>
                    <w:t>固废</w:t>
                  </w:r>
                </w:p>
              </w:tc>
              <w:tc>
                <w:tcPr>
                  <w:tcW w:w="733" w:type="pct"/>
                  <w:vAlign w:val="center"/>
                </w:tcPr>
                <w:p>
                  <w:pPr>
                    <w:pStyle w:val="2"/>
                    <w:snapToGrid w:val="0"/>
                    <w:spacing w:line="240" w:lineRule="auto"/>
                    <w:jc w:val="center"/>
                    <w:rPr>
                      <w:rFonts w:ascii="Times New Roman" w:hAnsi="Times New Roman" w:eastAsia="等线" w:cs="Times New Roman"/>
                      <w:color w:val="auto"/>
                      <w:sz w:val="21"/>
                      <w:szCs w:val="21"/>
                    </w:rPr>
                  </w:pPr>
                  <w:r>
                    <w:rPr>
                      <w:rFonts w:hint="eastAsia" w:ascii="Times New Roman" w:hAnsi="Times New Roman" w:eastAsia="等线" w:cs="Times New Roman"/>
                      <w:color w:val="auto"/>
                      <w:sz w:val="21"/>
                      <w:szCs w:val="21"/>
                    </w:rPr>
                    <w:t>0.84</w:t>
                  </w:r>
                </w:p>
              </w:tc>
              <w:tc>
                <w:tcPr>
                  <w:tcW w:w="1951" w:type="pct"/>
                  <w:vMerge w:val="restart"/>
                  <w:vAlign w:val="center"/>
                </w:tcPr>
                <w:p>
                  <w:pPr>
                    <w:adjustRightInd w:val="0"/>
                    <w:snapToGrid w:val="0"/>
                    <w:jc w:val="center"/>
                    <w:rPr>
                      <w:color w:val="auto"/>
                      <w:szCs w:val="21"/>
                    </w:rPr>
                  </w:pPr>
                  <w:r>
                    <w:rPr>
                      <w:color w:val="auto"/>
                      <w:szCs w:val="21"/>
                    </w:rPr>
                    <w:t>分类收集后，交废品回收公司处置</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12" w:type="pct"/>
                  <w:vAlign w:val="center"/>
                </w:tcPr>
                <w:p>
                  <w:pPr>
                    <w:pStyle w:val="49"/>
                    <w:snapToGrid w:val="0"/>
                    <w:spacing w:line="240" w:lineRule="auto"/>
                    <w:ind w:firstLine="0" w:firstLineChars="0"/>
                    <w:jc w:val="center"/>
                    <w:rPr>
                      <w:color w:val="auto"/>
                      <w:sz w:val="21"/>
                      <w:szCs w:val="21"/>
                    </w:rPr>
                  </w:pPr>
                  <w:r>
                    <w:rPr>
                      <w:rFonts w:hint="eastAsia"/>
                      <w:color w:val="auto"/>
                      <w:sz w:val="21"/>
                      <w:szCs w:val="21"/>
                    </w:rPr>
                    <w:t>无纺布边角料</w:t>
                  </w:r>
                </w:p>
              </w:tc>
              <w:tc>
                <w:tcPr>
                  <w:tcW w:w="903" w:type="pct"/>
                  <w:vMerge w:val="continue"/>
                  <w:vAlign w:val="center"/>
                </w:tcPr>
                <w:p>
                  <w:pPr>
                    <w:adjustRightInd w:val="0"/>
                    <w:snapToGrid w:val="0"/>
                    <w:jc w:val="center"/>
                    <w:rPr>
                      <w:color w:val="auto"/>
                      <w:szCs w:val="21"/>
                    </w:rPr>
                  </w:pPr>
                </w:p>
              </w:tc>
              <w:tc>
                <w:tcPr>
                  <w:tcW w:w="733" w:type="pct"/>
                  <w:vAlign w:val="center"/>
                </w:tcPr>
                <w:p>
                  <w:pPr>
                    <w:pStyle w:val="2"/>
                    <w:snapToGrid w:val="0"/>
                    <w:spacing w:line="240" w:lineRule="auto"/>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16</w:t>
                  </w:r>
                </w:p>
              </w:tc>
              <w:tc>
                <w:tcPr>
                  <w:tcW w:w="1951" w:type="pct"/>
                  <w:vMerge w:val="continue"/>
                  <w:vAlign w:val="center"/>
                </w:tcPr>
                <w:p>
                  <w:pPr>
                    <w:adjustRightInd w:val="0"/>
                    <w:snapToGrid w:val="0"/>
                    <w:jc w:val="center"/>
                    <w:rPr>
                      <w:color w:val="auto"/>
                      <w:szCs w:val="21"/>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12" w:type="pct"/>
                  <w:vAlign w:val="center"/>
                </w:tcPr>
                <w:p>
                  <w:pPr>
                    <w:pStyle w:val="49"/>
                    <w:snapToGrid w:val="0"/>
                    <w:spacing w:line="240" w:lineRule="auto"/>
                    <w:ind w:firstLine="0" w:firstLineChars="0"/>
                    <w:jc w:val="center"/>
                    <w:rPr>
                      <w:color w:val="auto"/>
                      <w:sz w:val="21"/>
                      <w:szCs w:val="21"/>
                    </w:rPr>
                  </w:pPr>
                  <w:r>
                    <w:rPr>
                      <w:rFonts w:hint="eastAsia"/>
                      <w:color w:val="auto"/>
                      <w:sz w:val="21"/>
                      <w:szCs w:val="21"/>
                    </w:rPr>
                    <w:t>除尘器收集粉尘</w:t>
                  </w:r>
                </w:p>
              </w:tc>
              <w:tc>
                <w:tcPr>
                  <w:tcW w:w="903" w:type="pct"/>
                  <w:vMerge w:val="continue"/>
                  <w:vAlign w:val="center"/>
                </w:tcPr>
                <w:p>
                  <w:pPr>
                    <w:adjustRightInd w:val="0"/>
                    <w:snapToGrid w:val="0"/>
                    <w:jc w:val="center"/>
                    <w:rPr>
                      <w:color w:val="auto"/>
                      <w:szCs w:val="21"/>
                    </w:rPr>
                  </w:pPr>
                </w:p>
              </w:tc>
              <w:tc>
                <w:tcPr>
                  <w:tcW w:w="733" w:type="pct"/>
                  <w:vAlign w:val="center"/>
                </w:tcPr>
                <w:p>
                  <w:pPr>
                    <w:pStyle w:val="2"/>
                    <w:snapToGrid w:val="0"/>
                    <w:spacing w:line="240" w:lineRule="auto"/>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31.02</w:t>
                  </w:r>
                </w:p>
              </w:tc>
              <w:tc>
                <w:tcPr>
                  <w:tcW w:w="1951" w:type="pct"/>
                  <w:vMerge w:val="continue"/>
                  <w:vAlign w:val="center"/>
                </w:tcPr>
                <w:p>
                  <w:pPr>
                    <w:adjustRightInd w:val="0"/>
                    <w:snapToGrid w:val="0"/>
                    <w:jc w:val="center"/>
                    <w:rPr>
                      <w:color w:val="auto"/>
                      <w:szCs w:val="21"/>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12" w:type="pct"/>
                  <w:vAlign w:val="center"/>
                </w:tcPr>
                <w:p>
                  <w:pPr>
                    <w:pStyle w:val="2"/>
                    <w:snapToGrid w:val="0"/>
                    <w:spacing w:line="240" w:lineRule="auto"/>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废活性炭</w:t>
                  </w:r>
                </w:p>
              </w:tc>
              <w:tc>
                <w:tcPr>
                  <w:tcW w:w="903" w:type="pct"/>
                  <w:vMerge w:val="restart"/>
                  <w:vAlign w:val="center"/>
                </w:tcPr>
                <w:p>
                  <w:pPr>
                    <w:adjustRightInd w:val="0"/>
                    <w:snapToGrid w:val="0"/>
                    <w:jc w:val="center"/>
                    <w:rPr>
                      <w:color w:val="auto"/>
                      <w:szCs w:val="21"/>
                    </w:rPr>
                  </w:pPr>
                  <w:r>
                    <w:rPr>
                      <w:color w:val="auto"/>
                      <w:szCs w:val="21"/>
                    </w:rPr>
                    <w:t>危险废物</w:t>
                  </w:r>
                </w:p>
              </w:tc>
              <w:tc>
                <w:tcPr>
                  <w:tcW w:w="733" w:type="pct"/>
                  <w:vAlign w:val="center"/>
                </w:tcPr>
                <w:p>
                  <w:pPr>
                    <w:pStyle w:val="2"/>
                    <w:snapToGrid w:val="0"/>
                    <w:spacing w:line="240" w:lineRule="auto"/>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0.49</w:t>
                  </w:r>
                </w:p>
              </w:tc>
              <w:tc>
                <w:tcPr>
                  <w:tcW w:w="1951" w:type="pct"/>
                  <w:vMerge w:val="restart"/>
                  <w:vAlign w:val="center"/>
                </w:tcPr>
                <w:p>
                  <w:pPr>
                    <w:adjustRightInd w:val="0"/>
                    <w:snapToGrid w:val="0"/>
                    <w:jc w:val="center"/>
                    <w:rPr>
                      <w:color w:val="auto"/>
                      <w:szCs w:val="21"/>
                    </w:rPr>
                  </w:pPr>
                  <w:r>
                    <w:rPr>
                      <w:color w:val="auto"/>
                      <w:szCs w:val="21"/>
                    </w:rPr>
                    <w:t>暂存于危险废物储存间，定期交</w:t>
                  </w:r>
                  <w:r>
                    <w:rPr>
                      <w:rFonts w:hint="eastAsia"/>
                      <w:color w:val="auto"/>
                      <w:szCs w:val="21"/>
                    </w:rPr>
                    <w:t>重庆巨光实业有限公司</w:t>
                  </w:r>
                  <w:r>
                    <w:rPr>
                      <w:color w:val="auto"/>
                      <w:szCs w:val="21"/>
                    </w:rPr>
                    <w:t>处置</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12" w:type="pct"/>
                  <w:vAlign w:val="center"/>
                </w:tcPr>
                <w:p>
                  <w:pPr>
                    <w:pStyle w:val="2"/>
                    <w:snapToGrid w:val="0"/>
                    <w:spacing w:line="240" w:lineRule="auto"/>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废胶水空桶</w:t>
                  </w:r>
                </w:p>
              </w:tc>
              <w:tc>
                <w:tcPr>
                  <w:tcW w:w="903" w:type="pct"/>
                  <w:vMerge w:val="continue"/>
                  <w:vAlign w:val="center"/>
                </w:tcPr>
                <w:p>
                  <w:pPr>
                    <w:adjustRightInd w:val="0"/>
                    <w:snapToGrid w:val="0"/>
                    <w:jc w:val="center"/>
                    <w:rPr>
                      <w:color w:val="auto"/>
                      <w:szCs w:val="21"/>
                    </w:rPr>
                  </w:pPr>
                </w:p>
              </w:tc>
              <w:tc>
                <w:tcPr>
                  <w:tcW w:w="733" w:type="pct"/>
                  <w:vAlign w:val="center"/>
                </w:tcPr>
                <w:p>
                  <w:pPr>
                    <w:pStyle w:val="2"/>
                    <w:snapToGrid w:val="0"/>
                    <w:spacing w:line="240" w:lineRule="auto"/>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0.07</w:t>
                  </w:r>
                </w:p>
              </w:tc>
              <w:tc>
                <w:tcPr>
                  <w:tcW w:w="1951" w:type="pct"/>
                  <w:vMerge w:val="continue"/>
                  <w:vAlign w:val="center"/>
                </w:tcPr>
                <w:p>
                  <w:pPr>
                    <w:adjustRightInd w:val="0"/>
                    <w:snapToGrid w:val="0"/>
                    <w:jc w:val="center"/>
                    <w:rPr>
                      <w:color w:val="auto"/>
                      <w:szCs w:val="21"/>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12" w:type="pct"/>
                  <w:vAlign w:val="center"/>
                </w:tcPr>
                <w:p>
                  <w:pPr>
                    <w:pStyle w:val="2"/>
                    <w:snapToGrid w:val="0"/>
                    <w:spacing w:line="240" w:lineRule="auto"/>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废机油</w:t>
                  </w:r>
                </w:p>
              </w:tc>
              <w:tc>
                <w:tcPr>
                  <w:tcW w:w="903" w:type="pct"/>
                  <w:vMerge w:val="continue"/>
                  <w:vAlign w:val="center"/>
                </w:tcPr>
                <w:p>
                  <w:pPr>
                    <w:adjustRightInd w:val="0"/>
                    <w:snapToGrid w:val="0"/>
                    <w:jc w:val="center"/>
                    <w:rPr>
                      <w:color w:val="auto"/>
                      <w:szCs w:val="21"/>
                    </w:rPr>
                  </w:pPr>
                </w:p>
              </w:tc>
              <w:tc>
                <w:tcPr>
                  <w:tcW w:w="733" w:type="pct"/>
                  <w:vAlign w:val="center"/>
                </w:tcPr>
                <w:p>
                  <w:pPr>
                    <w:pStyle w:val="2"/>
                    <w:snapToGrid w:val="0"/>
                    <w:spacing w:line="240" w:lineRule="auto"/>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0.05</w:t>
                  </w:r>
                </w:p>
              </w:tc>
              <w:tc>
                <w:tcPr>
                  <w:tcW w:w="1951" w:type="pct"/>
                  <w:vMerge w:val="continue"/>
                  <w:vAlign w:val="center"/>
                </w:tcPr>
                <w:p>
                  <w:pPr>
                    <w:adjustRightInd w:val="0"/>
                    <w:snapToGrid w:val="0"/>
                    <w:jc w:val="center"/>
                    <w:rPr>
                      <w:color w:val="auto"/>
                      <w:szCs w:val="21"/>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412" w:type="pct"/>
                  <w:tcBorders>
                    <w:bottom w:val="single" w:color="auto" w:sz="4" w:space="0"/>
                  </w:tcBorders>
                  <w:vAlign w:val="center"/>
                </w:tcPr>
                <w:p>
                  <w:pPr>
                    <w:adjustRightInd w:val="0"/>
                    <w:snapToGrid w:val="0"/>
                    <w:jc w:val="center"/>
                    <w:rPr>
                      <w:color w:val="auto"/>
                      <w:kern w:val="0"/>
                      <w:szCs w:val="21"/>
                    </w:rPr>
                  </w:pPr>
                  <w:r>
                    <w:rPr>
                      <w:rFonts w:hint="eastAsia"/>
                      <w:color w:val="auto"/>
                    </w:rPr>
                    <w:t>含油抹布、劳保用品</w:t>
                  </w:r>
                </w:p>
              </w:tc>
              <w:tc>
                <w:tcPr>
                  <w:tcW w:w="903" w:type="pct"/>
                  <w:vMerge w:val="continue"/>
                  <w:tcBorders>
                    <w:bottom w:val="single" w:color="auto" w:sz="4" w:space="0"/>
                  </w:tcBorders>
                  <w:vAlign w:val="center"/>
                </w:tcPr>
                <w:p>
                  <w:pPr>
                    <w:widowControl/>
                    <w:adjustRightInd w:val="0"/>
                    <w:snapToGrid w:val="0"/>
                    <w:jc w:val="left"/>
                    <w:rPr>
                      <w:color w:val="auto"/>
                      <w:szCs w:val="21"/>
                    </w:rPr>
                  </w:pPr>
                </w:p>
              </w:tc>
              <w:tc>
                <w:tcPr>
                  <w:tcW w:w="733" w:type="pct"/>
                  <w:tcBorders>
                    <w:bottom w:val="single" w:color="auto" w:sz="4" w:space="0"/>
                  </w:tcBorders>
                  <w:vAlign w:val="center"/>
                </w:tcPr>
                <w:p>
                  <w:pPr>
                    <w:pStyle w:val="2"/>
                    <w:snapToGrid w:val="0"/>
                    <w:spacing w:line="240" w:lineRule="auto"/>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0.3</w:t>
                  </w:r>
                </w:p>
              </w:tc>
              <w:tc>
                <w:tcPr>
                  <w:tcW w:w="1951" w:type="pct"/>
                  <w:vMerge w:val="continue"/>
                  <w:tcBorders>
                    <w:bottom w:val="single" w:color="auto" w:sz="4" w:space="0"/>
                  </w:tcBorders>
                  <w:vAlign w:val="center"/>
                </w:tcPr>
                <w:p>
                  <w:pPr>
                    <w:widowControl/>
                    <w:adjustRightInd w:val="0"/>
                    <w:snapToGrid w:val="0"/>
                    <w:jc w:val="left"/>
                    <w:rPr>
                      <w:color w:val="auto"/>
                      <w:szCs w:val="21"/>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12" w:type="pct"/>
                  <w:vAlign w:val="center"/>
                </w:tcPr>
                <w:p>
                  <w:pPr>
                    <w:adjustRightInd w:val="0"/>
                    <w:snapToGrid w:val="0"/>
                    <w:jc w:val="center"/>
                    <w:rPr>
                      <w:color w:val="auto"/>
                      <w:kern w:val="0"/>
                      <w:szCs w:val="21"/>
                      <w:lang w:bidi="ar"/>
                    </w:rPr>
                  </w:pPr>
                  <w:r>
                    <w:rPr>
                      <w:color w:val="auto"/>
                      <w:szCs w:val="21"/>
                    </w:rPr>
                    <w:t>生活垃圾</w:t>
                  </w:r>
                </w:p>
              </w:tc>
              <w:tc>
                <w:tcPr>
                  <w:tcW w:w="903" w:type="pct"/>
                  <w:vAlign w:val="center"/>
                </w:tcPr>
                <w:p>
                  <w:pPr>
                    <w:adjustRightInd w:val="0"/>
                    <w:snapToGrid w:val="0"/>
                    <w:jc w:val="center"/>
                    <w:rPr>
                      <w:color w:val="auto"/>
                      <w:szCs w:val="21"/>
                    </w:rPr>
                  </w:pPr>
                  <w:r>
                    <w:rPr>
                      <w:color w:val="auto"/>
                      <w:szCs w:val="21"/>
                    </w:rPr>
                    <w:t>生活垃圾</w:t>
                  </w:r>
                </w:p>
              </w:tc>
              <w:tc>
                <w:tcPr>
                  <w:tcW w:w="733" w:type="pct"/>
                  <w:vAlign w:val="center"/>
                </w:tcPr>
                <w:p>
                  <w:pPr>
                    <w:adjustRightInd w:val="0"/>
                    <w:snapToGrid w:val="0"/>
                    <w:jc w:val="center"/>
                    <w:rPr>
                      <w:color w:val="auto"/>
                      <w:szCs w:val="21"/>
                      <w:lang w:bidi="ar"/>
                    </w:rPr>
                  </w:pPr>
                  <w:r>
                    <w:rPr>
                      <w:rFonts w:hint="eastAsia"/>
                      <w:color w:val="auto"/>
                      <w:szCs w:val="21"/>
                      <w:lang w:bidi="ar"/>
                    </w:rPr>
                    <w:t>11.25</w:t>
                  </w:r>
                </w:p>
              </w:tc>
              <w:tc>
                <w:tcPr>
                  <w:tcW w:w="1951" w:type="pct"/>
                  <w:tcBorders>
                    <w:top w:val="single" w:color="auto" w:sz="4" w:space="0"/>
                    <w:bottom w:val="single" w:color="auto" w:sz="4" w:space="0"/>
                  </w:tcBorders>
                  <w:vAlign w:val="center"/>
                </w:tcPr>
                <w:p>
                  <w:pPr>
                    <w:adjustRightInd w:val="0"/>
                    <w:snapToGrid w:val="0"/>
                    <w:rPr>
                      <w:color w:val="auto"/>
                      <w:szCs w:val="21"/>
                    </w:rPr>
                  </w:pPr>
                  <w:r>
                    <w:rPr>
                      <w:color w:val="auto"/>
                      <w:szCs w:val="21"/>
                    </w:rPr>
                    <w:t>分类收集，交当地环卫部门处置</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12" w:type="pct"/>
                  <w:vAlign w:val="center"/>
                </w:tcPr>
                <w:p>
                  <w:pPr>
                    <w:adjustRightInd w:val="0"/>
                    <w:snapToGrid w:val="0"/>
                    <w:jc w:val="center"/>
                    <w:rPr>
                      <w:color w:val="auto"/>
                      <w:szCs w:val="21"/>
                    </w:rPr>
                  </w:pPr>
                  <w:r>
                    <w:rPr>
                      <w:rFonts w:hint="eastAsia"/>
                      <w:color w:val="auto"/>
                      <w:szCs w:val="21"/>
                    </w:rPr>
                    <w:t>餐厨垃圾</w:t>
                  </w:r>
                </w:p>
              </w:tc>
              <w:tc>
                <w:tcPr>
                  <w:tcW w:w="903" w:type="pct"/>
                  <w:vAlign w:val="center"/>
                </w:tcPr>
                <w:p>
                  <w:pPr>
                    <w:adjustRightInd w:val="0"/>
                    <w:snapToGrid w:val="0"/>
                    <w:jc w:val="center"/>
                    <w:rPr>
                      <w:color w:val="auto"/>
                      <w:szCs w:val="21"/>
                    </w:rPr>
                  </w:pPr>
                  <w:r>
                    <w:rPr>
                      <w:color w:val="auto"/>
                      <w:szCs w:val="21"/>
                    </w:rPr>
                    <w:t>生活垃圾</w:t>
                  </w:r>
                </w:p>
              </w:tc>
              <w:tc>
                <w:tcPr>
                  <w:tcW w:w="733" w:type="pct"/>
                  <w:vAlign w:val="center"/>
                </w:tcPr>
                <w:p>
                  <w:pPr>
                    <w:adjustRightInd w:val="0"/>
                    <w:snapToGrid w:val="0"/>
                    <w:jc w:val="center"/>
                    <w:rPr>
                      <w:color w:val="auto"/>
                      <w:szCs w:val="21"/>
                      <w:lang w:bidi="ar"/>
                    </w:rPr>
                  </w:pPr>
                  <w:r>
                    <w:rPr>
                      <w:rFonts w:hint="eastAsia"/>
                      <w:color w:val="auto"/>
                      <w:szCs w:val="21"/>
                      <w:lang w:bidi="ar"/>
                    </w:rPr>
                    <w:t>6.75</w:t>
                  </w:r>
                </w:p>
              </w:tc>
              <w:tc>
                <w:tcPr>
                  <w:tcW w:w="1951" w:type="pct"/>
                  <w:tcBorders>
                    <w:top w:val="single" w:color="auto" w:sz="4" w:space="0"/>
                    <w:bottom w:val="single" w:color="auto" w:sz="4" w:space="0"/>
                  </w:tcBorders>
                  <w:vAlign w:val="center"/>
                </w:tcPr>
                <w:p>
                  <w:pPr>
                    <w:adjustRightInd w:val="0"/>
                    <w:snapToGrid w:val="0"/>
                    <w:jc w:val="center"/>
                    <w:rPr>
                      <w:color w:val="auto"/>
                      <w:szCs w:val="21"/>
                    </w:rPr>
                  </w:pPr>
                  <w:r>
                    <w:rPr>
                      <w:rFonts w:hint="eastAsia"/>
                      <w:color w:val="auto"/>
                      <w:szCs w:val="21"/>
                    </w:rPr>
                    <w:t>交餐厨垃圾处置单位处置</w:t>
                  </w:r>
                </w:p>
              </w:tc>
            </w:tr>
          </w:tbl>
          <w:p>
            <w:pPr>
              <w:adjustRightInd w:val="0"/>
              <w:snapToGrid w:val="0"/>
              <w:spacing w:line="360" w:lineRule="auto"/>
              <w:rPr>
                <w:rFonts w:ascii="宋体" w:hAnsi="宋体" w:cs="宋体"/>
                <w:b/>
                <w:bCs/>
                <w:color w:val="auto"/>
                <w:sz w:val="24"/>
              </w:rPr>
            </w:pPr>
            <w:r>
              <w:rPr>
                <w:rFonts w:hint="eastAsia"/>
                <w:b/>
                <w:bCs/>
                <w:color w:val="auto"/>
                <w:sz w:val="24"/>
              </w:rPr>
              <w:t>4.现有工程存在的主要环境问题</w:t>
            </w:r>
          </w:p>
          <w:p>
            <w:pPr>
              <w:adjustRightInd w:val="0"/>
              <w:snapToGrid w:val="0"/>
              <w:spacing w:line="360" w:lineRule="auto"/>
              <w:ind w:firstLine="480" w:firstLineChars="200"/>
              <w:rPr>
                <w:rFonts w:hint="eastAsia" w:ascii="宋体" w:hAnsi="宋体" w:eastAsia="宋体"/>
                <w:color w:val="auto"/>
                <w:sz w:val="24"/>
                <w:lang w:eastAsia="zh-CN"/>
              </w:rPr>
            </w:pPr>
            <w:r>
              <w:rPr>
                <w:color w:val="auto"/>
                <w:sz w:val="24"/>
              </w:rPr>
              <w:t>现有工程环保手续齐全，该企业分别于2020年11月</w:t>
            </w:r>
            <w:r>
              <w:rPr>
                <w:rFonts w:hint="eastAsia"/>
                <w:color w:val="auto"/>
                <w:sz w:val="24"/>
              </w:rPr>
              <w:t>通过了汽车内饰材料及零部件生产加工项目的</w:t>
            </w:r>
            <w:r>
              <w:rPr>
                <w:color w:val="auto"/>
                <w:sz w:val="24"/>
              </w:rPr>
              <w:t>竣工环境保护验</w:t>
            </w:r>
            <w:r>
              <w:rPr>
                <w:rFonts w:hint="eastAsia"/>
                <w:color w:val="auto"/>
                <w:sz w:val="24"/>
              </w:rPr>
              <w:t>；</w:t>
            </w:r>
            <w:r>
              <w:rPr>
                <w:color w:val="auto"/>
                <w:sz w:val="24"/>
              </w:rPr>
              <w:t>2022年1月通过了</w:t>
            </w:r>
            <w:r>
              <w:rPr>
                <w:color w:val="auto"/>
                <w:spacing w:val="8"/>
                <w:sz w:val="24"/>
                <w:shd w:val="clear" w:color="auto" w:fill="FFFFFF"/>
              </w:rPr>
              <w:t>年产汽车零部件800万件及汽车纤维材料8000吨扩建项目</w:t>
            </w:r>
            <w:r>
              <w:rPr>
                <w:rFonts w:hint="eastAsia"/>
                <w:color w:val="auto"/>
                <w:spacing w:val="8"/>
                <w:sz w:val="24"/>
                <w:shd w:val="clear" w:color="auto" w:fill="FFFFFF"/>
              </w:rPr>
              <w:t>（一阶段）</w:t>
            </w:r>
            <w:r>
              <w:rPr>
                <w:color w:val="auto"/>
                <w:sz w:val="24"/>
              </w:rPr>
              <w:t>竣工环境保护验收</w:t>
            </w:r>
            <w:r>
              <w:rPr>
                <w:rFonts w:hint="eastAsia" w:ascii="宋体" w:hAnsi="宋体"/>
                <w:color w:val="auto"/>
                <w:sz w:val="24"/>
              </w:rPr>
              <w:t>，不存在遗留相关环境问题</w:t>
            </w:r>
            <w:r>
              <w:rPr>
                <w:rFonts w:hint="eastAsia" w:ascii="宋体" w:hAnsi="宋体"/>
                <w:color w:val="auto"/>
                <w:sz w:val="24"/>
                <w:lang w:eastAsia="zh-CN"/>
              </w:rPr>
              <w:t>。</w:t>
            </w:r>
          </w:p>
          <w:p>
            <w:pPr>
              <w:adjustRightInd w:val="0"/>
              <w:snapToGrid w:val="0"/>
              <w:spacing w:line="360" w:lineRule="auto"/>
              <w:ind w:firstLine="480" w:firstLineChars="200"/>
              <w:rPr>
                <w:rFonts w:hint="eastAsia" w:ascii="宋体" w:hAnsi="宋体"/>
                <w:color w:val="auto"/>
                <w:sz w:val="24"/>
              </w:rPr>
            </w:pPr>
          </w:p>
          <w:p>
            <w:pPr>
              <w:adjustRightInd w:val="0"/>
              <w:snapToGrid w:val="0"/>
              <w:spacing w:line="360" w:lineRule="auto"/>
              <w:ind w:firstLine="480" w:firstLineChars="200"/>
              <w:rPr>
                <w:rFonts w:hint="eastAsia" w:ascii="宋体" w:hAnsi="宋体"/>
                <w:color w:val="auto"/>
                <w:sz w:val="24"/>
              </w:rPr>
            </w:pPr>
          </w:p>
          <w:p>
            <w:pPr>
              <w:adjustRightInd w:val="0"/>
              <w:snapToGrid w:val="0"/>
              <w:spacing w:line="360" w:lineRule="auto"/>
              <w:rPr>
                <w:color w:val="auto"/>
              </w:rPr>
            </w:pPr>
          </w:p>
        </w:tc>
      </w:tr>
    </w:tbl>
    <w:p>
      <w:pPr>
        <w:pStyle w:val="19"/>
        <w:jc w:val="center"/>
        <w:rPr>
          <w:rFonts w:ascii="黑体" w:hAnsi="黑体" w:eastAsia="黑体"/>
          <w:snapToGrid w:val="0"/>
          <w:color w:val="auto"/>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19"/>
        <w:adjustRightInd w:val="0"/>
        <w:snapToGrid w:val="0"/>
        <w:spacing w:before="0" w:beforeAutospacing="0" w:after="0" w:afterAutospacing="0" w:line="14" w:lineRule="auto"/>
        <w:jc w:val="center"/>
        <w:outlineLvl w:val="0"/>
        <w:rPr>
          <w:rFonts w:ascii="黑体" w:hAnsi="黑体" w:eastAsia="黑体"/>
          <w:snapToGrid w:val="0"/>
          <w:color w:val="auto"/>
          <w:sz w:val="30"/>
          <w:szCs w:val="30"/>
        </w:rPr>
      </w:pPr>
    </w:p>
    <w:p>
      <w:pPr>
        <w:pStyle w:val="19"/>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三、区域环境质量现状、环境保护目标及评价标准</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00" w:type="dxa"/>
            <w:vAlign w:val="center"/>
          </w:tcPr>
          <w:p>
            <w:pPr>
              <w:adjustRightInd w:val="0"/>
              <w:snapToGrid w:val="0"/>
              <w:jc w:val="center"/>
              <w:rPr>
                <w:rFonts w:ascii="宋体" w:hAnsi="宋体" w:cs="宋体"/>
                <w:color w:val="auto"/>
                <w:kern w:val="0"/>
                <w:szCs w:val="21"/>
              </w:rPr>
            </w:pPr>
            <w:r>
              <w:rPr>
                <w:rFonts w:hint="eastAsia" w:ascii="宋体" w:hAnsi="宋体" w:cs="宋体"/>
                <w:color w:val="auto"/>
                <w:kern w:val="0"/>
                <w:szCs w:val="21"/>
              </w:rPr>
              <w:t>区域</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环境</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质量</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现状</w:t>
            </w:r>
          </w:p>
        </w:tc>
        <w:tc>
          <w:tcPr>
            <w:tcW w:w="8190" w:type="dxa"/>
          </w:tcPr>
          <w:p>
            <w:pPr>
              <w:adjustRightInd w:val="0"/>
              <w:snapToGrid w:val="0"/>
              <w:spacing w:line="360" w:lineRule="auto"/>
              <w:rPr>
                <w:b/>
                <w:bCs/>
                <w:color w:val="auto"/>
                <w:sz w:val="24"/>
              </w:rPr>
            </w:pPr>
            <w:r>
              <w:rPr>
                <w:rFonts w:hint="eastAsia"/>
                <w:b/>
                <w:bCs/>
                <w:color w:val="auto"/>
                <w:sz w:val="24"/>
              </w:rPr>
              <w:t>1.</w:t>
            </w:r>
            <w:r>
              <w:rPr>
                <w:b/>
                <w:bCs/>
                <w:color w:val="auto"/>
                <w:sz w:val="24"/>
              </w:rPr>
              <w:t>环境空气质量现状</w:t>
            </w:r>
          </w:p>
          <w:p>
            <w:pPr>
              <w:adjustRightInd w:val="0"/>
              <w:snapToGrid w:val="0"/>
              <w:spacing w:line="360" w:lineRule="auto"/>
              <w:ind w:firstLine="480"/>
              <w:rPr>
                <w:color w:val="auto"/>
                <w:sz w:val="24"/>
              </w:rPr>
            </w:pPr>
            <w:r>
              <w:rPr>
                <w:color w:val="auto"/>
                <w:sz w:val="24"/>
              </w:rPr>
              <w:t>根据《重庆市环境空气质量功能区划分规定》（渝府发[2016]19）的相关规定，本项目所在地环境空气功能区划为二类区。</w:t>
            </w:r>
          </w:p>
          <w:p>
            <w:pPr>
              <w:adjustRightInd w:val="0"/>
              <w:snapToGrid w:val="0"/>
              <w:spacing w:line="360" w:lineRule="auto"/>
              <w:ind w:firstLine="480"/>
              <w:rPr>
                <w:color w:val="auto"/>
                <w:sz w:val="24"/>
              </w:rPr>
            </w:pPr>
            <w:r>
              <w:rPr>
                <w:color w:val="auto"/>
                <w:sz w:val="24"/>
              </w:rPr>
              <w:t>（1）区域达标</w:t>
            </w:r>
          </w:p>
          <w:p>
            <w:pPr>
              <w:adjustRightInd w:val="0"/>
              <w:snapToGrid w:val="0"/>
              <w:spacing w:line="360" w:lineRule="auto"/>
              <w:ind w:firstLine="480" w:firstLineChars="200"/>
              <w:rPr>
                <w:color w:val="auto"/>
                <w:sz w:val="24"/>
              </w:rPr>
            </w:pPr>
            <w:r>
              <w:rPr>
                <w:color w:val="auto"/>
                <w:sz w:val="24"/>
              </w:rPr>
              <w:t>本评价引用《20</w:t>
            </w:r>
            <w:r>
              <w:rPr>
                <w:rFonts w:hint="eastAsia"/>
                <w:color w:val="auto"/>
                <w:sz w:val="24"/>
              </w:rPr>
              <w:t>2</w:t>
            </w:r>
            <w:r>
              <w:rPr>
                <w:rFonts w:hint="eastAsia"/>
                <w:color w:val="auto"/>
                <w:sz w:val="24"/>
                <w:lang w:val="en-US" w:eastAsia="zh-CN"/>
              </w:rPr>
              <w:t>2</w:t>
            </w:r>
            <w:r>
              <w:rPr>
                <w:color w:val="auto"/>
                <w:sz w:val="24"/>
              </w:rPr>
              <w:t>年重庆市生态环境状况公报》中</w:t>
            </w:r>
            <w:r>
              <w:rPr>
                <w:rFonts w:hint="eastAsia"/>
                <w:color w:val="auto"/>
                <w:sz w:val="24"/>
              </w:rPr>
              <w:t>铜梁区</w:t>
            </w:r>
            <w:r>
              <w:rPr>
                <w:color w:val="auto"/>
                <w:sz w:val="24"/>
              </w:rPr>
              <w:t>环境空气质量现状数据，区域环境质量现状见表3.1。</w:t>
            </w:r>
          </w:p>
          <w:p>
            <w:pPr>
              <w:adjustRightInd w:val="0"/>
              <w:snapToGrid w:val="0"/>
              <w:spacing w:line="360" w:lineRule="auto"/>
              <w:jc w:val="center"/>
              <w:rPr>
                <w:color w:val="auto"/>
                <w:sz w:val="24"/>
              </w:rPr>
            </w:pPr>
            <w:r>
              <w:rPr>
                <w:color w:val="auto"/>
                <w:sz w:val="24"/>
              </w:rPr>
              <w:t>表3.1 区划环境质量现状</w:t>
            </w:r>
          </w:p>
          <w:tbl>
            <w:tblPr>
              <w:tblStyle w:val="23"/>
              <w:tblW w:w="5000"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3244"/>
              <w:gridCol w:w="1136"/>
              <w:gridCol w:w="1136"/>
              <w:gridCol w:w="883"/>
              <w:gridCol w:w="88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7" w:type="pct"/>
                  <w:tcBorders>
                    <w:tl2br w:val="nil"/>
                    <w:tr2bl w:val="nil"/>
                  </w:tcBorders>
                  <w:vAlign w:val="center"/>
                </w:tcPr>
                <w:p>
                  <w:pPr>
                    <w:adjustRightInd w:val="0"/>
                    <w:snapToGrid w:val="0"/>
                    <w:jc w:val="center"/>
                    <w:rPr>
                      <w:color w:val="auto"/>
                      <w:szCs w:val="21"/>
                    </w:rPr>
                  </w:pPr>
                  <w:r>
                    <w:rPr>
                      <w:color w:val="auto"/>
                      <w:szCs w:val="21"/>
                    </w:rPr>
                    <w:t>污染物</w:t>
                  </w:r>
                </w:p>
              </w:tc>
              <w:tc>
                <w:tcPr>
                  <w:tcW w:w="2077" w:type="pct"/>
                  <w:tcBorders>
                    <w:tl2br w:val="nil"/>
                    <w:tr2bl w:val="nil"/>
                  </w:tcBorders>
                  <w:vAlign w:val="center"/>
                </w:tcPr>
                <w:p>
                  <w:pPr>
                    <w:adjustRightInd w:val="0"/>
                    <w:snapToGrid w:val="0"/>
                    <w:jc w:val="center"/>
                    <w:rPr>
                      <w:color w:val="auto"/>
                      <w:szCs w:val="21"/>
                    </w:rPr>
                  </w:pPr>
                  <w:r>
                    <w:rPr>
                      <w:color w:val="auto"/>
                      <w:szCs w:val="21"/>
                    </w:rPr>
                    <w:t>年评价指标</w:t>
                  </w:r>
                </w:p>
              </w:tc>
              <w:tc>
                <w:tcPr>
                  <w:tcW w:w="627" w:type="pct"/>
                  <w:tcBorders>
                    <w:tl2br w:val="nil"/>
                    <w:tr2bl w:val="nil"/>
                  </w:tcBorders>
                  <w:vAlign w:val="center"/>
                </w:tcPr>
                <w:p>
                  <w:pPr>
                    <w:adjustRightInd w:val="0"/>
                    <w:snapToGrid w:val="0"/>
                    <w:jc w:val="center"/>
                    <w:rPr>
                      <w:color w:val="auto"/>
                      <w:szCs w:val="21"/>
                    </w:rPr>
                  </w:pPr>
                  <w:r>
                    <w:rPr>
                      <w:color w:val="auto"/>
                      <w:szCs w:val="21"/>
                    </w:rPr>
                    <w:t>现状浓度</w:t>
                  </w:r>
                </w:p>
                <w:p>
                  <w:pPr>
                    <w:adjustRightInd w:val="0"/>
                    <w:snapToGrid w:val="0"/>
                    <w:jc w:val="center"/>
                    <w:rPr>
                      <w:color w:val="auto"/>
                      <w:szCs w:val="21"/>
                    </w:rPr>
                  </w:pPr>
                  <w:r>
                    <w:rPr>
                      <w:color w:val="auto"/>
                      <w:szCs w:val="21"/>
                    </w:rPr>
                    <w:t>（ug/m</w:t>
                  </w:r>
                  <w:r>
                    <w:rPr>
                      <w:color w:val="auto"/>
                      <w:szCs w:val="21"/>
                      <w:vertAlign w:val="superscript"/>
                    </w:rPr>
                    <w:t>3</w:t>
                  </w:r>
                  <w:r>
                    <w:rPr>
                      <w:color w:val="auto"/>
                      <w:szCs w:val="21"/>
                    </w:rPr>
                    <w:t>）</w:t>
                  </w:r>
                </w:p>
              </w:tc>
              <w:tc>
                <w:tcPr>
                  <w:tcW w:w="627" w:type="pct"/>
                  <w:tcBorders>
                    <w:tl2br w:val="nil"/>
                    <w:tr2bl w:val="nil"/>
                  </w:tcBorders>
                  <w:vAlign w:val="center"/>
                </w:tcPr>
                <w:p>
                  <w:pPr>
                    <w:adjustRightInd w:val="0"/>
                    <w:snapToGrid w:val="0"/>
                    <w:jc w:val="center"/>
                    <w:rPr>
                      <w:color w:val="auto"/>
                      <w:szCs w:val="21"/>
                    </w:rPr>
                  </w:pPr>
                  <w:r>
                    <w:rPr>
                      <w:color w:val="auto"/>
                      <w:szCs w:val="21"/>
                    </w:rPr>
                    <w:t>标准值</w:t>
                  </w:r>
                </w:p>
                <w:p>
                  <w:pPr>
                    <w:adjustRightInd w:val="0"/>
                    <w:snapToGrid w:val="0"/>
                    <w:jc w:val="center"/>
                    <w:rPr>
                      <w:color w:val="auto"/>
                      <w:szCs w:val="21"/>
                    </w:rPr>
                  </w:pPr>
                  <w:r>
                    <w:rPr>
                      <w:color w:val="auto"/>
                      <w:szCs w:val="21"/>
                    </w:rPr>
                    <w:t>（ug/m</w:t>
                  </w:r>
                  <w:r>
                    <w:rPr>
                      <w:color w:val="auto"/>
                      <w:szCs w:val="21"/>
                      <w:vertAlign w:val="superscript"/>
                    </w:rPr>
                    <w:t>3</w:t>
                  </w:r>
                  <w:r>
                    <w:rPr>
                      <w:color w:val="auto"/>
                      <w:szCs w:val="21"/>
                    </w:rPr>
                    <w:t>）</w:t>
                  </w:r>
                </w:p>
              </w:tc>
              <w:tc>
                <w:tcPr>
                  <w:tcW w:w="596" w:type="pct"/>
                  <w:tcBorders>
                    <w:tl2br w:val="nil"/>
                    <w:tr2bl w:val="nil"/>
                  </w:tcBorders>
                  <w:vAlign w:val="center"/>
                </w:tcPr>
                <w:p>
                  <w:pPr>
                    <w:adjustRightInd w:val="0"/>
                    <w:snapToGrid w:val="0"/>
                    <w:jc w:val="center"/>
                    <w:rPr>
                      <w:color w:val="auto"/>
                      <w:szCs w:val="21"/>
                    </w:rPr>
                  </w:pPr>
                  <w:r>
                    <w:rPr>
                      <w:color w:val="auto"/>
                      <w:szCs w:val="21"/>
                    </w:rPr>
                    <w:t>占标率</w:t>
                  </w:r>
                </w:p>
                <w:p>
                  <w:pPr>
                    <w:adjustRightInd w:val="0"/>
                    <w:snapToGrid w:val="0"/>
                    <w:jc w:val="center"/>
                    <w:rPr>
                      <w:color w:val="auto"/>
                      <w:szCs w:val="21"/>
                    </w:rPr>
                  </w:pPr>
                  <w:r>
                    <w:rPr>
                      <w:color w:val="auto"/>
                      <w:szCs w:val="21"/>
                    </w:rPr>
                    <w:t>（%）</w:t>
                  </w:r>
                </w:p>
              </w:tc>
              <w:tc>
                <w:tcPr>
                  <w:tcW w:w="596" w:type="pct"/>
                  <w:tcBorders>
                    <w:tl2br w:val="nil"/>
                    <w:tr2bl w:val="nil"/>
                  </w:tcBorders>
                  <w:vAlign w:val="center"/>
                </w:tcPr>
                <w:p>
                  <w:pPr>
                    <w:adjustRightInd w:val="0"/>
                    <w:snapToGrid w:val="0"/>
                    <w:jc w:val="center"/>
                    <w:rPr>
                      <w:color w:val="auto"/>
                      <w:szCs w:val="21"/>
                    </w:rPr>
                  </w:pPr>
                  <w:r>
                    <w:rPr>
                      <w:color w:val="auto"/>
                      <w:szCs w:val="21"/>
                    </w:rPr>
                    <w:t>达标</w:t>
                  </w:r>
                </w:p>
                <w:p>
                  <w:pPr>
                    <w:adjustRightInd w:val="0"/>
                    <w:snapToGrid w:val="0"/>
                    <w:jc w:val="center"/>
                    <w:rPr>
                      <w:color w:val="auto"/>
                      <w:szCs w:val="21"/>
                    </w:rPr>
                  </w:pPr>
                  <w:r>
                    <w:rPr>
                      <w:color w:val="auto"/>
                      <w:szCs w:val="21"/>
                    </w:rPr>
                    <w:t>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7" w:type="pct"/>
                  <w:tcBorders>
                    <w:tl2br w:val="nil"/>
                    <w:tr2bl w:val="nil"/>
                  </w:tcBorders>
                  <w:vAlign w:val="center"/>
                </w:tcPr>
                <w:p>
                  <w:pPr>
                    <w:adjustRightInd w:val="0"/>
                    <w:snapToGrid w:val="0"/>
                    <w:jc w:val="center"/>
                    <w:rPr>
                      <w:color w:val="auto"/>
                      <w:szCs w:val="21"/>
                    </w:rPr>
                  </w:pPr>
                  <w:r>
                    <w:rPr>
                      <w:color w:val="auto"/>
                      <w:szCs w:val="21"/>
                    </w:rPr>
                    <w:t>SO</w:t>
                  </w:r>
                  <w:r>
                    <w:rPr>
                      <w:color w:val="auto"/>
                      <w:szCs w:val="21"/>
                      <w:vertAlign w:val="subscript"/>
                    </w:rPr>
                    <w:t>2</w:t>
                  </w:r>
                </w:p>
              </w:tc>
              <w:tc>
                <w:tcPr>
                  <w:tcW w:w="2077" w:type="pct"/>
                  <w:vMerge w:val="restart"/>
                  <w:tcBorders>
                    <w:tl2br w:val="nil"/>
                    <w:tr2bl w:val="nil"/>
                  </w:tcBorders>
                  <w:vAlign w:val="center"/>
                </w:tcPr>
                <w:p>
                  <w:pPr>
                    <w:adjustRightInd w:val="0"/>
                    <w:snapToGrid w:val="0"/>
                    <w:jc w:val="center"/>
                    <w:rPr>
                      <w:color w:val="auto"/>
                      <w:szCs w:val="21"/>
                    </w:rPr>
                  </w:pPr>
                  <w:r>
                    <w:rPr>
                      <w:color w:val="auto"/>
                      <w:szCs w:val="21"/>
                    </w:rPr>
                    <w:t>年评价质量浓度</w:t>
                  </w:r>
                </w:p>
              </w:tc>
              <w:tc>
                <w:tcPr>
                  <w:tcW w:w="1136" w:type="dxa"/>
                  <w:tcBorders>
                    <w:tl2br w:val="nil"/>
                    <w:tr2bl w:val="nil"/>
                  </w:tcBorders>
                  <w:vAlign w:val="center"/>
                </w:tcPr>
                <w:p>
                  <w:pPr>
                    <w:jc w:val="center"/>
                    <w:rPr>
                      <w:rFonts w:hint="default" w:eastAsia="宋体"/>
                      <w:color w:val="auto"/>
                      <w:szCs w:val="21"/>
                      <w:lang w:val="en-US" w:eastAsia="zh-CN"/>
                    </w:rPr>
                  </w:pPr>
                  <w:r>
                    <w:rPr>
                      <w:rFonts w:hint="eastAsia"/>
                      <w:color w:val="auto"/>
                      <w:szCs w:val="21"/>
                      <w:lang w:val="en-US" w:eastAsia="zh-CN"/>
                    </w:rPr>
                    <w:t>11</w:t>
                  </w:r>
                </w:p>
              </w:tc>
              <w:tc>
                <w:tcPr>
                  <w:tcW w:w="627" w:type="pct"/>
                  <w:tcBorders>
                    <w:tl2br w:val="nil"/>
                    <w:tr2bl w:val="nil"/>
                  </w:tcBorders>
                  <w:vAlign w:val="center"/>
                </w:tcPr>
                <w:p>
                  <w:pPr>
                    <w:adjustRightInd w:val="0"/>
                    <w:snapToGrid w:val="0"/>
                    <w:jc w:val="center"/>
                    <w:rPr>
                      <w:color w:val="auto"/>
                      <w:szCs w:val="21"/>
                    </w:rPr>
                  </w:pPr>
                  <w:r>
                    <w:rPr>
                      <w:color w:val="auto"/>
                      <w:szCs w:val="21"/>
                    </w:rPr>
                    <w:t>60</w:t>
                  </w:r>
                </w:p>
              </w:tc>
              <w:tc>
                <w:tcPr>
                  <w:tcW w:w="596" w:type="pct"/>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18.3</w:t>
                  </w:r>
                </w:p>
              </w:tc>
              <w:tc>
                <w:tcPr>
                  <w:tcW w:w="596" w:type="pct"/>
                  <w:tcBorders>
                    <w:tl2br w:val="nil"/>
                    <w:tr2bl w:val="nil"/>
                  </w:tcBorders>
                  <w:vAlign w:val="center"/>
                </w:tcPr>
                <w:p>
                  <w:pPr>
                    <w:adjustRightInd w:val="0"/>
                    <w:snapToGrid w:val="0"/>
                    <w:jc w:val="center"/>
                    <w:rPr>
                      <w:color w:val="auto"/>
                      <w:szCs w:val="21"/>
                    </w:rPr>
                  </w:pPr>
                  <w:r>
                    <w:rPr>
                      <w:color w:val="auto"/>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7" w:type="pct"/>
                  <w:tcBorders>
                    <w:tl2br w:val="nil"/>
                    <w:tr2bl w:val="nil"/>
                  </w:tcBorders>
                  <w:vAlign w:val="center"/>
                </w:tcPr>
                <w:p>
                  <w:pPr>
                    <w:adjustRightInd w:val="0"/>
                    <w:snapToGrid w:val="0"/>
                    <w:jc w:val="center"/>
                    <w:rPr>
                      <w:color w:val="auto"/>
                      <w:szCs w:val="21"/>
                    </w:rPr>
                  </w:pPr>
                  <w:r>
                    <w:rPr>
                      <w:color w:val="auto"/>
                      <w:szCs w:val="21"/>
                    </w:rPr>
                    <w:t>NO</w:t>
                  </w:r>
                  <w:r>
                    <w:rPr>
                      <w:color w:val="auto"/>
                      <w:szCs w:val="21"/>
                      <w:vertAlign w:val="subscript"/>
                    </w:rPr>
                    <w:t>2</w:t>
                  </w:r>
                </w:p>
              </w:tc>
              <w:tc>
                <w:tcPr>
                  <w:tcW w:w="3312" w:type="dxa"/>
                  <w:vMerge w:val="continue"/>
                  <w:tcBorders>
                    <w:tl2br w:val="nil"/>
                    <w:tr2bl w:val="nil"/>
                  </w:tcBorders>
                  <w:vAlign w:val="center"/>
                </w:tcPr>
                <w:p>
                  <w:pPr>
                    <w:widowControl/>
                    <w:jc w:val="left"/>
                    <w:rPr>
                      <w:color w:val="auto"/>
                      <w:szCs w:val="21"/>
                    </w:rPr>
                  </w:pPr>
                </w:p>
              </w:tc>
              <w:tc>
                <w:tcPr>
                  <w:tcW w:w="1136" w:type="dxa"/>
                  <w:tcBorders>
                    <w:tl2br w:val="nil"/>
                    <w:tr2bl w:val="nil"/>
                  </w:tcBorders>
                  <w:vAlign w:val="center"/>
                </w:tcPr>
                <w:p>
                  <w:pPr>
                    <w:jc w:val="center"/>
                    <w:rPr>
                      <w:rFonts w:hint="default" w:eastAsia="宋体"/>
                      <w:color w:val="auto"/>
                      <w:szCs w:val="21"/>
                      <w:lang w:val="en-US" w:eastAsia="zh-CN"/>
                    </w:rPr>
                  </w:pPr>
                  <w:r>
                    <w:rPr>
                      <w:rFonts w:hint="eastAsia"/>
                      <w:color w:val="auto"/>
                      <w:szCs w:val="21"/>
                      <w:lang w:val="en-US" w:eastAsia="zh-CN"/>
                    </w:rPr>
                    <w:t>27</w:t>
                  </w:r>
                </w:p>
              </w:tc>
              <w:tc>
                <w:tcPr>
                  <w:tcW w:w="627" w:type="pct"/>
                  <w:tcBorders>
                    <w:tl2br w:val="nil"/>
                    <w:tr2bl w:val="nil"/>
                  </w:tcBorders>
                  <w:vAlign w:val="center"/>
                </w:tcPr>
                <w:p>
                  <w:pPr>
                    <w:adjustRightInd w:val="0"/>
                    <w:snapToGrid w:val="0"/>
                    <w:jc w:val="center"/>
                    <w:rPr>
                      <w:color w:val="auto"/>
                      <w:szCs w:val="21"/>
                    </w:rPr>
                  </w:pPr>
                  <w:r>
                    <w:rPr>
                      <w:color w:val="auto"/>
                      <w:szCs w:val="21"/>
                    </w:rPr>
                    <w:t>40</w:t>
                  </w:r>
                </w:p>
              </w:tc>
              <w:tc>
                <w:tcPr>
                  <w:tcW w:w="596" w:type="pct"/>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67.5</w:t>
                  </w:r>
                </w:p>
              </w:tc>
              <w:tc>
                <w:tcPr>
                  <w:tcW w:w="596" w:type="pct"/>
                  <w:tcBorders>
                    <w:tl2br w:val="nil"/>
                    <w:tr2bl w:val="nil"/>
                  </w:tcBorders>
                  <w:vAlign w:val="center"/>
                </w:tcPr>
                <w:p>
                  <w:pPr>
                    <w:adjustRightInd w:val="0"/>
                    <w:snapToGrid w:val="0"/>
                    <w:jc w:val="center"/>
                    <w:rPr>
                      <w:color w:val="auto"/>
                      <w:szCs w:val="21"/>
                    </w:rPr>
                  </w:pPr>
                  <w:r>
                    <w:rPr>
                      <w:color w:val="auto"/>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7" w:type="pct"/>
                  <w:tcBorders>
                    <w:tl2br w:val="nil"/>
                    <w:tr2bl w:val="nil"/>
                  </w:tcBorders>
                  <w:vAlign w:val="center"/>
                </w:tcPr>
                <w:p>
                  <w:pPr>
                    <w:adjustRightInd w:val="0"/>
                    <w:snapToGrid w:val="0"/>
                    <w:jc w:val="center"/>
                    <w:rPr>
                      <w:color w:val="auto"/>
                      <w:szCs w:val="21"/>
                    </w:rPr>
                  </w:pPr>
                  <w:r>
                    <w:rPr>
                      <w:color w:val="auto"/>
                      <w:szCs w:val="21"/>
                    </w:rPr>
                    <w:t>PM</w:t>
                  </w:r>
                  <w:r>
                    <w:rPr>
                      <w:color w:val="auto"/>
                      <w:szCs w:val="21"/>
                      <w:vertAlign w:val="subscript"/>
                    </w:rPr>
                    <w:t>10</w:t>
                  </w:r>
                </w:p>
              </w:tc>
              <w:tc>
                <w:tcPr>
                  <w:tcW w:w="3312" w:type="dxa"/>
                  <w:vMerge w:val="continue"/>
                  <w:tcBorders>
                    <w:tl2br w:val="nil"/>
                    <w:tr2bl w:val="nil"/>
                  </w:tcBorders>
                  <w:vAlign w:val="center"/>
                </w:tcPr>
                <w:p>
                  <w:pPr>
                    <w:widowControl/>
                    <w:jc w:val="left"/>
                    <w:rPr>
                      <w:color w:val="auto"/>
                      <w:szCs w:val="21"/>
                    </w:rPr>
                  </w:pPr>
                </w:p>
              </w:tc>
              <w:tc>
                <w:tcPr>
                  <w:tcW w:w="1136" w:type="dxa"/>
                  <w:tcBorders>
                    <w:tl2br w:val="nil"/>
                    <w:tr2bl w:val="nil"/>
                  </w:tcBorders>
                  <w:vAlign w:val="center"/>
                </w:tcPr>
                <w:p>
                  <w:pPr>
                    <w:jc w:val="center"/>
                    <w:rPr>
                      <w:rFonts w:hint="default" w:eastAsia="宋体"/>
                      <w:color w:val="auto"/>
                      <w:szCs w:val="21"/>
                      <w:lang w:val="en-US" w:eastAsia="zh-CN"/>
                    </w:rPr>
                  </w:pPr>
                  <w:r>
                    <w:rPr>
                      <w:rFonts w:hint="eastAsia"/>
                      <w:color w:val="auto"/>
                      <w:szCs w:val="21"/>
                      <w:lang w:val="en-US" w:eastAsia="zh-CN"/>
                    </w:rPr>
                    <w:t>53</w:t>
                  </w:r>
                </w:p>
              </w:tc>
              <w:tc>
                <w:tcPr>
                  <w:tcW w:w="627" w:type="pct"/>
                  <w:tcBorders>
                    <w:tl2br w:val="nil"/>
                    <w:tr2bl w:val="nil"/>
                  </w:tcBorders>
                  <w:vAlign w:val="center"/>
                </w:tcPr>
                <w:p>
                  <w:pPr>
                    <w:adjustRightInd w:val="0"/>
                    <w:snapToGrid w:val="0"/>
                    <w:jc w:val="center"/>
                    <w:rPr>
                      <w:color w:val="auto"/>
                      <w:szCs w:val="21"/>
                    </w:rPr>
                  </w:pPr>
                  <w:r>
                    <w:rPr>
                      <w:color w:val="auto"/>
                      <w:szCs w:val="21"/>
                    </w:rPr>
                    <w:t>70</w:t>
                  </w:r>
                </w:p>
              </w:tc>
              <w:tc>
                <w:tcPr>
                  <w:tcW w:w="596" w:type="pct"/>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75.7</w:t>
                  </w:r>
                </w:p>
              </w:tc>
              <w:tc>
                <w:tcPr>
                  <w:tcW w:w="596" w:type="pct"/>
                  <w:tcBorders>
                    <w:tl2br w:val="nil"/>
                    <w:tr2bl w:val="nil"/>
                  </w:tcBorders>
                  <w:vAlign w:val="center"/>
                </w:tcPr>
                <w:p>
                  <w:pPr>
                    <w:adjustRightInd w:val="0"/>
                    <w:snapToGrid w:val="0"/>
                    <w:jc w:val="center"/>
                    <w:rPr>
                      <w:color w:val="auto"/>
                      <w:szCs w:val="21"/>
                    </w:rPr>
                  </w:pPr>
                  <w:r>
                    <w:rPr>
                      <w:color w:val="auto"/>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7" w:type="pct"/>
                  <w:tcBorders>
                    <w:tl2br w:val="nil"/>
                    <w:tr2bl w:val="nil"/>
                  </w:tcBorders>
                  <w:vAlign w:val="center"/>
                </w:tcPr>
                <w:p>
                  <w:pPr>
                    <w:adjustRightInd w:val="0"/>
                    <w:snapToGrid w:val="0"/>
                    <w:jc w:val="center"/>
                    <w:rPr>
                      <w:color w:val="auto"/>
                      <w:szCs w:val="21"/>
                    </w:rPr>
                  </w:pPr>
                  <w:r>
                    <w:rPr>
                      <w:color w:val="auto"/>
                      <w:szCs w:val="21"/>
                    </w:rPr>
                    <w:t>PM</w:t>
                  </w:r>
                  <w:r>
                    <w:rPr>
                      <w:color w:val="auto"/>
                      <w:szCs w:val="21"/>
                      <w:vertAlign w:val="subscript"/>
                    </w:rPr>
                    <w:t>2.5</w:t>
                  </w:r>
                </w:p>
              </w:tc>
              <w:tc>
                <w:tcPr>
                  <w:tcW w:w="3312" w:type="dxa"/>
                  <w:vMerge w:val="continue"/>
                  <w:tcBorders>
                    <w:tl2br w:val="nil"/>
                    <w:tr2bl w:val="nil"/>
                  </w:tcBorders>
                  <w:vAlign w:val="center"/>
                </w:tcPr>
                <w:p>
                  <w:pPr>
                    <w:widowControl/>
                    <w:jc w:val="left"/>
                    <w:rPr>
                      <w:color w:val="auto"/>
                      <w:szCs w:val="21"/>
                    </w:rPr>
                  </w:pPr>
                </w:p>
              </w:tc>
              <w:tc>
                <w:tcPr>
                  <w:tcW w:w="1136" w:type="dxa"/>
                  <w:tcBorders>
                    <w:tl2br w:val="nil"/>
                    <w:tr2bl w:val="nil"/>
                  </w:tcBorders>
                  <w:vAlign w:val="center"/>
                </w:tcPr>
                <w:p>
                  <w:pPr>
                    <w:jc w:val="center"/>
                    <w:rPr>
                      <w:rFonts w:hint="default" w:eastAsia="宋体"/>
                      <w:color w:val="auto"/>
                      <w:szCs w:val="21"/>
                      <w:lang w:val="en-US" w:eastAsia="zh-CN"/>
                    </w:rPr>
                  </w:pPr>
                  <w:r>
                    <w:rPr>
                      <w:rFonts w:hint="eastAsia"/>
                      <w:color w:val="auto"/>
                      <w:szCs w:val="21"/>
                      <w:lang w:val="en-US" w:eastAsia="zh-CN"/>
                    </w:rPr>
                    <w:t>34</w:t>
                  </w:r>
                </w:p>
              </w:tc>
              <w:tc>
                <w:tcPr>
                  <w:tcW w:w="627" w:type="pct"/>
                  <w:tcBorders>
                    <w:tl2br w:val="nil"/>
                    <w:tr2bl w:val="nil"/>
                  </w:tcBorders>
                  <w:vAlign w:val="center"/>
                </w:tcPr>
                <w:p>
                  <w:pPr>
                    <w:adjustRightInd w:val="0"/>
                    <w:snapToGrid w:val="0"/>
                    <w:jc w:val="center"/>
                    <w:rPr>
                      <w:color w:val="auto"/>
                      <w:szCs w:val="21"/>
                    </w:rPr>
                  </w:pPr>
                  <w:r>
                    <w:rPr>
                      <w:color w:val="auto"/>
                      <w:szCs w:val="21"/>
                    </w:rPr>
                    <w:t>35</w:t>
                  </w:r>
                </w:p>
              </w:tc>
              <w:tc>
                <w:tcPr>
                  <w:tcW w:w="596" w:type="pct"/>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97.1</w:t>
                  </w:r>
                </w:p>
              </w:tc>
              <w:tc>
                <w:tcPr>
                  <w:tcW w:w="596" w:type="pct"/>
                  <w:tcBorders>
                    <w:tl2br w:val="nil"/>
                    <w:tr2bl w:val="nil"/>
                  </w:tcBorders>
                  <w:vAlign w:val="center"/>
                </w:tcPr>
                <w:p>
                  <w:pPr>
                    <w:adjustRightInd w:val="0"/>
                    <w:snapToGrid w:val="0"/>
                    <w:jc w:val="center"/>
                    <w:rPr>
                      <w:rFonts w:hint="eastAsia" w:eastAsia="宋体"/>
                      <w:color w:val="auto"/>
                      <w:szCs w:val="21"/>
                      <w:lang w:eastAsia="zh-CN"/>
                    </w:rPr>
                  </w:pPr>
                  <w:r>
                    <w:rPr>
                      <w:color w:val="auto"/>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7" w:type="pct"/>
                  <w:tcBorders>
                    <w:tl2br w:val="nil"/>
                    <w:tr2bl w:val="nil"/>
                  </w:tcBorders>
                  <w:vAlign w:val="center"/>
                </w:tcPr>
                <w:p>
                  <w:pPr>
                    <w:adjustRightInd w:val="0"/>
                    <w:snapToGrid w:val="0"/>
                    <w:jc w:val="center"/>
                    <w:rPr>
                      <w:color w:val="auto"/>
                      <w:szCs w:val="21"/>
                    </w:rPr>
                  </w:pPr>
                  <w:r>
                    <w:rPr>
                      <w:color w:val="auto"/>
                      <w:szCs w:val="21"/>
                    </w:rPr>
                    <w:t>CO</w:t>
                  </w:r>
                </w:p>
              </w:tc>
              <w:tc>
                <w:tcPr>
                  <w:tcW w:w="2077" w:type="pct"/>
                  <w:tcBorders>
                    <w:tl2br w:val="nil"/>
                    <w:tr2bl w:val="nil"/>
                  </w:tcBorders>
                  <w:vAlign w:val="center"/>
                </w:tcPr>
                <w:p>
                  <w:pPr>
                    <w:adjustRightInd w:val="0"/>
                    <w:snapToGrid w:val="0"/>
                    <w:jc w:val="center"/>
                    <w:rPr>
                      <w:color w:val="auto"/>
                      <w:szCs w:val="21"/>
                    </w:rPr>
                  </w:pPr>
                  <w:r>
                    <w:rPr>
                      <w:color w:val="auto"/>
                      <w:szCs w:val="21"/>
                    </w:rPr>
                    <w:t>第95百分位24小时平均质量浓度</w:t>
                  </w:r>
                </w:p>
              </w:tc>
              <w:tc>
                <w:tcPr>
                  <w:tcW w:w="627" w:type="pct"/>
                  <w:tcBorders>
                    <w:tl2br w:val="nil"/>
                    <w:tr2bl w:val="nil"/>
                  </w:tcBorders>
                  <w:vAlign w:val="center"/>
                </w:tcPr>
                <w:p>
                  <w:pPr>
                    <w:adjustRightInd w:val="0"/>
                    <w:snapToGrid w:val="0"/>
                    <w:jc w:val="center"/>
                    <w:rPr>
                      <w:color w:val="auto"/>
                      <w:szCs w:val="21"/>
                    </w:rPr>
                  </w:pPr>
                  <w:r>
                    <w:rPr>
                      <w:color w:val="auto"/>
                      <w:szCs w:val="21"/>
                    </w:rPr>
                    <w:t>1.</w:t>
                  </w:r>
                  <w:r>
                    <w:rPr>
                      <w:rFonts w:hint="eastAsia"/>
                      <w:color w:val="auto"/>
                      <w:szCs w:val="21"/>
                      <w:lang w:val="en-US" w:eastAsia="zh-CN"/>
                    </w:rPr>
                    <w:t>0</w:t>
                  </w:r>
                  <w:r>
                    <w:rPr>
                      <w:color w:val="auto"/>
                      <w:szCs w:val="21"/>
                    </w:rPr>
                    <w:t>mg/m</w:t>
                  </w:r>
                  <w:r>
                    <w:rPr>
                      <w:color w:val="auto"/>
                      <w:szCs w:val="21"/>
                      <w:vertAlign w:val="superscript"/>
                    </w:rPr>
                    <w:t>3</w:t>
                  </w:r>
                </w:p>
              </w:tc>
              <w:tc>
                <w:tcPr>
                  <w:tcW w:w="627" w:type="pct"/>
                  <w:tcBorders>
                    <w:tl2br w:val="nil"/>
                    <w:tr2bl w:val="nil"/>
                  </w:tcBorders>
                  <w:vAlign w:val="center"/>
                </w:tcPr>
                <w:p>
                  <w:pPr>
                    <w:adjustRightInd w:val="0"/>
                    <w:snapToGrid w:val="0"/>
                    <w:jc w:val="center"/>
                    <w:rPr>
                      <w:color w:val="auto"/>
                      <w:szCs w:val="21"/>
                    </w:rPr>
                  </w:pPr>
                  <w:r>
                    <w:rPr>
                      <w:color w:val="auto"/>
                      <w:szCs w:val="21"/>
                    </w:rPr>
                    <w:t>4mg/m</w:t>
                  </w:r>
                  <w:r>
                    <w:rPr>
                      <w:color w:val="auto"/>
                      <w:szCs w:val="21"/>
                      <w:vertAlign w:val="superscript"/>
                    </w:rPr>
                    <w:t>3</w:t>
                  </w:r>
                </w:p>
              </w:tc>
              <w:tc>
                <w:tcPr>
                  <w:tcW w:w="596" w:type="pct"/>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25.0</w:t>
                  </w:r>
                </w:p>
              </w:tc>
              <w:tc>
                <w:tcPr>
                  <w:tcW w:w="596" w:type="pct"/>
                  <w:tcBorders>
                    <w:tl2br w:val="nil"/>
                    <w:tr2bl w:val="nil"/>
                  </w:tcBorders>
                  <w:vAlign w:val="center"/>
                </w:tcPr>
                <w:p>
                  <w:pPr>
                    <w:adjustRightInd w:val="0"/>
                    <w:snapToGrid w:val="0"/>
                    <w:jc w:val="center"/>
                    <w:rPr>
                      <w:color w:val="auto"/>
                      <w:szCs w:val="21"/>
                    </w:rPr>
                  </w:pPr>
                  <w:r>
                    <w:rPr>
                      <w:color w:val="auto"/>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7" w:type="pct"/>
                  <w:tcBorders>
                    <w:tl2br w:val="nil"/>
                    <w:tr2bl w:val="nil"/>
                  </w:tcBorders>
                  <w:vAlign w:val="center"/>
                </w:tcPr>
                <w:p>
                  <w:pPr>
                    <w:adjustRightInd w:val="0"/>
                    <w:snapToGrid w:val="0"/>
                    <w:jc w:val="center"/>
                    <w:rPr>
                      <w:color w:val="auto"/>
                      <w:szCs w:val="21"/>
                    </w:rPr>
                  </w:pPr>
                  <w:r>
                    <w:rPr>
                      <w:color w:val="auto"/>
                      <w:szCs w:val="21"/>
                    </w:rPr>
                    <w:t>O</w:t>
                  </w:r>
                  <w:r>
                    <w:rPr>
                      <w:color w:val="auto"/>
                      <w:szCs w:val="21"/>
                      <w:vertAlign w:val="subscript"/>
                    </w:rPr>
                    <w:t>3</w:t>
                  </w:r>
                </w:p>
              </w:tc>
              <w:tc>
                <w:tcPr>
                  <w:tcW w:w="2077" w:type="pct"/>
                  <w:tcBorders>
                    <w:tl2br w:val="nil"/>
                    <w:tr2bl w:val="nil"/>
                  </w:tcBorders>
                  <w:vAlign w:val="center"/>
                </w:tcPr>
                <w:p>
                  <w:pPr>
                    <w:adjustRightInd w:val="0"/>
                    <w:snapToGrid w:val="0"/>
                    <w:jc w:val="center"/>
                    <w:rPr>
                      <w:color w:val="auto"/>
                      <w:szCs w:val="21"/>
                    </w:rPr>
                  </w:pPr>
                  <w:r>
                    <w:rPr>
                      <w:color w:val="auto"/>
                      <w:szCs w:val="21"/>
                    </w:rPr>
                    <w:t>第95百分位最大8小时平均质量浓度</w:t>
                  </w:r>
                </w:p>
              </w:tc>
              <w:tc>
                <w:tcPr>
                  <w:tcW w:w="627" w:type="pct"/>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149</w:t>
                  </w:r>
                </w:p>
              </w:tc>
              <w:tc>
                <w:tcPr>
                  <w:tcW w:w="627" w:type="pct"/>
                  <w:tcBorders>
                    <w:tl2br w:val="nil"/>
                    <w:tr2bl w:val="nil"/>
                  </w:tcBorders>
                  <w:vAlign w:val="center"/>
                </w:tcPr>
                <w:p>
                  <w:pPr>
                    <w:adjustRightInd w:val="0"/>
                    <w:snapToGrid w:val="0"/>
                    <w:jc w:val="center"/>
                    <w:rPr>
                      <w:color w:val="auto"/>
                      <w:szCs w:val="21"/>
                    </w:rPr>
                  </w:pPr>
                  <w:r>
                    <w:rPr>
                      <w:color w:val="auto"/>
                      <w:szCs w:val="21"/>
                    </w:rPr>
                    <w:t>160</w:t>
                  </w:r>
                </w:p>
              </w:tc>
              <w:tc>
                <w:tcPr>
                  <w:tcW w:w="596" w:type="pct"/>
                  <w:tcBorders>
                    <w:tl2br w:val="nil"/>
                    <w:tr2bl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93.1</w:t>
                  </w:r>
                </w:p>
              </w:tc>
              <w:tc>
                <w:tcPr>
                  <w:tcW w:w="596" w:type="pct"/>
                  <w:tcBorders>
                    <w:tl2br w:val="nil"/>
                    <w:tr2bl w:val="nil"/>
                  </w:tcBorders>
                  <w:vAlign w:val="center"/>
                </w:tcPr>
                <w:p>
                  <w:pPr>
                    <w:adjustRightInd w:val="0"/>
                    <w:snapToGrid w:val="0"/>
                    <w:jc w:val="center"/>
                    <w:rPr>
                      <w:color w:val="auto"/>
                      <w:szCs w:val="21"/>
                    </w:rPr>
                  </w:pPr>
                  <w:r>
                    <w:rPr>
                      <w:color w:val="auto"/>
                      <w:szCs w:val="21"/>
                    </w:rPr>
                    <w:t>达标</w:t>
                  </w:r>
                </w:p>
              </w:tc>
            </w:tr>
          </w:tbl>
          <w:p>
            <w:pPr>
              <w:widowControl/>
              <w:adjustRightInd w:val="0"/>
              <w:snapToGrid w:val="0"/>
              <w:spacing w:line="360" w:lineRule="auto"/>
              <w:ind w:firstLine="480" w:firstLineChars="200"/>
              <w:rPr>
                <w:color w:val="auto"/>
                <w:sz w:val="24"/>
              </w:rPr>
            </w:pPr>
            <w:r>
              <w:rPr>
                <w:color w:val="auto"/>
                <w:sz w:val="24"/>
              </w:rPr>
              <w:t>由表3.1可知：</w:t>
            </w:r>
            <w:r>
              <w:rPr>
                <w:color w:val="auto"/>
                <w:kern w:val="0"/>
                <w:sz w:val="24"/>
                <w:lang w:bidi="ar"/>
              </w:rPr>
              <w:t>铜梁区环境空气质量中基本污染物均满足《环境空气质量标准》(GB3095-2012)二级标准要求，因此，本项目所在区域为环境空气质量达标区。</w:t>
            </w:r>
          </w:p>
          <w:p>
            <w:pPr>
              <w:pStyle w:val="2"/>
              <w:ind w:firstLine="480" w:firstLineChars="200"/>
              <w:rPr>
                <w:rFonts w:ascii="Times New Roman" w:hAnsi="Times New Roman" w:cs="Times New Roman"/>
                <w:color w:val="auto"/>
              </w:rPr>
            </w:pPr>
            <w:r>
              <w:rPr>
                <w:rFonts w:ascii="Times New Roman" w:hAnsi="Times New Roman" w:cs="Times New Roman"/>
                <w:color w:val="auto"/>
              </w:rPr>
              <w:t>（2）特征污染物环境质量现状评价</w:t>
            </w:r>
          </w:p>
          <w:p>
            <w:pPr>
              <w:tabs>
                <w:tab w:val="left" w:pos="7380"/>
              </w:tabs>
              <w:adjustRightInd w:val="0"/>
              <w:snapToGrid w:val="0"/>
              <w:spacing w:line="360" w:lineRule="auto"/>
              <w:ind w:firstLine="480" w:firstLineChars="200"/>
              <w:rPr>
                <w:rFonts w:eastAsiaTheme="minorEastAsia"/>
                <w:color w:val="auto"/>
                <w:sz w:val="24"/>
              </w:rPr>
            </w:pPr>
            <w:r>
              <w:rPr>
                <w:rFonts w:eastAsiaTheme="minorEastAsia"/>
                <w:color w:val="auto"/>
                <w:sz w:val="24"/>
              </w:rPr>
              <w:t>本次评价引用《重庆惠源检测技术有限公司检测报告》惠源（检）字[2020]第HP100号中的监测数据，监测点设置在重庆市元昊科技有限公司，位于项目</w:t>
            </w:r>
            <w:r>
              <w:rPr>
                <w:rFonts w:hint="eastAsia" w:eastAsiaTheme="minorEastAsia"/>
                <w:color w:val="auto"/>
                <w:sz w:val="24"/>
              </w:rPr>
              <w:t>东南</w:t>
            </w:r>
            <w:r>
              <w:rPr>
                <w:rFonts w:eastAsiaTheme="minorEastAsia"/>
                <w:color w:val="auto"/>
                <w:sz w:val="24"/>
              </w:rPr>
              <w:t>侧约</w:t>
            </w:r>
            <w:r>
              <w:rPr>
                <w:rFonts w:hint="eastAsia" w:eastAsiaTheme="minorEastAsia"/>
                <w:color w:val="auto"/>
                <w:sz w:val="24"/>
              </w:rPr>
              <w:t>3.8</w:t>
            </w:r>
            <w:r>
              <w:rPr>
                <w:rFonts w:eastAsiaTheme="minorEastAsia"/>
                <w:color w:val="auto"/>
                <w:sz w:val="24"/>
              </w:rPr>
              <w:t>km处，且至今区域内污染源变化不大，引用监测数据可用。</w:t>
            </w:r>
          </w:p>
          <w:p>
            <w:pPr>
              <w:tabs>
                <w:tab w:val="left" w:pos="7380"/>
              </w:tabs>
              <w:adjustRightInd w:val="0"/>
              <w:snapToGrid w:val="0"/>
              <w:spacing w:line="360" w:lineRule="auto"/>
              <w:ind w:firstLine="480" w:firstLineChars="200"/>
              <w:rPr>
                <w:rFonts w:eastAsiaTheme="minorEastAsia"/>
                <w:color w:val="auto"/>
                <w:sz w:val="24"/>
              </w:rPr>
            </w:pPr>
            <w:r>
              <w:rPr>
                <w:rFonts w:hint="eastAsia" w:ascii="宋体" w:hAnsi="宋体" w:cs="宋体"/>
                <w:color w:val="auto"/>
                <w:sz w:val="24"/>
              </w:rPr>
              <w:t>①</w:t>
            </w:r>
            <w:r>
              <w:rPr>
                <w:rFonts w:eastAsiaTheme="minorEastAsia"/>
                <w:color w:val="auto"/>
                <w:sz w:val="24"/>
              </w:rPr>
              <w:t>监测资料概况</w:t>
            </w:r>
          </w:p>
          <w:p>
            <w:pPr>
              <w:adjustRightInd w:val="0"/>
              <w:snapToGrid w:val="0"/>
              <w:spacing w:line="360" w:lineRule="auto"/>
              <w:ind w:firstLine="480" w:firstLineChars="200"/>
              <w:rPr>
                <w:rFonts w:eastAsiaTheme="minorEastAsia"/>
                <w:color w:val="auto"/>
                <w:sz w:val="24"/>
              </w:rPr>
            </w:pPr>
            <w:r>
              <w:rPr>
                <w:rFonts w:eastAsiaTheme="minorEastAsia"/>
                <w:color w:val="auto"/>
                <w:sz w:val="24"/>
              </w:rPr>
              <w:t>监测点位：设在重庆市元昊科技有限公司，位于项目</w:t>
            </w:r>
            <w:r>
              <w:rPr>
                <w:rFonts w:hint="eastAsia" w:eastAsiaTheme="minorEastAsia"/>
                <w:color w:val="auto"/>
                <w:sz w:val="24"/>
              </w:rPr>
              <w:t>东南</w:t>
            </w:r>
            <w:r>
              <w:rPr>
                <w:rFonts w:eastAsiaTheme="minorEastAsia"/>
                <w:color w:val="auto"/>
                <w:sz w:val="24"/>
              </w:rPr>
              <w:t>面约</w:t>
            </w:r>
            <w:r>
              <w:rPr>
                <w:rFonts w:hint="eastAsia" w:eastAsiaTheme="minorEastAsia"/>
                <w:color w:val="auto"/>
                <w:sz w:val="24"/>
              </w:rPr>
              <w:t>3.8</w:t>
            </w:r>
            <w:r>
              <w:rPr>
                <w:rFonts w:eastAsiaTheme="minorEastAsia"/>
                <w:color w:val="auto"/>
                <w:sz w:val="24"/>
              </w:rPr>
              <w:t>km处；</w:t>
            </w:r>
          </w:p>
          <w:p>
            <w:pPr>
              <w:adjustRightInd w:val="0"/>
              <w:snapToGrid w:val="0"/>
              <w:spacing w:line="360" w:lineRule="auto"/>
              <w:ind w:firstLine="480" w:firstLineChars="200"/>
              <w:rPr>
                <w:rFonts w:eastAsiaTheme="minorEastAsia"/>
                <w:color w:val="auto"/>
                <w:sz w:val="24"/>
              </w:rPr>
            </w:pPr>
            <w:r>
              <w:rPr>
                <w:rFonts w:eastAsiaTheme="minorEastAsia"/>
                <w:color w:val="auto"/>
                <w:sz w:val="24"/>
              </w:rPr>
              <w:t>监测因子：非甲烷总烃；</w:t>
            </w:r>
          </w:p>
          <w:p>
            <w:pPr>
              <w:adjustRightInd w:val="0"/>
              <w:snapToGrid w:val="0"/>
              <w:spacing w:line="360" w:lineRule="auto"/>
              <w:ind w:firstLine="480" w:firstLineChars="200"/>
              <w:rPr>
                <w:rFonts w:eastAsiaTheme="minorEastAsia"/>
                <w:color w:val="auto"/>
                <w:sz w:val="24"/>
              </w:rPr>
            </w:pPr>
            <w:r>
              <w:rPr>
                <w:rFonts w:eastAsiaTheme="minorEastAsia"/>
                <w:color w:val="auto"/>
                <w:sz w:val="24"/>
              </w:rPr>
              <w:t>监测频率：连续监测7天；</w:t>
            </w:r>
          </w:p>
          <w:p>
            <w:pPr>
              <w:adjustRightInd w:val="0"/>
              <w:snapToGrid w:val="0"/>
              <w:spacing w:line="360" w:lineRule="auto"/>
              <w:ind w:firstLine="480" w:firstLineChars="200"/>
              <w:rPr>
                <w:rFonts w:eastAsiaTheme="minorEastAsia"/>
                <w:color w:val="auto"/>
                <w:sz w:val="24"/>
              </w:rPr>
            </w:pPr>
            <w:r>
              <w:rPr>
                <w:rFonts w:eastAsiaTheme="minorEastAsia"/>
                <w:color w:val="auto"/>
                <w:sz w:val="24"/>
              </w:rPr>
              <w:t>监测时间：2020年9月21日～9月27日；</w:t>
            </w:r>
          </w:p>
          <w:p>
            <w:pPr>
              <w:adjustRightInd w:val="0"/>
              <w:snapToGrid w:val="0"/>
              <w:spacing w:line="360" w:lineRule="auto"/>
              <w:ind w:firstLine="480" w:firstLineChars="200"/>
              <w:rPr>
                <w:rFonts w:eastAsiaTheme="minorEastAsia"/>
                <w:color w:val="auto"/>
                <w:sz w:val="24"/>
              </w:rPr>
            </w:pPr>
            <w:r>
              <w:rPr>
                <w:rFonts w:hint="eastAsia" w:ascii="宋体" w:hAnsi="宋体" w:cs="宋体"/>
                <w:color w:val="auto"/>
                <w:sz w:val="24"/>
              </w:rPr>
              <w:t>②</w:t>
            </w:r>
            <w:r>
              <w:rPr>
                <w:rFonts w:eastAsiaTheme="minorEastAsia"/>
                <w:color w:val="auto"/>
                <w:sz w:val="24"/>
              </w:rPr>
              <w:t>现状评价方法与标准</w:t>
            </w:r>
          </w:p>
          <w:p>
            <w:pPr>
              <w:adjustRightInd w:val="0"/>
              <w:snapToGrid w:val="0"/>
              <w:spacing w:line="360" w:lineRule="auto"/>
              <w:ind w:firstLine="480" w:firstLineChars="200"/>
              <w:rPr>
                <w:rFonts w:eastAsiaTheme="minorEastAsia"/>
                <w:color w:val="auto"/>
                <w:sz w:val="24"/>
              </w:rPr>
            </w:pPr>
            <w:r>
              <w:rPr>
                <w:rFonts w:eastAsiaTheme="minorEastAsia"/>
                <w:color w:val="auto"/>
                <w:sz w:val="24"/>
              </w:rPr>
              <w:t>评价方法：采用最大浓度值占相应标准浓度限值的百分比（即占标率）</w:t>
            </w:r>
          </w:p>
          <w:p>
            <w:pPr>
              <w:adjustRightInd w:val="0"/>
              <w:snapToGrid w:val="0"/>
              <w:spacing w:line="360" w:lineRule="auto"/>
              <w:ind w:firstLine="480" w:firstLineChars="200"/>
              <w:rPr>
                <w:rFonts w:eastAsiaTheme="minorEastAsia"/>
                <w:color w:val="auto"/>
                <w:sz w:val="24"/>
              </w:rPr>
            </w:pPr>
            <w:r>
              <w:rPr>
                <w:rFonts w:eastAsiaTheme="minorEastAsia"/>
                <w:color w:val="auto"/>
                <w:sz w:val="24"/>
              </w:rPr>
              <w:t>评价标准：非甲烷总烃参照执行河北省地方标准《环境空气质量—非甲烷总烃限值》（DB13/1577-2012）。</w:t>
            </w:r>
          </w:p>
          <w:p>
            <w:pPr>
              <w:adjustRightInd w:val="0"/>
              <w:snapToGrid w:val="0"/>
              <w:spacing w:line="360" w:lineRule="auto"/>
              <w:ind w:firstLine="480" w:firstLineChars="200"/>
              <w:rPr>
                <w:rFonts w:eastAsiaTheme="minorEastAsia"/>
                <w:color w:val="auto"/>
                <w:sz w:val="24"/>
              </w:rPr>
            </w:pPr>
            <w:r>
              <w:rPr>
                <w:rFonts w:hint="eastAsia" w:ascii="宋体" w:hAnsi="宋体" w:cs="宋体"/>
                <w:color w:val="auto"/>
                <w:sz w:val="24"/>
              </w:rPr>
              <w:t>③</w:t>
            </w:r>
            <w:r>
              <w:rPr>
                <w:rFonts w:eastAsiaTheme="minorEastAsia"/>
                <w:color w:val="auto"/>
                <w:sz w:val="24"/>
              </w:rPr>
              <w:t>监测及评价结果</w:t>
            </w:r>
          </w:p>
          <w:p>
            <w:pPr>
              <w:pStyle w:val="8"/>
              <w:adjustRightInd w:val="0"/>
              <w:snapToGrid w:val="0"/>
              <w:spacing w:line="360" w:lineRule="auto"/>
              <w:ind w:firstLine="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表3.2 环境空气质量现状监测及评价结果表</w:t>
            </w:r>
          </w:p>
          <w:tbl>
            <w:tblPr>
              <w:tblStyle w:val="22"/>
              <w:tblW w:w="4998" w:type="pct"/>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043"/>
              <w:gridCol w:w="1374"/>
              <w:gridCol w:w="1822"/>
              <w:gridCol w:w="1204"/>
              <w:gridCol w:w="1680"/>
              <w:gridCol w:w="848"/>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54" w:type="pct"/>
                  <w:tcBorders>
                    <w:tl2br w:val="nil"/>
                    <w:tr2bl w:val="nil"/>
                  </w:tcBorders>
                  <w:vAlign w:val="center"/>
                </w:tcPr>
                <w:p>
                  <w:pPr>
                    <w:pStyle w:val="37"/>
                    <w:spacing w:line="240" w:lineRule="auto"/>
                    <w:rPr>
                      <w:rFonts w:eastAsiaTheme="minorEastAsia"/>
                      <w:color w:val="auto"/>
                      <w:sz w:val="21"/>
                      <w:szCs w:val="21"/>
                    </w:rPr>
                  </w:pPr>
                  <w:r>
                    <w:rPr>
                      <w:rFonts w:eastAsiaTheme="minorEastAsia"/>
                      <w:color w:val="auto"/>
                      <w:sz w:val="21"/>
                      <w:szCs w:val="21"/>
                    </w:rPr>
                    <w:t>监测点</w:t>
                  </w:r>
                </w:p>
              </w:tc>
              <w:tc>
                <w:tcPr>
                  <w:tcW w:w="862" w:type="pct"/>
                  <w:tcBorders>
                    <w:tl2br w:val="nil"/>
                    <w:tr2bl w:val="nil"/>
                  </w:tcBorders>
                  <w:vAlign w:val="center"/>
                </w:tcPr>
                <w:p>
                  <w:pPr>
                    <w:pStyle w:val="37"/>
                    <w:spacing w:line="240" w:lineRule="auto"/>
                    <w:rPr>
                      <w:rFonts w:eastAsiaTheme="minorEastAsia"/>
                      <w:color w:val="auto"/>
                      <w:sz w:val="21"/>
                      <w:szCs w:val="21"/>
                    </w:rPr>
                  </w:pPr>
                  <w:r>
                    <w:rPr>
                      <w:rFonts w:eastAsiaTheme="minorEastAsia"/>
                      <w:color w:val="auto"/>
                      <w:sz w:val="21"/>
                      <w:szCs w:val="21"/>
                    </w:rPr>
                    <w:t>监测项目</w:t>
                  </w:r>
                </w:p>
              </w:tc>
              <w:tc>
                <w:tcPr>
                  <w:tcW w:w="1143" w:type="pct"/>
                  <w:tcBorders>
                    <w:tl2br w:val="nil"/>
                    <w:tr2bl w:val="nil"/>
                  </w:tcBorders>
                  <w:vAlign w:val="center"/>
                </w:tcPr>
                <w:p>
                  <w:pPr>
                    <w:pStyle w:val="37"/>
                    <w:spacing w:line="240" w:lineRule="auto"/>
                    <w:rPr>
                      <w:rFonts w:eastAsiaTheme="minorEastAsia"/>
                      <w:color w:val="auto"/>
                      <w:sz w:val="21"/>
                      <w:szCs w:val="21"/>
                    </w:rPr>
                  </w:pPr>
                  <w:r>
                    <w:rPr>
                      <w:rFonts w:eastAsiaTheme="minorEastAsia"/>
                      <w:color w:val="auto"/>
                      <w:sz w:val="21"/>
                      <w:szCs w:val="21"/>
                    </w:rPr>
                    <w:t>日均值（</w:t>
                  </w:r>
                  <w:r>
                    <w:rPr>
                      <w:rFonts w:eastAsiaTheme="minorEastAsia"/>
                      <w:color w:val="auto"/>
                      <w:sz w:val="21"/>
                      <w:szCs w:val="21"/>
                      <w:lang w:val="en-GB"/>
                    </w:rPr>
                    <w:t>mg/m</w:t>
                  </w:r>
                  <w:r>
                    <w:rPr>
                      <w:rFonts w:eastAsiaTheme="minorEastAsia"/>
                      <w:color w:val="auto"/>
                      <w:sz w:val="21"/>
                      <w:szCs w:val="21"/>
                      <w:vertAlign w:val="superscript"/>
                      <w:lang w:val="en-GB"/>
                    </w:rPr>
                    <w:t>3</w:t>
                  </w:r>
                  <w:r>
                    <w:rPr>
                      <w:rFonts w:eastAsiaTheme="minorEastAsia"/>
                      <w:color w:val="auto"/>
                      <w:sz w:val="21"/>
                      <w:szCs w:val="21"/>
                    </w:rPr>
                    <w:t>）</w:t>
                  </w:r>
                </w:p>
              </w:tc>
              <w:tc>
                <w:tcPr>
                  <w:tcW w:w="755" w:type="pct"/>
                  <w:tcBorders>
                    <w:tl2br w:val="nil"/>
                    <w:tr2bl w:val="nil"/>
                  </w:tcBorders>
                </w:tcPr>
                <w:p>
                  <w:pPr>
                    <w:pStyle w:val="37"/>
                    <w:spacing w:line="240" w:lineRule="auto"/>
                    <w:rPr>
                      <w:rFonts w:eastAsiaTheme="minorEastAsia"/>
                      <w:color w:val="auto"/>
                      <w:sz w:val="21"/>
                      <w:szCs w:val="21"/>
                    </w:rPr>
                  </w:pPr>
                  <w:r>
                    <w:rPr>
                      <w:rFonts w:eastAsiaTheme="minorEastAsia"/>
                      <w:color w:val="auto"/>
                      <w:sz w:val="21"/>
                      <w:szCs w:val="21"/>
                    </w:rPr>
                    <w:t>标准值</w:t>
                  </w:r>
                </w:p>
                <w:p>
                  <w:pPr>
                    <w:pStyle w:val="37"/>
                    <w:spacing w:line="240" w:lineRule="auto"/>
                    <w:rPr>
                      <w:rFonts w:eastAsiaTheme="minorEastAsia"/>
                      <w:color w:val="auto"/>
                      <w:sz w:val="21"/>
                      <w:szCs w:val="21"/>
                    </w:rPr>
                  </w:pPr>
                  <w:r>
                    <w:rPr>
                      <w:rFonts w:eastAsiaTheme="minorEastAsia"/>
                      <w:color w:val="auto"/>
                      <w:sz w:val="21"/>
                      <w:szCs w:val="21"/>
                    </w:rPr>
                    <w:t>（mg/m</w:t>
                  </w:r>
                  <w:r>
                    <w:rPr>
                      <w:rFonts w:eastAsiaTheme="minorEastAsia"/>
                      <w:color w:val="auto"/>
                      <w:sz w:val="21"/>
                      <w:szCs w:val="21"/>
                      <w:vertAlign w:val="superscript"/>
                    </w:rPr>
                    <w:t>3</w:t>
                  </w:r>
                  <w:r>
                    <w:rPr>
                      <w:rFonts w:eastAsiaTheme="minorEastAsia"/>
                      <w:color w:val="auto"/>
                      <w:sz w:val="21"/>
                      <w:szCs w:val="21"/>
                    </w:rPr>
                    <w:t>）</w:t>
                  </w:r>
                </w:p>
              </w:tc>
              <w:tc>
                <w:tcPr>
                  <w:tcW w:w="1054" w:type="pct"/>
                  <w:tcBorders>
                    <w:tl2br w:val="nil"/>
                    <w:tr2bl w:val="nil"/>
                  </w:tcBorders>
                  <w:vAlign w:val="center"/>
                </w:tcPr>
                <w:p>
                  <w:pPr>
                    <w:pStyle w:val="37"/>
                    <w:spacing w:line="240" w:lineRule="auto"/>
                    <w:rPr>
                      <w:rFonts w:eastAsiaTheme="minorEastAsia"/>
                      <w:color w:val="auto"/>
                      <w:sz w:val="21"/>
                      <w:szCs w:val="21"/>
                    </w:rPr>
                  </w:pPr>
                  <w:r>
                    <w:rPr>
                      <w:rFonts w:eastAsiaTheme="minorEastAsia"/>
                      <w:color w:val="auto"/>
                      <w:sz w:val="21"/>
                      <w:szCs w:val="21"/>
                    </w:rPr>
                    <w:t>最大浓度占标率（%）</w:t>
                  </w:r>
                </w:p>
              </w:tc>
              <w:tc>
                <w:tcPr>
                  <w:tcW w:w="532" w:type="pct"/>
                  <w:tcBorders>
                    <w:tl2br w:val="nil"/>
                    <w:tr2bl w:val="nil"/>
                  </w:tcBorders>
                  <w:vAlign w:val="center"/>
                </w:tcPr>
                <w:p>
                  <w:pPr>
                    <w:pStyle w:val="37"/>
                    <w:spacing w:line="240" w:lineRule="auto"/>
                    <w:rPr>
                      <w:rFonts w:eastAsiaTheme="minorEastAsia"/>
                      <w:color w:val="auto"/>
                      <w:sz w:val="21"/>
                      <w:szCs w:val="21"/>
                    </w:rPr>
                  </w:pPr>
                  <w:r>
                    <w:rPr>
                      <w:rFonts w:eastAsiaTheme="minorEastAsia"/>
                      <w:color w:val="auto"/>
                      <w:sz w:val="21"/>
                      <w:szCs w:val="21"/>
                    </w:rPr>
                    <w:t>超标率（%）</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54" w:type="pct"/>
                  <w:tcBorders>
                    <w:tl2br w:val="nil"/>
                    <w:tr2bl w:val="nil"/>
                  </w:tcBorders>
                  <w:vAlign w:val="center"/>
                </w:tcPr>
                <w:p>
                  <w:pPr>
                    <w:pStyle w:val="37"/>
                    <w:spacing w:line="240" w:lineRule="auto"/>
                    <w:rPr>
                      <w:rFonts w:eastAsiaTheme="minorEastAsia"/>
                      <w:color w:val="auto"/>
                      <w:sz w:val="21"/>
                      <w:szCs w:val="21"/>
                    </w:rPr>
                  </w:pPr>
                  <w:r>
                    <w:rPr>
                      <w:rFonts w:eastAsiaTheme="minorEastAsia"/>
                      <w:color w:val="auto"/>
                      <w:sz w:val="21"/>
                      <w:szCs w:val="21"/>
                    </w:rPr>
                    <w:t>E1</w:t>
                  </w:r>
                </w:p>
              </w:tc>
              <w:tc>
                <w:tcPr>
                  <w:tcW w:w="862" w:type="pct"/>
                  <w:tcBorders>
                    <w:tl2br w:val="nil"/>
                    <w:tr2bl w:val="nil"/>
                  </w:tcBorders>
                  <w:vAlign w:val="center"/>
                </w:tcPr>
                <w:p>
                  <w:pPr>
                    <w:pStyle w:val="37"/>
                    <w:spacing w:line="240" w:lineRule="auto"/>
                    <w:rPr>
                      <w:rFonts w:eastAsiaTheme="minorEastAsia"/>
                      <w:color w:val="auto"/>
                      <w:sz w:val="21"/>
                      <w:szCs w:val="21"/>
                    </w:rPr>
                  </w:pPr>
                  <w:r>
                    <w:rPr>
                      <w:rFonts w:eastAsiaTheme="minorEastAsia"/>
                      <w:color w:val="auto"/>
                      <w:sz w:val="21"/>
                      <w:szCs w:val="21"/>
                    </w:rPr>
                    <w:t>非甲烷总烃</w:t>
                  </w:r>
                </w:p>
              </w:tc>
              <w:tc>
                <w:tcPr>
                  <w:tcW w:w="1143" w:type="pct"/>
                  <w:tcBorders>
                    <w:tl2br w:val="nil"/>
                    <w:tr2bl w:val="nil"/>
                  </w:tcBorders>
                  <w:vAlign w:val="center"/>
                </w:tcPr>
                <w:p>
                  <w:pPr>
                    <w:adjustRightInd w:val="0"/>
                    <w:snapToGrid w:val="0"/>
                    <w:jc w:val="center"/>
                    <w:rPr>
                      <w:rFonts w:eastAsiaTheme="minorEastAsia"/>
                      <w:color w:val="auto"/>
                      <w:szCs w:val="21"/>
                      <w:lang w:val="en-GB"/>
                    </w:rPr>
                  </w:pPr>
                  <w:r>
                    <w:rPr>
                      <w:rFonts w:eastAsiaTheme="minorEastAsia"/>
                      <w:color w:val="auto"/>
                      <w:szCs w:val="21"/>
                    </w:rPr>
                    <w:t>0.60</w:t>
                  </w:r>
                  <w:r>
                    <w:rPr>
                      <w:rFonts w:eastAsiaTheme="minorEastAsia"/>
                      <w:color w:val="auto"/>
                      <w:szCs w:val="21"/>
                      <w:lang w:val="en-GB"/>
                    </w:rPr>
                    <w:t>～</w:t>
                  </w:r>
                  <w:r>
                    <w:rPr>
                      <w:rFonts w:eastAsiaTheme="minorEastAsia"/>
                      <w:color w:val="auto"/>
                      <w:szCs w:val="21"/>
                    </w:rPr>
                    <w:t>0.91</w:t>
                  </w:r>
                </w:p>
              </w:tc>
              <w:tc>
                <w:tcPr>
                  <w:tcW w:w="755" w:type="pct"/>
                  <w:tcBorders>
                    <w:tl2br w:val="nil"/>
                    <w:tr2bl w:val="nil"/>
                  </w:tcBorders>
                  <w:vAlign w:val="center"/>
                </w:tcPr>
                <w:p>
                  <w:pPr>
                    <w:pStyle w:val="37"/>
                    <w:spacing w:line="240" w:lineRule="auto"/>
                    <w:rPr>
                      <w:rFonts w:eastAsiaTheme="minorEastAsia"/>
                      <w:color w:val="auto"/>
                      <w:sz w:val="21"/>
                      <w:szCs w:val="21"/>
                    </w:rPr>
                  </w:pPr>
                  <w:r>
                    <w:rPr>
                      <w:rFonts w:eastAsiaTheme="minorEastAsia"/>
                      <w:color w:val="auto"/>
                      <w:sz w:val="21"/>
                      <w:szCs w:val="21"/>
                    </w:rPr>
                    <w:t>2.0</w:t>
                  </w:r>
                </w:p>
              </w:tc>
              <w:tc>
                <w:tcPr>
                  <w:tcW w:w="1054" w:type="pct"/>
                  <w:tcBorders>
                    <w:tl2br w:val="nil"/>
                    <w:tr2bl w:val="nil"/>
                  </w:tcBorders>
                  <w:vAlign w:val="center"/>
                </w:tcPr>
                <w:p>
                  <w:pPr>
                    <w:adjustRightInd w:val="0"/>
                    <w:snapToGrid w:val="0"/>
                    <w:jc w:val="center"/>
                    <w:rPr>
                      <w:rFonts w:eastAsiaTheme="minorEastAsia"/>
                      <w:color w:val="auto"/>
                      <w:szCs w:val="21"/>
                    </w:rPr>
                  </w:pPr>
                  <w:r>
                    <w:rPr>
                      <w:rFonts w:eastAsiaTheme="minorEastAsia"/>
                      <w:color w:val="auto"/>
                      <w:szCs w:val="21"/>
                    </w:rPr>
                    <w:t>45.5</w:t>
                  </w:r>
                </w:p>
              </w:tc>
              <w:tc>
                <w:tcPr>
                  <w:tcW w:w="532" w:type="pct"/>
                  <w:tcBorders>
                    <w:tl2br w:val="nil"/>
                    <w:tr2bl w:val="nil"/>
                  </w:tcBorders>
                  <w:vAlign w:val="center"/>
                </w:tcPr>
                <w:p>
                  <w:pPr>
                    <w:pStyle w:val="37"/>
                    <w:spacing w:line="240" w:lineRule="auto"/>
                    <w:rPr>
                      <w:rFonts w:eastAsiaTheme="minorEastAsia"/>
                      <w:color w:val="auto"/>
                      <w:sz w:val="21"/>
                      <w:szCs w:val="21"/>
                    </w:rPr>
                  </w:pPr>
                  <w:r>
                    <w:rPr>
                      <w:rFonts w:eastAsiaTheme="minorEastAsia"/>
                      <w:color w:val="auto"/>
                      <w:sz w:val="21"/>
                      <w:szCs w:val="21"/>
                    </w:rPr>
                    <w:t>0</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000" w:type="pct"/>
                  <w:gridSpan w:val="6"/>
                  <w:tcBorders>
                    <w:tl2br w:val="nil"/>
                    <w:tr2bl w:val="nil"/>
                  </w:tcBorders>
                  <w:vAlign w:val="center"/>
                </w:tcPr>
                <w:p>
                  <w:pPr>
                    <w:pStyle w:val="37"/>
                    <w:spacing w:line="240" w:lineRule="auto"/>
                    <w:jc w:val="both"/>
                    <w:rPr>
                      <w:rFonts w:eastAsiaTheme="minorEastAsia"/>
                      <w:color w:val="auto"/>
                      <w:sz w:val="21"/>
                      <w:szCs w:val="21"/>
                    </w:rPr>
                  </w:pPr>
                  <w:r>
                    <w:rPr>
                      <w:rFonts w:eastAsiaTheme="minorEastAsia"/>
                      <w:color w:val="auto"/>
                      <w:sz w:val="21"/>
                      <w:szCs w:val="21"/>
                    </w:rPr>
                    <w:t>备注：“L”标准检测数据低于标准检测方法检出限，报出值为检出限值</w:t>
                  </w:r>
                </w:p>
              </w:tc>
            </w:tr>
          </w:tbl>
          <w:p>
            <w:pPr>
              <w:adjustRightInd w:val="0"/>
              <w:snapToGrid w:val="0"/>
              <w:spacing w:line="360" w:lineRule="auto"/>
              <w:ind w:firstLine="480" w:firstLineChars="200"/>
              <w:rPr>
                <w:color w:val="auto"/>
                <w:sz w:val="24"/>
              </w:rPr>
            </w:pPr>
            <w:r>
              <w:rPr>
                <w:rFonts w:eastAsiaTheme="minorEastAsia"/>
                <w:color w:val="auto"/>
                <w:sz w:val="24"/>
              </w:rPr>
              <w:t>由表3.2可知，监测点非甲烷总烃均未出现超标现象，占标率均小于100%，满足《环</w:t>
            </w:r>
            <w:r>
              <w:rPr>
                <w:color w:val="auto"/>
                <w:sz w:val="24"/>
              </w:rPr>
              <w:t>境空气质量非甲烷总烃限值》（DB13/1577-2012）</w:t>
            </w:r>
            <w:r>
              <w:rPr>
                <w:rFonts w:hint="eastAsia"/>
                <w:color w:val="auto"/>
                <w:sz w:val="24"/>
                <w:lang w:eastAsia="zh-CN"/>
              </w:rPr>
              <w:t>。</w:t>
            </w:r>
          </w:p>
          <w:p>
            <w:pPr>
              <w:adjustRightInd w:val="0"/>
              <w:snapToGrid w:val="0"/>
              <w:spacing w:line="360" w:lineRule="auto"/>
              <w:rPr>
                <w:b/>
                <w:bCs/>
                <w:color w:val="auto"/>
                <w:kern w:val="0"/>
                <w:sz w:val="24"/>
              </w:rPr>
            </w:pPr>
            <w:r>
              <w:rPr>
                <w:b/>
                <w:bCs/>
                <w:color w:val="auto"/>
                <w:kern w:val="0"/>
                <w:sz w:val="24"/>
              </w:rPr>
              <w:t>2.地表水环境质量现状</w:t>
            </w:r>
          </w:p>
          <w:p>
            <w:pPr>
              <w:adjustRightInd w:val="0"/>
              <w:snapToGrid w:val="0"/>
              <w:spacing w:line="360" w:lineRule="auto"/>
              <w:ind w:firstLine="480" w:firstLineChars="200"/>
              <w:rPr>
                <w:color w:val="auto"/>
                <w:kern w:val="0"/>
                <w:sz w:val="24"/>
              </w:rPr>
            </w:pPr>
            <w:r>
              <w:rPr>
                <w:color w:val="auto"/>
                <w:kern w:val="0"/>
                <w:sz w:val="24"/>
              </w:rPr>
              <w:t>本项目废水经处理后通过市政管网排入</w:t>
            </w:r>
            <w:r>
              <w:rPr>
                <w:color w:val="auto"/>
                <w:sz w:val="24"/>
              </w:rPr>
              <w:t>铜梁城市</w:t>
            </w:r>
            <w:r>
              <w:rPr>
                <w:color w:val="auto"/>
                <w:kern w:val="0"/>
                <w:sz w:val="24"/>
              </w:rPr>
              <w:t>污水处理厂深度处理达标后排入淮远河。根据《铜梁县人民政府办公室关于印发铜梁县地面水域适用功能类别划分规定的通知》（铜府办[2006]70号）和根据《重庆市人民政府批转重庆市地表水环境功能类别调整方案的通知》（渝府发[2012]4号）的规定，本项目所在的淮远河流域属于IV类水域功能，执行《地表水环境质量标准》（GB3838-2002）中的IV类水域水质标准。</w:t>
            </w:r>
          </w:p>
          <w:p>
            <w:pPr>
              <w:adjustRightInd w:val="0"/>
              <w:snapToGrid w:val="0"/>
              <w:spacing w:line="360" w:lineRule="auto"/>
              <w:ind w:firstLine="472"/>
              <w:rPr>
                <w:rFonts w:eastAsiaTheme="minorEastAsia"/>
                <w:color w:val="auto"/>
                <w:spacing w:val="-2"/>
                <w:sz w:val="24"/>
              </w:rPr>
            </w:pPr>
            <w:r>
              <w:rPr>
                <w:color w:val="auto"/>
                <w:spacing w:val="-2"/>
                <w:sz w:val="24"/>
              </w:rPr>
              <w:t>本评价并优先采用国务院生态环境保护主管部门统一发布的水环境状况信息。根据重庆市铜梁区人民政府网上公示的“重庆市铜梁区地表水水质状况（2022年</w:t>
            </w:r>
            <w:r>
              <w:rPr>
                <w:rFonts w:hint="eastAsia"/>
                <w:color w:val="auto"/>
                <w:spacing w:val="-2"/>
                <w:sz w:val="24"/>
              </w:rPr>
              <w:t>1</w:t>
            </w:r>
            <w:r>
              <w:rPr>
                <w:color w:val="auto"/>
                <w:spacing w:val="-2"/>
                <w:sz w:val="24"/>
              </w:rPr>
              <w:t>月）”，</w:t>
            </w:r>
            <w:r>
              <w:rPr>
                <w:rFonts w:hint="eastAsia"/>
                <w:color w:val="auto"/>
                <w:spacing w:val="-2"/>
                <w:sz w:val="24"/>
              </w:rPr>
              <w:t>淮远河众志桥</w:t>
            </w:r>
            <w:r>
              <w:rPr>
                <w:color w:val="auto"/>
                <w:spacing w:val="-2"/>
                <w:sz w:val="24"/>
              </w:rPr>
              <w:t>监测断面满足《地表水环境质</w:t>
            </w:r>
            <w:r>
              <w:rPr>
                <w:rFonts w:eastAsiaTheme="minorEastAsia"/>
                <w:color w:val="auto"/>
                <w:spacing w:val="-2"/>
                <w:sz w:val="24"/>
              </w:rPr>
              <w:t>量标准》(GB3838-2002)</w:t>
            </w:r>
            <w:r>
              <w:rPr>
                <w:color w:val="auto"/>
                <w:kern w:val="0"/>
                <w:sz w:val="24"/>
              </w:rPr>
              <w:t>IV</w:t>
            </w:r>
            <w:r>
              <w:rPr>
                <w:rFonts w:eastAsiaTheme="minorEastAsia"/>
                <w:color w:val="auto"/>
                <w:spacing w:val="-2"/>
                <w:sz w:val="24"/>
              </w:rPr>
              <w:t>类水域标准要求，为水环境功能达标区。</w:t>
            </w:r>
          </w:p>
          <w:p>
            <w:pPr>
              <w:pStyle w:val="2"/>
              <w:rPr>
                <w:rFonts w:ascii="Times New Roman" w:hAnsi="Times New Roman" w:cs="Times New Roman"/>
                <w:b/>
                <w:color w:val="auto"/>
              </w:rPr>
            </w:pPr>
            <w:r>
              <w:rPr>
                <w:rFonts w:hint="eastAsia" w:ascii="Times New Roman" w:hAnsi="Times New Roman" w:cs="Times New Roman"/>
                <w:b/>
                <w:color w:val="auto"/>
              </w:rPr>
              <w:t>3.</w:t>
            </w:r>
            <w:r>
              <w:rPr>
                <w:rFonts w:ascii="Times New Roman" w:hAnsi="Times New Roman" w:cs="Times New Roman"/>
                <w:b/>
                <w:color w:val="auto"/>
              </w:rPr>
              <w:t>声环境质量现状</w:t>
            </w:r>
          </w:p>
          <w:p>
            <w:pPr>
              <w:pStyle w:val="2"/>
              <w:ind w:firstLine="480" w:firstLineChars="200"/>
              <w:rPr>
                <w:rFonts w:ascii="Times New Roman" w:hAnsi="Times New Roman" w:cs="Times New Roman"/>
                <w:color w:val="auto"/>
              </w:rPr>
            </w:pPr>
            <w:r>
              <w:rPr>
                <w:rFonts w:ascii="Times New Roman" w:hAnsi="Times New Roman" w:cs="Times New Roman"/>
                <w:bCs/>
                <w:color w:val="auto"/>
              </w:rPr>
              <w:t>本项目</w:t>
            </w:r>
            <w:r>
              <w:rPr>
                <w:rFonts w:hint="eastAsia" w:ascii="Times New Roman" w:cs="Times New Roman"/>
                <w:bCs/>
                <w:color w:val="auto"/>
              </w:rPr>
              <w:t>位于</w:t>
            </w:r>
            <w:r>
              <w:rPr>
                <w:rFonts w:hint="eastAsia"/>
                <w:color w:val="auto"/>
                <w:spacing w:val="8"/>
                <w:shd w:val="clear" w:color="auto" w:fill="FFFFFF"/>
              </w:rPr>
              <w:t>重庆市铜梁区东城街道祝英南路7号</w:t>
            </w:r>
            <w:r>
              <w:rPr>
                <w:rFonts w:ascii="Times New Roman" w:hAnsi="Times New Roman" w:cs="Times New Roman"/>
                <w:color w:val="auto"/>
              </w:rPr>
              <w:t>，项目周边50m范围内均为工业企业，无居民、医院、学校等声环境保护目标。因此本评价不对声环境</w:t>
            </w:r>
            <w:r>
              <w:rPr>
                <w:rFonts w:hint="eastAsia" w:ascii="Times New Roman" w:cs="Times New Roman"/>
                <w:color w:val="auto"/>
              </w:rPr>
              <w:t>保护目标声环境质量</w:t>
            </w:r>
            <w:r>
              <w:rPr>
                <w:rFonts w:ascii="Times New Roman" w:hAnsi="Times New Roman" w:cs="Times New Roman"/>
                <w:color w:val="auto"/>
              </w:rPr>
              <w:t>现状监测并评价其达标情况。</w:t>
            </w:r>
          </w:p>
          <w:p>
            <w:pPr>
              <w:pStyle w:val="3"/>
              <w:rPr>
                <w:rFonts w:ascii="Times New Roman" w:hAnsi="Times New Roman" w:cs="Times New Roman"/>
                <w:b/>
                <w:bCs/>
                <w:color w:val="auto"/>
              </w:rPr>
            </w:pPr>
            <w:r>
              <w:rPr>
                <w:rFonts w:hint="eastAsia" w:ascii="Times New Roman" w:hAnsi="Times New Roman" w:cs="Times New Roman"/>
                <w:b/>
                <w:bCs/>
                <w:color w:val="auto"/>
              </w:rPr>
              <w:t>4.地下水、土壤环境质量现状</w:t>
            </w:r>
          </w:p>
          <w:p>
            <w:pPr>
              <w:pStyle w:val="2"/>
              <w:ind w:firstLine="480" w:firstLineChars="200"/>
              <w:rPr>
                <w:rFonts w:eastAsiaTheme="minorEastAsia"/>
                <w:color w:val="auto"/>
              </w:rPr>
            </w:pPr>
            <w:r>
              <w:rPr>
                <w:color w:val="auto"/>
              </w:rPr>
              <w:t>本项目主要</w:t>
            </w:r>
            <w:r>
              <w:rPr>
                <w:rFonts w:hint="eastAsia"/>
                <w:color w:val="auto"/>
                <w:lang w:eastAsia="zh-CN"/>
              </w:rPr>
              <w:t>生产汽车零部件</w:t>
            </w:r>
            <w:r>
              <w:rPr>
                <w:rFonts w:eastAsiaTheme="minorEastAsia"/>
                <w:color w:val="auto"/>
              </w:rPr>
              <w:t>，</w:t>
            </w:r>
            <w:r>
              <w:rPr>
                <w:rFonts w:hint="eastAsia" w:eastAsiaTheme="minorEastAsia"/>
                <w:color w:val="auto"/>
                <w:highlight w:val="none"/>
              </w:rPr>
              <w:t>不涉及土壤、地下水</w:t>
            </w:r>
            <w:r>
              <w:rPr>
                <w:rFonts w:hint="eastAsia" w:eastAsiaTheme="minorEastAsia"/>
                <w:color w:val="auto"/>
                <w:highlight w:val="none"/>
                <w:lang w:eastAsia="zh-CN"/>
              </w:rPr>
              <w:t>污染物质</w:t>
            </w:r>
            <w:r>
              <w:rPr>
                <w:rFonts w:hint="eastAsia" w:eastAsiaTheme="minorEastAsia"/>
                <w:color w:val="auto"/>
                <w:highlight w:val="none"/>
              </w:rPr>
              <w:t>，</w:t>
            </w:r>
            <w:r>
              <w:rPr>
                <w:rFonts w:eastAsiaTheme="minorEastAsia"/>
                <w:color w:val="auto"/>
                <w:highlight w:val="none"/>
              </w:rPr>
              <w:t>基</w:t>
            </w:r>
            <w:r>
              <w:rPr>
                <w:rFonts w:eastAsiaTheme="minorEastAsia"/>
                <w:color w:val="auto"/>
              </w:rPr>
              <w:t>本无</w:t>
            </w:r>
            <w:r>
              <w:rPr>
                <w:rFonts w:hint="eastAsia"/>
                <w:color w:val="auto"/>
                <w:spacing w:val="8"/>
              </w:rPr>
              <w:t>地下水、土壤环境污染途径</w:t>
            </w:r>
            <w:r>
              <w:rPr>
                <w:rFonts w:eastAsiaTheme="minorEastAsia"/>
                <w:color w:val="auto"/>
              </w:rPr>
              <w:t>。因此，不开展地下水</w:t>
            </w:r>
            <w:r>
              <w:rPr>
                <w:rFonts w:hint="eastAsia"/>
                <w:color w:val="auto"/>
                <w:spacing w:val="8"/>
              </w:rPr>
              <w:t>、土壤</w:t>
            </w:r>
            <w:r>
              <w:rPr>
                <w:rFonts w:eastAsiaTheme="minorEastAsia"/>
                <w:color w:val="auto"/>
              </w:rPr>
              <w:t>现状调查。</w:t>
            </w:r>
          </w:p>
          <w:p>
            <w:pPr>
              <w:pStyle w:val="2"/>
              <w:rPr>
                <w:rFonts w:ascii="Times New Roman" w:cs="Times New Roman"/>
                <w:b/>
                <w:bCs/>
                <w:color w:val="auto"/>
              </w:rPr>
            </w:pPr>
            <w:r>
              <w:rPr>
                <w:rFonts w:hint="eastAsia" w:ascii="Times New Roman" w:cs="Times New Roman"/>
                <w:b/>
                <w:bCs/>
                <w:color w:val="auto"/>
              </w:rPr>
              <w:t>5</w:t>
            </w:r>
            <w:r>
              <w:rPr>
                <w:rFonts w:ascii="Times New Roman" w:cs="Times New Roman"/>
                <w:b/>
                <w:bCs/>
                <w:color w:val="auto"/>
              </w:rPr>
              <w:t>.生态环境</w:t>
            </w:r>
          </w:p>
          <w:p>
            <w:pPr>
              <w:adjustRightInd w:val="0"/>
              <w:snapToGrid w:val="0"/>
              <w:spacing w:line="360" w:lineRule="auto"/>
              <w:ind w:firstLine="480" w:firstLineChars="200"/>
              <w:rPr>
                <w:color w:val="auto"/>
                <w:sz w:val="24"/>
              </w:rPr>
            </w:pPr>
            <w:r>
              <w:rPr>
                <w:color w:val="auto"/>
                <w:kern w:val="0"/>
                <w:sz w:val="24"/>
              </w:rPr>
              <w:t>本项目</w:t>
            </w:r>
            <w:r>
              <w:rPr>
                <w:rFonts w:hint="eastAsia"/>
                <w:bCs/>
                <w:color w:val="auto"/>
                <w:kern w:val="0"/>
                <w:sz w:val="24"/>
              </w:rPr>
              <w:t>位于</w:t>
            </w:r>
            <w:r>
              <w:rPr>
                <w:rFonts w:hint="eastAsia"/>
                <w:color w:val="auto"/>
                <w:spacing w:val="8"/>
                <w:sz w:val="24"/>
                <w:shd w:val="clear" w:color="auto" w:fill="FFFFFF"/>
              </w:rPr>
              <w:t>重庆市铜梁区东城街道祝英南路7号</w:t>
            </w:r>
            <w:r>
              <w:rPr>
                <w:color w:val="auto"/>
                <w:sz w:val="24"/>
              </w:rPr>
              <w:t>，</w:t>
            </w:r>
            <w:r>
              <w:rPr>
                <w:color w:val="auto"/>
                <w:kern w:val="0"/>
                <w:sz w:val="24"/>
              </w:rPr>
              <w:t>所在地已被规划为工业用地，用地范围内无生态环境保护目标</w:t>
            </w:r>
            <w:r>
              <w:rPr>
                <w:color w:val="auto"/>
                <w:sz w:val="24"/>
              </w:rPr>
              <w:t>，因此本评价不对项目所在地开展生态环境现状调查。</w:t>
            </w:r>
          </w:p>
          <w:p>
            <w:pPr>
              <w:pStyle w:val="2"/>
              <w:rPr>
                <w:rFonts w:ascii="Times New Roman" w:cs="Times New Roman"/>
                <w:b/>
                <w:bCs/>
                <w:color w:val="auto"/>
              </w:rPr>
            </w:pPr>
            <w:r>
              <w:rPr>
                <w:rFonts w:hint="eastAsia" w:ascii="Times New Roman" w:cs="Times New Roman"/>
                <w:b/>
                <w:bCs/>
                <w:color w:val="auto"/>
              </w:rPr>
              <w:t>6</w:t>
            </w:r>
            <w:r>
              <w:rPr>
                <w:rFonts w:ascii="Times New Roman" w:cs="Times New Roman"/>
                <w:b/>
                <w:bCs/>
                <w:color w:val="auto"/>
              </w:rPr>
              <w:t>.电磁辐射</w:t>
            </w:r>
          </w:p>
          <w:p>
            <w:pPr>
              <w:pStyle w:val="2"/>
              <w:ind w:firstLine="480" w:firstLineChars="200"/>
              <w:rPr>
                <w:color w:val="auto"/>
              </w:rPr>
            </w:pPr>
            <w:r>
              <w:rPr>
                <w:rFonts w:ascii="Times New Roman" w:cs="Times New Roman"/>
                <w:color w:val="auto"/>
              </w:rPr>
              <w:t>本项目不属于广播电台、差转台、电视塔台、卫星地球上行站、雷达等电磁辐射类项目，根据相关技术导则本评价不开展电磁辐射现状监测与评价。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800" w:type="dxa"/>
            <w:vAlign w:val="center"/>
          </w:tcPr>
          <w:p>
            <w:pPr>
              <w:adjustRightInd w:val="0"/>
              <w:snapToGrid w:val="0"/>
              <w:jc w:val="center"/>
              <w:rPr>
                <w:rFonts w:ascii="宋体" w:hAnsi="宋体" w:cs="宋体"/>
                <w:color w:val="auto"/>
                <w:kern w:val="0"/>
                <w:szCs w:val="21"/>
              </w:rPr>
            </w:pPr>
            <w:r>
              <w:rPr>
                <w:rFonts w:hint="eastAsia" w:ascii="宋体" w:hAnsi="宋体" w:cs="宋体"/>
                <w:color w:val="auto"/>
                <w:kern w:val="0"/>
                <w:szCs w:val="21"/>
              </w:rPr>
              <w:t>环境</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保护</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目标</w:t>
            </w:r>
          </w:p>
        </w:tc>
        <w:tc>
          <w:tcPr>
            <w:tcW w:w="8190" w:type="dxa"/>
          </w:tcPr>
          <w:p>
            <w:pPr>
              <w:adjustRightInd w:val="0"/>
              <w:snapToGrid w:val="0"/>
              <w:spacing w:line="360" w:lineRule="auto"/>
              <w:rPr>
                <w:b/>
                <w:bCs/>
                <w:color w:val="auto"/>
                <w:sz w:val="24"/>
              </w:rPr>
            </w:pPr>
            <w:r>
              <w:rPr>
                <w:rFonts w:hint="eastAsia"/>
                <w:b/>
                <w:bCs/>
                <w:color w:val="auto"/>
                <w:sz w:val="24"/>
              </w:rPr>
              <w:t>1.</w:t>
            </w:r>
            <w:r>
              <w:rPr>
                <w:b/>
                <w:bCs/>
                <w:color w:val="auto"/>
                <w:sz w:val="24"/>
              </w:rPr>
              <w:t>大气环境保护目标</w:t>
            </w:r>
          </w:p>
          <w:p>
            <w:pPr>
              <w:pStyle w:val="2"/>
              <w:snapToGrid w:val="0"/>
              <w:ind w:firstLine="480" w:firstLineChars="200"/>
              <w:rPr>
                <w:rFonts w:ascii="Times New Roman" w:cs="Times New Roman"/>
                <w:color w:val="auto"/>
              </w:rPr>
            </w:pPr>
            <w:r>
              <w:rPr>
                <w:rFonts w:ascii="Times New Roman" w:cs="Times New Roman"/>
                <w:bCs/>
                <w:color w:val="auto"/>
              </w:rPr>
              <w:t>本项目</w:t>
            </w:r>
            <w:r>
              <w:rPr>
                <w:rFonts w:hint="eastAsia" w:ascii="Times New Roman" w:cs="Times New Roman"/>
                <w:color w:val="auto"/>
              </w:rPr>
              <w:t>位于</w:t>
            </w:r>
            <w:r>
              <w:rPr>
                <w:color w:val="auto"/>
              </w:rPr>
              <w:t>重庆市</w:t>
            </w:r>
            <w:r>
              <w:rPr>
                <w:rFonts w:hint="eastAsia"/>
                <w:color w:val="auto"/>
                <w:spacing w:val="8"/>
                <w:shd w:val="clear" w:color="auto" w:fill="FFFFFF"/>
              </w:rPr>
              <w:t>铜梁区东城街道祝英南路7号</w:t>
            </w:r>
            <w:r>
              <w:rPr>
                <w:rFonts w:ascii="Times New Roman" w:cs="Times New Roman"/>
                <w:color w:val="auto"/>
              </w:rPr>
              <w:t>，项目周边5</w:t>
            </w:r>
            <w:r>
              <w:rPr>
                <w:rFonts w:hint="eastAsia" w:ascii="Times New Roman" w:cs="Times New Roman"/>
                <w:color w:val="auto"/>
              </w:rPr>
              <w:t>0</w:t>
            </w:r>
            <w:r>
              <w:rPr>
                <w:rFonts w:ascii="Times New Roman" w:cs="Times New Roman"/>
                <w:color w:val="auto"/>
              </w:rPr>
              <w:t>0m范围内均为工业企业，无居民、医院、学校等声环境保护目标。</w:t>
            </w:r>
          </w:p>
          <w:p>
            <w:pPr>
              <w:pStyle w:val="2"/>
              <w:rPr>
                <w:rFonts w:ascii="Times New Roman" w:cs="Times New Roman"/>
                <w:b/>
                <w:bCs/>
                <w:color w:val="auto"/>
              </w:rPr>
            </w:pPr>
            <w:r>
              <w:rPr>
                <w:rFonts w:hint="eastAsia" w:ascii="Times New Roman" w:cs="Times New Roman"/>
                <w:b/>
                <w:bCs/>
                <w:color w:val="auto"/>
              </w:rPr>
              <w:t>2.声</w:t>
            </w:r>
            <w:r>
              <w:rPr>
                <w:rFonts w:ascii="Times New Roman" w:cs="Times New Roman"/>
                <w:b/>
                <w:bCs/>
                <w:color w:val="auto"/>
              </w:rPr>
              <w:t>环境保护目标</w:t>
            </w:r>
          </w:p>
          <w:p>
            <w:pPr>
              <w:pStyle w:val="2"/>
              <w:ind w:firstLine="480" w:firstLineChars="200"/>
              <w:rPr>
                <w:rFonts w:ascii="Times New Roman" w:hAnsi="Times New Roman" w:cs="Times New Roman"/>
                <w:color w:val="auto"/>
              </w:rPr>
            </w:pPr>
            <w:r>
              <w:rPr>
                <w:rFonts w:ascii="Times New Roman" w:hAnsi="Times New Roman" w:cs="Times New Roman"/>
                <w:bCs/>
                <w:color w:val="auto"/>
              </w:rPr>
              <w:t>本项目位于</w:t>
            </w:r>
            <w:r>
              <w:rPr>
                <w:rFonts w:ascii="Times New Roman" w:hAnsi="Times New Roman" w:cs="Times New Roman"/>
                <w:color w:val="auto"/>
              </w:rPr>
              <w:t>重庆市</w:t>
            </w:r>
            <w:r>
              <w:rPr>
                <w:rFonts w:hint="eastAsia"/>
                <w:color w:val="auto"/>
                <w:spacing w:val="8"/>
                <w:shd w:val="clear" w:color="auto" w:fill="FFFFFF"/>
              </w:rPr>
              <w:t>铜梁区东城街道祝英南路7号</w:t>
            </w:r>
            <w:r>
              <w:rPr>
                <w:rFonts w:ascii="Times New Roman" w:hAnsi="Times New Roman" w:cs="Times New Roman"/>
                <w:color w:val="auto"/>
              </w:rPr>
              <w:t>，项目周边50m范围内均为工业企业，无居民、医院、学校等声环境保护目标。</w:t>
            </w:r>
          </w:p>
          <w:p>
            <w:pPr>
              <w:pStyle w:val="2"/>
              <w:rPr>
                <w:rFonts w:ascii="Times New Roman" w:hAnsi="Times New Roman" w:cs="Times New Roman"/>
                <w:b/>
                <w:bCs/>
                <w:color w:val="auto"/>
              </w:rPr>
            </w:pPr>
            <w:r>
              <w:rPr>
                <w:rFonts w:ascii="Times New Roman" w:hAnsi="Times New Roman" w:cs="Times New Roman"/>
                <w:b/>
                <w:bCs/>
                <w:color w:val="auto"/>
              </w:rPr>
              <w:t>3.地下水环境保护目标</w:t>
            </w:r>
          </w:p>
          <w:p>
            <w:pPr>
              <w:pStyle w:val="2"/>
              <w:ind w:firstLine="480" w:firstLineChars="200"/>
              <w:rPr>
                <w:rFonts w:ascii="Times New Roman" w:hAnsi="Times New Roman" w:cs="Times New Roman"/>
                <w:color w:val="auto"/>
              </w:rPr>
            </w:pPr>
            <w:r>
              <w:rPr>
                <w:rFonts w:ascii="Times New Roman" w:hAnsi="Times New Roman" w:cs="Times New Roman"/>
                <w:bCs/>
                <w:color w:val="auto"/>
              </w:rPr>
              <w:t>本项目位于</w:t>
            </w:r>
            <w:r>
              <w:rPr>
                <w:rFonts w:hint="eastAsia" w:ascii="Times New Roman" w:hAnsi="Times New Roman" w:cs="Times New Roman"/>
                <w:bCs/>
                <w:color w:val="auto"/>
              </w:rPr>
              <w:t>重庆市</w:t>
            </w:r>
            <w:r>
              <w:rPr>
                <w:rFonts w:hint="eastAsia"/>
                <w:color w:val="auto"/>
                <w:spacing w:val="8"/>
                <w:shd w:val="clear" w:color="auto" w:fill="FFFFFF"/>
              </w:rPr>
              <w:t>铜梁区东城街道祝英南路7号</w:t>
            </w:r>
            <w:r>
              <w:rPr>
                <w:rFonts w:ascii="Times New Roman" w:hAnsi="Times New Roman" w:cs="Times New Roman"/>
                <w:color w:val="auto"/>
              </w:rPr>
              <w:t>，项目周边无地下水集中式饮用水源、热水、矿泉水、温泉等特殊地下水资源。</w:t>
            </w:r>
          </w:p>
          <w:p>
            <w:pPr>
              <w:pStyle w:val="2"/>
              <w:rPr>
                <w:rFonts w:ascii="Times New Roman" w:hAnsi="Times New Roman" w:cs="Times New Roman"/>
                <w:b/>
                <w:bCs/>
                <w:color w:val="auto"/>
              </w:rPr>
            </w:pPr>
            <w:r>
              <w:rPr>
                <w:rFonts w:ascii="Times New Roman" w:hAnsi="Times New Roman" w:cs="Times New Roman"/>
                <w:b/>
                <w:bCs/>
                <w:color w:val="auto"/>
              </w:rPr>
              <w:t>4.生态环境保护目标</w:t>
            </w:r>
          </w:p>
          <w:p>
            <w:pPr>
              <w:pStyle w:val="2"/>
              <w:ind w:firstLine="480" w:firstLineChars="200"/>
              <w:rPr>
                <w:rFonts w:ascii="Times New Roman" w:eastAsia="等线" w:cs="Times New Roman"/>
                <w:color w:val="auto"/>
                <w:sz w:val="21"/>
                <w:szCs w:val="21"/>
              </w:rPr>
            </w:pPr>
            <w:r>
              <w:rPr>
                <w:rFonts w:ascii="Times New Roman" w:hAnsi="Times New Roman" w:cs="Times New Roman"/>
                <w:color w:val="auto"/>
              </w:rPr>
              <w:t>本项目位于重庆市</w:t>
            </w:r>
            <w:r>
              <w:rPr>
                <w:rFonts w:hint="eastAsia"/>
                <w:color w:val="auto"/>
                <w:spacing w:val="8"/>
                <w:shd w:val="clear" w:color="auto" w:fill="FFFFFF"/>
              </w:rPr>
              <w:t>铜梁区东城街道祝英南路7号</w:t>
            </w:r>
            <w:r>
              <w:rPr>
                <w:rFonts w:ascii="Times New Roman" w:hAnsi="Times New Roman" w:cs="Times New Roman"/>
                <w:color w:val="auto"/>
              </w:rPr>
              <w:t>，</w:t>
            </w:r>
            <w:r>
              <w:rPr>
                <w:rFonts w:ascii="Times New Roman" w:hAnsi="Times New Roman" w:cs="Times New Roman"/>
                <w:color w:val="auto"/>
                <w:highlight w:val="none"/>
              </w:rPr>
              <w:t>所在地</w:t>
            </w:r>
            <w:r>
              <w:rPr>
                <w:rFonts w:hint="eastAsia" w:ascii="Times New Roman" w:hAnsi="Times New Roman" w:cs="Times New Roman"/>
                <w:color w:val="auto"/>
                <w:highlight w:val="none"/>
                <w:lang w:eastAsia="zh-CN"/>
              </w:rPr>
              <w:t>用地性质为</w:t>
            </w:r>
            <w:r>
              <w:rPr>
                <w:rFonts w:ascii="Times New Roman" w:hAnsi="Times New Roman" w:cs="Times New Roman"/>
                <w:color w:val="auto"/>
                <w:highlight w:val="none"/>
              </w:rPr>
              <w:t>工业用地，</w:t>
            </w:r>
            <w:r>
              <w:rPr>
                <w:rFonts w:ascii="Times New Roman" w:hAnsi="Times New Roman" w:cs="Times New Roman"/>
                <w:color w:val="auto"/>
              </w:rPr>
              <w:t>用地范围内无生态环境保护目标。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tcMar>
              <w:left w:w="28" w:type="dxa"/>
              <w:right w:w="28" w:type="dxa"/>
            </w:tcMar>
            <w:vAlign w:val="center"/>
          </w:tcPr>
          <w:p>
            <w:pPr>
              <w:adjustRightInd w:val="0"/>
              <w:snapToGrid w:val="0"/>
              <w:jc w:val="center"/>
              <w:rPr>
                <w:rFonts w:ascii="宋体" w:hAnsi="宋体" w:cs="宋体"/>
                <w:color w:val="auto"/>
                <w:kern w:val="0"/>
                <w:szCs w:val="21"/>
              </w:rPr>
            </w:pPr>
            <w:r>
              <w:rPr>
                <w:rFonts w:hint="eastAsia" w:ascii="宋体" w:hAnsi="宋体" w:cs="宋体"/>
                <w:color w:val="auto"/>
                <w:kern w:val="0"/>
                <w:szCs w:val="21"/>
              </w:rPr>
              <w:t>污染</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物排</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放控</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制标</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准</w:t>
            </w:r>
          </w:p>
        </w:tc>
        <w:tc>
          <w:tcPr>
            <w:tcW w:w="8190" w:type="dxa"/>
          </w:tcPr>
          <w:p>
            <w:pPr>
              <w:adjustRightInd w:val="0"/>
              <w:snapToGrid w:val="0"/>
              <w:spacing w:line="360" w:lineRule="auto"/>
              <w:rPr>
                <w:b/>
                <w:bCs/>
                <w:color w:val="auto"/>
                <w:sz w:val="24"/>
              </w:rPr>
            </w:pPr>
            <w:r>
              <w:rPr>
                <w:b/>
                <w:bCs/>
                <w:color w:val="auto"/>
                <w:sz w:val="24"/>
              </w:rPr>
              <w:t>废气排放标准</w:t>
            </w:r>
          </w:p>
          <w:p>
            <w:pPr>
              <w:snapToGrid w:val="0"/>
              <w:spacing w:line="360" w:lineRule="auto"/>
              <w:ind w:firstLine="480" w:firstLineChars="200"/>
              <w:rPr>
                <w:rFonts w:hint="eastAsia" w:eastAsia="宋体"/>
                <w:snapToGrid w:val="0"/>
                <w:color w:val="auto"/>
                <w:sz w:val="24"/>
                <w:lang w:eastAsia="zh-CN"/>
              </w:rPr>
            </w:pPr>
            <w:r>
              <w:rPr>
                <w:rFonts w:hint="eastAsia"/>
                <w:color w:val="auto"/>
                <w:sz w:val="24"/>
                <w:highlight w:val="none"/>
                <w:lang w:eastAsia="zh-CN"/>
              </w:rPr>
              <w:t>本项目不涉及涂料及涂装工序，拉幅定型无纺布的烘干工序使用天然气作为能源加热空气对工件进行直接烘干，则拉幅定型无纺布生产线</w:t>
            </w:r>
            <w:r>
              <w:rPr>
                <w:rFonts w:hint="eastAsia"/>
                <w:color w:val="auto"/>
                <w:sz w:val="24"/>
              </w:rPr>
              <w:t>涂胶、烘干</w:t>
            </w:r>
            <w:r>
              <w:rPr>
                <w:color w:val="auto"/>
                <w:sz w:val="24"/>
              </w:rPr>
              <w:t>产生的</w:t>
            </w:r>
            <w:r>
              <w:rPr>
                <w:rFonts w:hint="eastAsia"/>
                <w:color w:val="auto"/>
                <w:sz w:val="24"/>
              </w:rPr>
              <w:t>非甲烷总烃、</w:t>
            </w:r>
            <w:r>
              <w:rPr>
                <w:color w:val="auto"/>
                <w:sz w:val="24"/>
              </w:rPr>
              <w:t>SO</w:t>
            </w:r>
            <w:r>
              <w:rPr>
                <w:color w:val="auto"/>
                <w:sz w:val="24"/>
                <w:vertAlign w:val="subscript"/>
              </w:rPr>
              <w:t>2</w:t>
            </w:r>
            <w:r>
              <w:rPr>
                <w:color w:val="auto"/>
                <w:sz w:val="24"/>
              </w:rPr>
              <w:t>、NO</w:t>
            </w:r>
            <w:r>
              <w:rPr>
                <w:color w:val="auto"/>
                <w:sz w:val="24"/>
                <w:vertAlign w:val="subscript"/>
              </w:rPr>
              <w:t>X</w:t>
            </w:r>
            <w:r>
              <w:rPr>
                <w:color w:val="auto"/>
                <w:sz w:val="24"/>
              </w:rPr>
              <w:t>、颗粒物执行</w:t>
            </w:r>
            <w:r>
              <w:rPr>
                <w:snapToGrid w:val="0"/>
                <w:color w:val="auto"/>
                <w:kern w:val="0"/>
                <w:sz w:val="24"/>
              </w:rPr>
              <w:t>《</w:t>
            </w:r>
            <w:r>
              <w:rPr>
                <w:color w:val="auto"/>
                <w:sz w:val="24"/>
              </w:rPr>
              <w:t>大气污染物综合排放标准》(DB50/418－2016)中表1的标准</w:t>
            </w:r>
            <w:r>
              <w:rPr>
                <w:rFonts w:hint="eastAsia"/>
                <w:color w:val="auto"/>
                <w:sz w:val="24"/>
              </w:rPr>
              <w:t>；</w:t>
            </w:r>
            <w:r>
              <w:rPr>
                <w:rFonts w:hint="eastAsia"/>
                <w:color w:val="auto"/>
                <w:sz w:val="24"/>
                <w:lang w:eastAsia="zh-CN"/>
              </w:rPr>
              <w:t>淋膜无纺布生产线</w:t>
            </w:r>
            <w:r>
              <w:rPr>
                <w:rFonts w:hint="eastAsia"/>
                <w:color w:val="auto"/>
                <w:sz w:val="24"/>
              </w:rPr>
              <w:t>淋膜、冷却工序</w:t>
            </w:r>
            <w:r>
              <w:rPr>
                <w:color w:val="auto"/>
                <w:sz w:val="24"/>
              </w:rPr>
              <w:t>产生的</w:t>
            </w:r>
            <w:r>
              <w:rPr>
                <w:rFonts w:hint="eastAsia"/>
                <w:color w:val="auto"/>
                <w:sz w:val="24"/>
              </w:rPr>
              <w:t>非甲烷总烃</w:t>
            </w:r>
            <w:r>
              <w:rPr>
                <w:color w:val="auto"/>
                <w:sz w:val="24"/>
              </w:rPr>
              <w:t>执行《合成树脂工业污染物排放标准》（GB31572-2015）特别排放限值；企业厂区内非甲烷总烃无组织排放监控点浓度执行《挥发性有机物无组织排放控制标准》（GB37822-2019）表A.1</w:t>
            </w:r>
            <w:r>
              <w:rPr>
                <w:rFonts w:hint="eastAsia"/>
                <w:color w:val="auto"/>
                <w:sz w:val="24"/>
              </w:rPr>
              <w:t>中</w:t>
            </w:r>
            <w:r>
              <w:rPr>
                <w:color w:val="auto"/>
                <w:sz w:val="24"/>
              </w:rPr>
              <w:t>的</w:t>
            </w:r>
            <w:r>
              <w:rPr>
                <w:rFonts w:hint="eastAsia"/>
                <w:color w:val="auto"/>
                <w:sz w:val="24"/>
              </w:rPr>
              <w:t>特别排放限值；</w:t>
            </w:r>
            <w:r>
              <w:rPr>
                <w:color w:val="auto"/>
                <w:kern w:val="0"/>
                <w:sz w:val="24"/>
              </w:rPr>
              <w:t>食堂产生的油烟、非甲烷总烃执行《餐饮业大气污染物排放标准》（DB50/859-2018）中标准限制，</w:t>
            </w:r>
            <w:r>
              <w:rPr>
                <w:color w:val="auto"/>
                <w:sz w:val="24"/>
              </w:rPr>
              <w:t>详见表3.</w:t>
            </w:r>
            <w:r>
              <w:rPr>
                <w:rFonts w:hint="eastAsia"/>
                <w:color w:val="auto"/>
                <w:sz w:val="24"/>
              </w:rPr>
              <w:t>3、表3.4、表3.5</w:t>
            </w:r>
            <w:r>
              <w:rPr>
                <w:color w:val="auto"/>
                <w:sz w:val="24"/>
              </w:rPr>
              <w:t>。</w:t>
            </w:r>
          </w:p>
          <w:p>
            <w:pPr>
              <w:adjustRightInd w:val="0"/>
              <w:snapToGrid w:val="0"/>
              <w:spacing w:line="360" w:lineRule="auto"/>
              <w:jc w:val="center"/>
              <w:rPr>
                <w:snapToGrid w:val="0"/>
                <w:color w:val="auto"/>
                <w:sz w:val="24"/>
                <w:highlight w:val="none"/>
              </w:rPr>
            </w:pPr>
            <w:r>
              <w:rPr>
                <w:snapToGrid w:val="0"/>
                <w:color w:val="auto"/>
                <w:sz w:val="21"/>
                <w:szCs w:val="21"/>
                <w:highlight w:val="none"/>
              </w:rPr>
              <w:t>表3.</w:t>
            </w:r>
            <w:r>
              <w:rPr>
                <w:rFonts w:hint="eastAsia"/>
                <w:snapToGrid w:val="0"/>
                <w:color w:val="auto"/>
                <w:sz w:val="21"/>
                <w:szCs w:val="21"/>
                <w:highlight w:val="none"/>
              </w:rPr>
              <w:t>3</w:t>
            </w:r>
            <w:r>
              <w:rPr>
                <w:snapToGrid w:val="0"/>
                <w:color w:val="auto"/>
                <w:sz w:val="21"/>
                <w:szCs w:val="21"/>
                <w:highlight w:val="none"/>
              </w:rPr>
              <w:t xml:space="preserve"> 《大气污染物综合排放标准》(DB50/418－2016)</w:t>
            </w:r>
          </w:p>
          <w:tbl>
            <w:tblPr>
              <w:tblStyle w:val="22"/>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71"/>
              <w:gridCol w:w="1670"/>
              <w:gridCol w:w="3741"/>
              <w:gridCol w:w="169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46" w:type="pct"/>
                  <w:vMerge w:val="restart"/>
                  <w:vAlign w:val="center"/>
                </w:tcPr>
                <w:p>
                  <w:pPr>
                    <w:autoSpaceDE w:val="0"/>
                    <w:autoSpaceDN w:val="0"/>
                    <w:adjustRightInd w:val="0"/>
                    <w:snapToGrid w:val="0"/>
                    <w:jc w:val="center"/>
                    <w:rPr>
                      <w:color w:val="auto"/>
                      <w:kern w:val="0"/>
                      <w:szCs w:val="21"/>
                    </w:rPr>
                  </w:pPr>
                  <w:r>
                    <w:rPr>
                      <w:color w:val="auto"/>
                      <w:kern w:val="0"/>
                      <w:szCs w:val="21"/>
                    </w:rPr>
                    <w:t>污染物项目</w:t>
                  </w:r>
                </w:p>
              </w:tc>
              <w:tc>
                <w:tcPr>
                  <w:tcW w:w="1047" w:type="pct"/>
                  <w:vMerge w:val="restart"/>
                  <w:vAlign w:val="center"/>
                </w:tcPr>
                <w:p>
                  <w:pPr>
                    <w:autoSpaceDE w:val="0"/>
                    <w:autoSpaceDN w:val="0"/>
                    <w:adjustRightInd w:val="0"/>
                    <w:snapToGrid w:val="0"/>
                    <w:jc w:val="center"/>
                    <w:rPr>
                      <w:color w:val="auto"/>
                      <w:szCs w:val="21"/>
                    </w:rPr>
                  </w:pPr>
                  <w:r>
                    <w:rPr>
                      <w:color w:val="auto"/>
                      <w:kern w:val="0"/>
                      <w:szCs w:val="21"/>
                    </w:rPr>
                    <w:t>大气污染物最高允许排放浓度（mg/m</w:t>
                  </w:r>
                  <w:r>
                    <w:rPr>
                      <w:color w:val="auto"/>
                      <w:kern w:val="0"/>
                      <w:szCs w:val="21"/>
                      <w:vertAlign w:val="superscript"/>
                    </w:rPr>
                    <w:t>3</w:t>
                  </w:r>
                  <w:r>
                    <w:rPr>
                      <w:color w:val="auto"/>
                      <w:kern w:val="0"/>
                      <w:szCs w:val="21"/>
                    </w:rPr>
                    <w:t>）</w:t>
                  </w:r>
                </w:p>
              </w:tc>
              <w:tc>
                <w:tcPr>
                  <w:tcW w:w="2345" w:type="pct"/>
                  <w:vAlign w:val="center"/>
                </w:tcPr>
                <w:p>
                  <w:pPr>
                    <w:autoSpaceDE w:val="0"/>
                    <w:autoSpaceDN w:val="0"/>
                    <w:adjustRightInd w:val="0"/>
                    <w:snapToGrid w:val="0"/>
                    <w:jc w:val="center"/>
                    <w:rPr>
                      <w:color w:val="auto"/>
                      <w:kern w:val="0"/>
                      <w:szCs w:val="21"/>
                    </w:rPr>
                  </w:pPr>
                  <w:r>
                    <w:rPr>
                      <w:color w:val="auto"/>
                      <w:kern w:val="0"/>
                      <w:szCs w:val="21"/>
                    </w:rPr>
                    <w:t>与排气筒高度对应的大气污染物最高允许排放速率（kg/h）</w:t>
                  </w:r>
                </w:p>
              </w:tc>
              <w:tc>
                <w:tcPr>
                  <w:tcW w:w="1060" w:type="pct"/>
                  <w:vMerge w:val="restart"/>
                  <w:vAlign w:val="center"/>
                </w:tcPr>
                <w:p>
                  <w:pPr>
                    <w:autoSpaceDE w:val="0"/>
                    <w:autoSpaceDN w:val="0"/>
                    <w:adjustRightInd w:val="0"/>
                    <w:snapToGrid w:val="0"/>
                    <w:jc w:val="center"/>
                    <w:rPr>
                      <w:color w:val="auto"/>
                      <w:kern w:val="0"/>
                      <w:szCs w:val="21"/>
                    </w:rPr>
                  </w:pPr>
                  <w:r>
                    <w:rPr>
                      <w:color w:val="auto"/>
                      <w:kern w:val="0"/>
                      <w:szCs w:val="21"/>
                    </w:rPr>
                    <w:t>无组织排放监控点浓度限值</w:t>
                  </w:r>
                </w:p>
                <w:p>
                  <w:pPr>
                    <w:adjustRightInd w:val="0"/>
                    <w:snapToGrid w:val="0"/>
                    <w:jc w:val="center"/>
                    <w:rPr>
                      <w:color w:val="auto"/>
                      <w:szCs w:val="21"/>
                    </w:rPr>
                  </w:pPr>
                  <w:r>
                    <w:rPr>
                      <w:color w:val="auto"/>
                      <w:kern w:val="0"/>
                      <w:szCs w:val="21"/>
                    </w:rPr>
                    <w:t>（mg/m</w:t>
                  </w:r>
                  <w:r>
                    <w:rPr>
                      <w:color w:val="auto"/>
                      <w:kern w:val="0"/>
                      <w:szCs w:val="21"/>
                      <w:vertAlign w:val="superscript"/>
                    </w:rPr>
                    <w:t>3</w:t>
                  </w:r>
                  <w:r>
                    <w:rPr>
                      <w:color w:val="auto"/>
                      <w:kern w:val="0"/>
                      <w:szCs w:val="21"/>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546" w:type="pct"/>
                  <w:vMerge w:val="continue"/>
                  <w:vAlign w:val="center"/>
                </w:tcPr>
                <w:p>
                  <w:pPr>
                    <w:adjustRightInd w:val="0"/>
                    <w:snapToGrid w:val="0"/>
                    <w:jc w:val="center"/>
                    <w:rPr>
                      <w:color w:val="auto"/>
                      <w:kern w:val="0"/>
                      <w:szCs w:val="21"/>
                    </w:rPr>
                  </w:pPr>
                </w:p>
              </w:tc>
              <w:tc>
                <w:tcPr>
                  <w:tcW w:w="1047" w:type="pct"/>
                  <w:vMerge w:val="continue"/>
                  <w:vAlign w:val="center"/>
                </w:tcPr>
                <w:p>
                  <w:pPr>
                    <w:adjustRightInd w:val="0"/>
                    <w:snapToGrid w:val="0"/>
                    <w:jc w:val="center"/>
                    <w:rPr>
                      <w:color w:val="auto"/>
                      <w:szCs w:val="21"/>
                    </w:rPr>
                  </w:pPr>
                </w:p>
              </w:tc>
              <w:tc>
                <w:tcPr>
                  <w:tcW w:w="2345" w:type="pct"/>
                  <w:vAlign w:val="center"/>
                </w:tcPr>
                <w:p>
                  <w:pPr>
                    <w:adjustRightInd w:val="0"/>
                    <w:snapToGrid w:val="0"/>
                    <w:jc w:val="center"/>
                    <w:rPr>
                      <w:color w:val="auto"/>
                      <w:szCs w:val="21"/>
                    </w:rPr>
                  </w:pPr>
                  <w:r>
                    <w:rPr>
                      <w:color w:val="auto"/>
                      <w:kern w:val="0"/>
                      <w:szCs w:val="21"/>
                    </w:rPr>
                    <w:t>15m</w:t>
                  </w:r>
                </w:p>
              </w:tc>
              <w:tc>
                <w:tcPr>
                  <w:tcW w:w="1060" w:type="pct"/>
                  <w:vMerge w:val="continue"/>
                  <w:vAlign w:val="center"/>
                </w:tcPr>
                <w:p>
                  <w:pPr>
                    <w:adjustRightInd w:val="0"/>
                    <w:snapToGrid w:val="0"/>
                    <w:jc w:val="center"/>
                    <w:rPr>
                      <w:color w:val="auto"/>
                      <w:szCs w:val="21"/>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 w:hRule="atLeast"/>
                <w:jc w:val="center"/>
              </w:trPr>
              <w:tc>
                <w:tcPr>
                  <w:tcW w:w="546" w:type="pct"/>
                  <w:vAlign w:val="center"/>
                </w:tcPr>
                <w:p>
                  <w:pPr>
                    <w:adjustRightInd w:val="0"/>
                    <w:snapToGrid w:val="0"/>
                    <w:jc w:val="center"/>
                    <w:rPr>
                      <w:color w:val="auto"/>
                      <w:kern w:val="0"/>
                      <w:szCs w:val="21"/>
                    </w:rPr>
                  </w:pPr>
                  <w:r>
                    <w:rPr>
                      <w:color w:val="auto"/>
                      <w:kern w:val="0"/>
                      <w:szCs w:val="21"/>
                    </w:rPr>
                    <w:t>其他颗粒物</w:t>
                  </w:r>
                </w:p>
              </w:tc>
              <w:tc>
                <w:tcPr>
                  <w:tcW w:w="1047" w:type="pct"/>
                  <w:vAlign w:val="center"/>
                </w:tcPr>
                <w:p>
                  <w:pPr>
                    <w:adjustRightInd w:val="0"/>
                    <w:snapToGrid w:val="0"/>
                    <w:jc w:val="center"/>
                    <w:rPr>
                      <w:color w:val="auto"/>
                      <w:szCs w:val="21"/>
                    </w:rPr>
                  </w:pPr>
                  <w:r>
                    <w:rPr>
                      <w:rFonts w:hint="eastAsia"/>
                      <w:color w:val="auto"/>
                      <w:szCs w:val="21"/>
                    </w:rPr>
                    <w:t>120</w:t>
                  </w:r>
                </w:p>
              </w:tc>
              <w:tc>
                <w:tcPr>
                  <w:tcW w:w="2345" w:type="pct"/>
                  <w:vAlign w:val="center"/>
                </w:tcPr>
                <w:p>
                  <w:pPr>
                    <w:adjustRightInd w:val="0"/>
                    <w:snapToGrid w:val="0"/>
                    <w:jc w:val="center"/>
                    <w:rPr>
                      <w:color w:val="auto"/>
                      <w:szCs w:val="21"/>
                    </w:rPr>
                  </w:pPr>
                  <w:r>
                    <w:rPr>
                      <w:rFonts w:hint="eastAsia"/>
                      <w:color w:val="auto"/>
                      <w:szCs w:val="21"/>
                    </w:rPr>
                    <w:t>3.5</w:t>
                  </w:r>
                </w:p>
              </w:tc>
              <w:tc>
                <w:tcPr>
                  <w:tcW w:w="1060" w:type="pct"/>
                  <w:vAlign w:val="center"/>
                </w:tcPr>
                <w:p>
                  <w:pPr>
                    <w:adjustRightInd w:val="0"/>
                    <w:snapToGrid w:val="0"/>
                    <w:jc w:val="center"/>
                    <w:rPr>
                      <w:color w:val="auto"/>
                      <w:szCs w:val="21"/>
                    </w:rPr>
                  </w:pPr>
                  <w:r>
                    <w:rPr>
                      <w:color w:val="auto"/>
                      <w:szCs w:val="21"/>
                    </w:rPr>
                    <w:t>1.0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 w:hRule="atLeast"/>
                <w:jc w:val="center"/>
              </w:trPr>
              <w:tc>
                <w:tcPr>
                  <w:tcW w:w="546" w:type="pct"/>
                  <w:vAlign w:val="center"/>
                </w:tcPr>
                <w:p>
                  <w:pPr>
                    <w:adjustRightInd w:val="0"/>
                    <w:snapToGrid w:val="0"/>
                    <w:jc w:val="center"/>
                    <w:rPr>
                      <w:color w:val="auto"/>
                      <w:kern w:val="0"/>
                      <w:szCs w:val="21"/>
                    </w:rPr>
                  </w:pPr>
                  <w:r>
                    <w:rPr>
                      <w:color w:val="auto"/>
                      <w:kern w:val="0"/>
                      <w:szCs w:val="21"/>
                    </w:rPr>
                    <w:t>非甲烷总烃</w:t>
                  </w:r>
                </w:p>
              </w:tc>
              <w:tc>
                <w:tcPr>
                  <w:tcW w:w="1047" w:type="pct"/>
                  <w:vAlign w:val="center"/>
                </w:tcPr>
                <w:p>
                  <w:pPr>
                    <w:adjustRightInd w:val="0"/>
                    <w:snapToGrid w:val="0"/>
                    <w:jc w:val="center"/>
                    <w:rPr>
                      <w:color w:val="auto"/>
                      <w:szCs w:val="21"/>
                    </w:rPr>
                  </w:pPr>
                  <w:r>
                    <w:rPr>
                      <w:color w:val="auto"/>
                      <w:szCs w:val="21"/>
                    </w:rPr>
                    <w:t>120</w:t>
                  </w:r>
                </w:p>
              </w:tc>
              <w:tc>
                <w:tcPr>
                  <w:tcW w:w="2345" w:type="pct"/>
                  <w:vAlign w:val="center"/>
                </w:tcPr>
                <w:p>
                  <w:pPr>
                    <w:adjustRightInd w:val="0"/>
                    <w:snapToGrid w:val="0"/>
                    <w:jc w:val="center"/>
                    <w:rPr>
                      <w:color w:val="auto"/>
                      <w:szCs w:val="21"/>
                    </w:rPr>
                  </w:pPr>
                  <w:r>
                    <w:rPr>
                      <w:color w:val="auto"/>
                      <w:szCs w:val="21"/>
                    </w:rPr>
                    <w:t>10</w:t>
                  </w:r>
                </w:p>
              </w:tc>
              <w:tc>
                <w:tcPr>
                  <w:tcW w:w="1060" w:type="pct"/>
                  <w:vAlign w:val="center"/>
                </w:tcPr>
                <w:p>
                  <w:pPr>
                    <w:adjustRightInd w:val="0"/>
                    <w:snapToGrid w:val="0"/>
                    <w:jc w:val="center"/>
                    <w:rPr>
                      <w:color w:val="auto"/>
                      <w:szCs w:val="21"/>
                    </w:rPr>
                  </w:pPr>
                  <w:r>
                    <w:rPr>
                      <w:color w:val="auto"/>
                      <w:szCs w:val="21"/>
                    </w:rPr>
                    <w:t>4.0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 w:hRule="atLeast"/>
                <w:jc w:val="center"/>
              </w:trPr>
              <w:tc>
                <w:tcPr>
                  <w:tcW w:w="546" w:type="pct"/>
                  <w:vAlign w:val="center"/>
                </w:tcPr>
                <w:p>
                  <w:pPr>
                    <w:adjustRightInd w:val="0"/>
                    <w:snapToGrid w:val="0"/>
                    <w:jc w:val="center"/>
                    <w:rPr>
                      <w:color w:val="auto"/>
                      <w:kern w:val="0"/>
                      <w:szCs w:val="21"/>
                    </w:rPr>
                  </w:pPr>
                  <w:r>
                    <w:rPr>
                      <w:color w:val="auto"/>
                      <w:kern w:val="0"/>
                      <w:szCs w:val="21"/>
                    </w:rPr>
                    <w:t>SO</w:t>
                  </w:r>
                  <w:r>
                    <w:rPr>
                      <w:color w:val="auto"/>
                      <w:kern w:val="0"/>
                      <w:szCs w:val="21"/>
                      <w:vertAlign w:val="subscript"/>
                    </w:rPr>
                    <w:t>2</w:t>
                  </w:r>
                </w:p>
              </w:tc>
              <w:tc>
                <w:tcPr>
                  <w:tcW w:w="1047" w:type="pct"/>
                  <w:vAlign w:val="center"/>
                </w:tcPr>
                <w:p>
                  <w:pPr>
                    <w:adjustRightInd w:val="0"/>
                    <w:snapToGrid w:val="0"/>
                    <w:jc w:val="center"/>
                    <w:rPr>
                      <w:color w:val="auto"/>
                      <w:szCs w:val="21"/>
                    </w:rPr>
                  </w:pPr>
                  <w:r>
                    <w:rPr>
                      <w:rFonts w:hint="eastAsia"/>
                      <w:color w:val="auto"/>
                      <w:szCs w:val="21"/>
                    </w:rPr>
                    <w:t>550</w:t>
                  </w:r>
                </w:p>
              </w:tc>
              <w:tc>
                <w:tcPr>
                  <w:tcW w:w="2345" w:type="pct"/>
                  <w:vAlign w:val="center"/>
                </w:tcPr>
                <w:p>
                  <w:pPr>
                    <w:adjustRightInd w:val="0"/>
                    <w:snapToGrid w:val="0"/>
                    <w:jc w:val="center"/>
                    <w:rPr>
                      <w:color w:val="auto"/>
                      <w:szCs w:val="21"/>
                    </w:rPr>
                  </w:pPr>
                  <w:r>
                    <w:rPr>
                      <w:rFonts w:hint="eastAsia"/>
                      <w:color w:val="auto"/>
                      <w:szCs w:val="21"/>
                    </w:rPr>
                    <w:t>2.6</w:t>
                  </w:r>
                </w:p>
              </w:tc>
              <w:tc>
                <w:tcPr>
                  <w:tcW w:w="1060" w:type="pct"/>
                  <w:vAlign w:val="center"/>
                </w:tcPr>
                <w:p>
                  <w:pPr>
                    <w:adjustRightInd w:val="0"/>
                    <w:snapToGrid w:val="0"/>
                    <w:jc w:val="center"/>
                    <w:rPr>
                      <w:color w:val="auto"/>
                      <w:szCs w:val="21"/>
                    </w:rPr>
                  </w:pPr>
                  <w:r>
                    <w:rPr>
                      <w:color w:val="auto"/>
                      <w:szCs w:val="21"/>
                    </w:rPr>
                    <w:t>0.4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 w:hRule="atLeast"/>
                <w:jc w:val="center"/>
              </w:trPr>
              <w:tc>
                <w:tcPr>
                  <w:tcW w:w="546" w:type="pct"/>
                  <w:vAlign w:val="center"/>
                </w:tcPr>
                <w:p>
                  <w:pPr>
                    <w:adjustRightInd w:val="0"/>
                    <w:snapToGrid w:val="0"/>
                    <w:jc w:val="center"/>
                    <w:rPr>
                      <w:color w:val="auto"/>
                      <w:kern w:val="0"/>
                      <w:szCs w:val="21"/>
                    </w:rPr>
                  </w:pPr>
                  <w:r>
                    <w:rPr>
                      <w:color w:val="auto"/>
                      <w:kern w:val="0"/>
                      <w:szCs w:val="21"/>
                    </w:rPr>
                    <w:t>NO</w:t>
                  </w:r>
                  <w:r>
                    <w:rPr>
                      <w:color w:val="auto"/>
                      <w:kern w:val="0"/>
                      <w:szCs w:val="21"/>
                      <w:vertAlign w:val="subscript"/>
                    </w:rPr>
                    <w:t>X</w:t>
                  </w:r>
                </w:p>
              </w:tc>
              <w:tc>
                <w:tcPr>
                  <w:tcW w:w="1047" w:type="pct"/>
                  <w:vAlign w:val="center"/>
                </w:tcPr>
                <w:p>
                  <w:pPr>
                    <w:adjustRightInd w:val="0"/>
                    <w:snapToGrid w:val="0"/>
                    <w:jc w:val="center"/>
                    <w:rPr>
                      <w:color w:val="auto"/>
                      <w:szCs w:val="21"/>
                    </w:rPr>
                  </w:pPr>
                  <w:r>
                    <w:rPr>
                      <w:rFonts w:hint="eastAsia"/>
                      <w:color w:val="auto"/>
                      <w:szCs w:val="21"/>
                    </w:rPr>
                    <w:t>240</w:t>
                  </w:r>
                </w:p>
              </w:tc>
              <w:tc>
                <w:tcPr>
                  <w:tcW w:w="2345" w:type="pct"/>
                  <w:vAlign w:val="center"/>
                </w:tcPr>
                <w:p>
                  <w:pPr>
                    <w:adjustRightInd w:val="0"/>
                    <w:snapToGrid w:val="0"/>
                    <w:jc w:val="center"/>
                    <w:rPr>
                      <w:color w:val="auto"/>
                      <w:szCs w:val="21"/>
                    </w:rPr>
                  </w:pPr>
                  <w:r>
                    <w:rPr>
                      <w:rFonts w:hint="eastAsia"/>
                      <w:color w:val="auto"/>
                      <w:szCs w:val="21"/>
                    </w:rPr>
                    <w:t>0.77</w:t>
                  </w:r>
                </w:p>
              </w:tc>
              <w:tc>
                <w:tcPr>
                  <w:tcW w:w="1060" w:type="pct"/>
                  <w:vAlign w:val="center"/>
                </w:tcPr>
                <w:p>
                  <w:pPr>
                    <w:adjustRightInd w:val="0"/>
                    <w:snapToGrid w:val="0"/>
                    <w:jc w:val="center"/>
                    <w:rPr>
                      <w:color w:val="auto"/>
                      <w:szCs w:val="21"/>
                    </w:rPr>
                  </w:pPr>
                  <w:r>
                    <w:rPr>
                      <w:color w:val="auto"/>
                      <w:szCs w:val="21"/>
                    </w:rPr>
                    <w:t>0.12</w:t>
                  </w:r>
                </w:p>
              </w:tc>
            </w:tr>
          </w:tbl>
          <w:p>
            <w:pPr>
              <w:spacing w:line="336" w:lineRule="auto"/>
              <w:jc w:val="center"/>
              <w:rPr>
                <w:color w:val="auto"/>
                <w:sz w:val="24"/>
              </w:rPr>
            </w:pPr>
            <w:r>
              <w:rPr>
                <w:rFonts w:hint="eastAsia"/>
                <w:color w:val="auto"/>
                <w:sz w:val="21"/>
                <w:szCs w:val="21"/>
              </w:rPr>
              <w:t>表3.4</w:t>
            </w:r>
            <w:r>
              <w:rPr>
                <w:color w:val="auto"/>
                <w:sz w:val="21"/>
                <w:szCs w:val="21"/>
              </w:rPr>
              <w:t xml:space="preserve"> 《合成树脂工业污染物排放标准》（GB31572-2015） 单位：mg/m</w:t>
            </w:r>
            <w:r>
              <w:rPr>
                <w:color w:val="auto"/>
                <w:sz w:val="21"/>
                <w:szCs w:val="21"/>
                <w:vertAlign w:val="superscript"/>
              </w:rPr>
              <w:t>3</w:t>
            </w:r>
          </w:p>
          <w:tbl>
            <w:tblPr>
              <w:tblStyle w:val="22"/>
              <w:tblW w:w="4998" w:type="pct"/>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3454"/>
              <w:gridCol w:w="3179"/>
              <w:gridCol w:w="1338"/>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88" w:hRule="exact"/>
                <w:jc w:val="center"/>
              </w:trPr>
              <w:tc>
                <w:tcPr>
                  <w:tcW w:w="2167" w:type="pct"/>
                  <w:vMerge w:val="restart"/>
                  <w:tcBorders>
                    <w:top w:val="single" w:color="auto" w:sz="6" w:space="0"/>
                    <w:left w:val="nil"/>
                    <w:bottom w:val="single" w:color="auto" w:sz="6" w:space="0"/>
                    <w:right w:val="single" w:color="auto" w:sz="6" w:space="0"/>
                  </w:tcBorders>
                  <w:vAlign w:val="center"/>
                </w:tcPr>
                <w:p>
                  <w:pPr>
                    <w:autoSpaceDE w:val="0"/>
                    <w:autoSpaceDN w:val="0"/>
                    <w:jc w:val="center"/>
                    <w:rPr>
                      <w:color w:val="auto"/>
                      <w:szCs w:val="21"/>
                      <w:lang w:val="zh-CN"/>
                    </w:rPr>
                  </w:pPr>
                  <w:r>
                    <w:rPr>
                      <w:color w:val="auto"/>
                      <w:szCs w:val="21"/>
                      <w:lang w:val="zh-CN"/>
                    </w:rPr>
                    <w:t>污染物项目</w:t>
                  </w:r>
                </w:p>
              </w:tc>
              <w:tc>
                <w:tcPr>
                  <w:tcW w:w="2832" w:type="pct"/>
                  <w:gridSpan w:val="2"/>
                  <w:tcBorders>
                    <w:top w:val="single" w:color="auto" w:sz="6" w:space="0"/>
                    <w:left w:val="single" w:color="auto" w:sz="6" w:space="0"/>
                    <w:bottom w:val="single" w:color="auto" w:sz="6" w:space="0"/>
                    <w:right w:val="nil"/>
                  </w:tcBorders>
                  <w:vAlign w:val="center"/>
                </w:tcPr>
                <w:p>
                  <w:pPr>
                    <w:autoSpaceDE w:val="0"/>
                    <w:autoSpaceDN w:val="0"/>
                    <w:jc w:val="center"/>
                    <w:rPr>
                      <w:color w:val="auto"/>
                      <w:szCs w:val="21"/>
                      <w:lang w:val="zh-CN"/>
                    </w:rPr>
                  </w:pPr>
                  <w:r>
                    <w:rPr>
                      <w:color w:val="auto"/>
                      <w:szCs w:val="21"/>
                      <w:lang w:val="zh-CN"/>
                    </w:rPr>
                    <w:t>排放限值</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58" w:hRule="exact"/>
                <w:jc w:val="center"/>
              </w:trPr>
              <w:tc>
                <w:tcPr>
                  <w:tcW w:w="2167" w:type="pct"/>
                  <w:vMerge w:val="continue"/>
                  <w:tcBorders>
                    <w:top w:val="single" w:color="auto" w:sz="6" w:space="0"/>
                    <w:left w:val="nil"/>
                    <w:bottom w:val="single" w:color="auto" w:sz="6" w:space="0"/>
                    <w:right w:val="single" w:color="auto" w:sz="6" w:space="0"/>
                  </w:tcBorders>
                  <w:vAlign w:val="center"/>
                </w:tcPr>
                <w:p>
                  <w:pPr>
                    <w:widowControl/>
                    <w:jc w:val="left"/>
                    <w:rPr>
                      <w:color w:val="auto"/>
                      <w:szCs w:val="21"/>
                      <w:lang w:val="zh-CN"/>
                    </w:rPr>
                  </w:pPr>
                </w:p>
              </w:tc>
              <w:tc>
                <w:tcPr>
                  <w:tcW w:w="1994" w:type="pct"/>
                  <w:tcBorders>
                    <w:top w:val="single" w:color="auto" w:sz="6" w:space="0"/>
                    <w:left w:val="single" w:color="auto" w:sz="6" w:space="0"/>
                    <w:bottom w:val="single" w:color="auto" w:sz="6" w:space="0"/>
                    <w:right w:val="single" w:color="auto" w:sz="6" w:space="0"/>
                  </w:tcBorders>
                  <w:vAlign w:val="center"/>
                </w:tcPr>
                <w:p>
                  <w:pPr>
                    <w:autoSpaceDE w:val="0"/>
                    <w:autoSpaceDN w:val="0"/>
                    <w:ind w:firstLine="199" w:firstLineChars="95"/>
                    <w:jc w:val="center"/>
                    <w:rPr>
                      <w:color w:val="auto"/>
                      <w:szCs w:val="21"/>
                      <w:lang w:val="zh-CN"/>
                    </w:rPr>
                  </w:pPr>
                  <w:r>
                    <w:rPr>
                      <w:color w:val="auto"/>
                      <w:szCs w:val="21"/>
                      <w:lang w:val="zh-CN"/>
                    </w:rPr>
                    <w:t>车间或生产设施排气筒</w:t>
                  </w:r>
                </w:p>
              </w:tc>
              <w:tc>
                <w:tcPr>
                  <w:tcW w:w="838" w:type="pct"/>
                  <w:tcBorders>
                    <w:top w:val="single" w:color="auto" w:sz="6" w:space="0"/>
                    <w:left w:val="single" w:color="auto" w:sz="6" w:space="0"/>
                    <w:bottom w:val="single" w:color="auto" w:sz="6" w:space="0"/>
                    <w:right w:val="nil"/>
                  </w:tcBorders>
                  <w:vAlign w:val="center"/>
                </w:tcPr>
                <w:p>
                  <w:pPr>
                    <w:autoSpaceDE w:val="0"/>
                    <w:autoSpaceDN w:val="0"/>
                    <w:jc w:val="center"/>
                    <w:rPr>
                      <w:color w:val="auto"/>
                      <w:szCs w:val="21"/>
                    </w:rPr>
                  </w:pPr>
                  <w:r>
                    <w:rPr>
                      <w:color w:val="auto"/>
                      <w:szCs w:val="21"/>
                      <w:lang w:val="zh-CN"/>
                    </w:rPr>
                    <w:t>企业边界</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2167" w:type="pct"/>
                  <w:tcBorders>
                    <w:top w:val="single" w:color="auto" w:sz="6" w:space="0"/>
                    <w:left w:val="nil"/>
                    <w:bottom w:val="single" w:color="auto" w:sz="6" w:space="0"/>
                    <w:right w:val="single" w:color="auto" w:sz="6" w:space="0"/>
                  </w:tcBorders>
                  <w:vAlign w:val="center"/>
                </w:tcPr>
                <w:p>
                  <w:pPr>
                    <w:autoSpaceDE w:val="0"/>
                    <w:autoSpaceDN w:val="0"/>
                    <w:jc w:val="center"/>
                    <w:rPr>
                      <w:color w:val="auto"/>
                      <w:szCs w:val="21"/>
                      <w:lang w:val="zh-CN"/>
                    </w:rPr>
                  </w:pPr>
                  <w:r>
                    <w:rPr>
                      <w:color w:val="auto"/>
                      <w:szCs w:val="21"/>
                      <w:lang w:val="zh-CN"/>
                    </w:rPr>
                    <w:t>非甲烷总烃</w:t>
                  </w:r>
                </w:p>
              </w:tc>
              <w:tc>
                <w:tcPr>
                  <w:tcW w:w="1994" w:type="pc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color w:val="auto"/>
                      <w:szCs w:val="21"/>
                      <w:lang w:val="zh-CN"/>
                    </w:rPr>
                  </w:pPr>
                  <w:r>
                    <w:rPr>
                      <w:snapToGrid w:val="0"/>
                      <w:color w:val="auto"/>
                      <w:szCs w:val="21"/>
                    </w:rPr>
                    <w:t>60</w:t>
                  </w:r>
                </w:p>
              </w:tc>
              <w:tc>
                <w:tcPr>
                  <w:tcW w:w="838" w:type="pct"/>
                  <w:tcBorders>
                    <w:top w:val="single" w:color="auto" w:sz="6" w:space="0"/>
                    <w:left w:val="single" w:color="auto" w:sz="6" w:space="0"/>
                    <w:bottom w:val="single" w:color="auto" w:sz="6" w:space="0"/>
                    <w:right w:val="nil"/>
                  </w:tcBorders>
                  <w:vAlign w:val="center"/>
                </w:tcPr>
                <w:p>
                  <w:pPr>
                    <w:autoSpaceDE w:val="0"/>
                    <w:autoSpaceDN w:val="0"/>
                    <w:ind w:firstLine="199" w:firstLineChars="95"/>
                    <w:jc w:val="center"/>
                    <w:rPr>
                      <w:color w:val="auto"/>
                      <w:szCs w:val="21"/>
                      <w:lang w:val="zh-CN"/>
                    </w:rPr>
                  </w:pPr>
                  <w:r>
                    <w:rPr>
                      <w:color w:val="auto"/>
                      <w:szCs w:val="21"/>
                    </w:rPr>
                    <w:t>4.0</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2167" w:type="pct"/>
                  <w:tcBorders>
                    <w:top w:val="single" w:color="auto" w:sz="6" w:space="0"/>
                    <w:left w:val="nil"/>
                    <w:bottom w:val="single" w:color="auto" w:sz="6" w:space="0"/>
                    <w:right w:val="single" w:color="auto" w:sz="6" w:space="0"/>
                  </w:tcBorders>
                  <w:vAlign w:val="center"/>
                </w:tcPr>
                <w:p>
                  <w:pPr>
                    <w:autoSpaceDE w:val="0"/>
                    <w:autoSpaceDN w:val="0"/>
                    <w:jc w:val="center"/>
                    <w:rPr>
                      <w:color w:val="auto"/>
                      <w:szCs w:val="21"/>
                      <w:lang w:val="zh-CN"/>
                    </w:rPr>
                  </w:pPr>
                  <w:r>
                    <w:rPr>
                      <w:rFonts w:hint="eastAsia"/>
                      <w:color w:val="auto"/>
                      <w:szCs w:val="21"/>
                      <w:lang w:val="zh-CN"/>
                    </w:rPr>
                    <w:t>单位产品非甲烷总烃排放量</w:t>
                  </w:r>
                </w:p>
              </w:tc>
              <w:tc>
                <w:tcPr>
                  <w:tcW w:w="2832" w:type="pct"/>
                  <w:gridSpan w:val="2"/>
                  <w:tcBorders>
                    <w:top w:val="single" w:color="auto" w:sz="6" w:space="0"/>
                    <w:left w:val="single" w:color="auto" w:sz="6" w:space="0"/>
                    <w:bottom w:val="single" w:color="auto" w:sz="6" w:space="0"/>
                    <w:right w:val="nil"/>
                  </w:tcBorders>
                  <w:vAlign w:val="center"/>
                </w:tcPr>
                <w:p>
                  <w:pPr>
                    <w:autoSpaceDE w:val="0"/>
                    <w:autoSpaceDN w:val="0"/>
                    <w:ind w:firstLine="199" w:firstLineChars="95"/>
                    <w:jc w:val="center"/>
                    <w:rPr>
                      <w:color w:val="auto"/>
                      <w:szCs w:val="21"/>
                    </w:rPr>
                  </w:pPr>
                  <w:r>
                    <w:rPr>
                      <w:rFonts w:hint="eastAsia"/>
                      <w:snapToGrid w:val="0"/>
                      <w:color w:val="auto"/>
                      <w:szCs w:val="21"/>
                    </w:rPr>
                    <w:t>0.3kg/t</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5000" w:type="pct"/>
                  <w:gridSpan w:val="3"/>
                  <w:tcBorders>
                    <w:top w:val="single" w:color="auto" w:sz="6" w:space="0"/>
                    <w:left w:val="nil"/>
                    <w:bottom w:val="single" w:color="auto" w:sz="6" w:space="0"/>
                    <w:right w:val="nil"/>
                  </w:tcBorders>
                  <w:vAlign w:val="center"/>
                </w:tcPr>
                <w:p>
                  <w:pPr>
                    <w:autoSpaceDE w:val="0"/>
                    <w:autoSpaceDN w:val="0"/>
                    <w:rPr>
                      <w:snapToGrid w:val="0"/>
                      <w:color w:val="auto"/>
                      <w:szCs w:val="21"/>
                    </w:rPr>
                  </w:pPr>
                  <w:r>
                    <w:rPr>
                      <w:rFonts w:hint="eastAsia"/>
                      <w:snapToGrid w:val="0"/>
                      <w:color w:val="auto"/>
                      <w:szCs w:val="21"/>
                    </w:rPr>
                    <w:t>注：</w:t>
                  </w:r>
                  <w:r>
                    <w:rPr>
                      <w:rFonts w:hint="eastAsia"/>
                      <w:color w:val="auto"/>
                      <w:vertAlign w:val="superscript"/>
                    </w:rPr>
                    <w:t>（1）</w:t>
                  </w:r>
                  <w:r>
                    <w:rPr>
                      <w:rFonts w:hint="eastAsia"/>
                      <w:color w:val="auto"/>
                    </w:rPr>
                    <w:t>待国家污染物监测方法标准发布后实施</w:t>
                  </w:r>
                </w:p>
              </w:tc>
            </w:tr>
          </w:tbl>
          <w:p>
            <w:pPr>
              <w:autoSpaceDE w:val="0"/>
              <w:autoSpaceDN w:val="0"/>
              <w:adjustRightInd w:val="0"/>
              <w:snapToGrid w:val="0"/>
              <w:spacing w:line="360" w:lineRule="auto"/>
              <w:jc w:val="center"/>
              <w:rPr>
                <w:color w:val="auto"/>
                <w:sz w:val="21"/>
                <w:szCs w:val="21"/>
              </w:rPr>
            </w:pPr>
            <w:r>
              <w:rPr>
                <w:color w:val="auto"/>
                <w:sz w:val="21"/>
                <w:szCs w:val="21"/>
              </w:rPr>
              <w:t>表</w:t>
            </w:r>
            <w:r>
              <w:rPr>
                <w:rFonts w:hint="eastAsia"/>
                <w:color w:val="auto"/>
                <w:sz w:val="21"/>
                <w:szCs w:val="21"/>
              </w:rPr>
              <w:t>3.5</w:t>
            </w:r>
            <w:r>
              <w:rPr>
                <w:color w:val="auto"/>
                <w:sz w:val="21"/>
                <w:szCs w:val="21"/>
              </w:rPr>
              <w:t xml:space="preserve"> 《挥发性有机物无组织排放控制标准》（GB37822-2019）</w:t>
            </w:r>
          </w:p>
          <w:tbl>
            <w:tblPr>
              <w:tblStyle w:val="22"/>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1745"/>
              <w:gridCol w:w="2966"/>
              <w:gridCol w:w="22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0" w:type="pct"/>
                  <w:vAlign w:val="center"/>
                </w:tcPr>
                <w:p>
                  <w:pPr>
                    <w:autoSpaceDE w:val="0"/>
                    <w:autoSpaceDN w:val="0"/>
                    <w:adjustRightInd w:val="0"/>
                    <w:snapToGrid w:val="0"/>
                    <w:jc w:val="center"/>
                    <w:rPr>
                      <w:color w:val="auto"/>
                      <w:szCs w:val="21"/>
                    </w:rPr>
                  </w:pPr>
                  <w:r>
                    <w:rPr>
                      <w:color w:val="auto"/>
                      <w:szCs w:val="21"/>
                    </w:rPr>
                    <w:t>污染物</w:t>
                  </w:r>
                </w:p>
                <w:p>
                  <w:pPr>
                    <w:autoSpaceDE w:val="0"/>
                    <w:autoSpaceDN w:val="0"/>
                    <w:adjustRightInd w:val="0"/>
                    <w:snapToGrid w:val="0"/>
                    <w:jc w:val="center"/>
                    <w:rPr>
                      <w:color w:val="auto"/>
                      <w:szCs w:val="21"/>
                    </w:rPr>
                  </w:pPr>
                  <w:r>
                    <w:rPr>
                      <w:color w:val="auto"/>
                      <w:szCs w:val="21"/>
                    </w:rPr>
                    <w:t>项目</w:t>
                  </w:r>
                </w:p>
              </w:tc>
              <w:tc>
                <w:tcPr>
                  <w:tcW w:w="1094" w:type="pct"/>
                  <w:vAlign w:val="center"/>
                </w:tcPr>
                <w:p>
                  <w:pPr>
                    <w:autoSpaceDE w:val="0"/>
                    <w:autoSpaceDN w:val="0"/>
                    <w:adjustRightInd w:val="0"/>
                    <w:snapToGrid w:val="0"/>
                    <w:jc w:val="center"/>
                    <w:rPr>
                      <w:color w:val="auto"/>
                      <w:szCs w:val="21"/>
                    </w:rPr>
                  </w:pPr>
                  <w:r>
                    <w:rPr>
                      <w:color w:val="auto"/>
                      <w:szCs w:val="21"/>
                    </w:rPr>
                    <w:t>特别排放限值</w:t>
                  </w:r>
                </w:p>
              </w:tc>
              <w:tc>
                <w:tcPr>
                  <w:tcW w:w="1860" w:type="pct"/>
                  <w:vAlign w:val="center"/>
                </w:tcPr>
                <w:p>
                  <w:pPr>
                    <w:autoSpaceDE w:val="0"/>
                    <w:autoSpaceDN w:val="0"/>
                    <w:adjustRightInd w:val="0"/>
                    <w:snapToGrid w:val="0"/>
                    <w:jc w:val="center"/>
                    <w:rPr>
                      <w:color w:val="auto"/>
                      <w:szCs w:val="21"/>
                    </w:rPr>
                  </w:pPr>
                  <w:r>
                    <w:rPr>
                      <w:color w:val="auto"/>
                      <w:szCs w:val="21"/>
                    </w:rPr>
                    <w:t>限值含义</w:t>
                  </w:r>
                </w:p>
              </w:tc>
              <w:tc>
                <w:tcPr>
                  <w:tcW w:w="1434" w:type="pct"/>
                  <w:vAlign w:val="center"/>
                </w:tcPr>
                <w:p>
                  <w:pPr>
                    <w:autoSpaceDE w:val="0"/>
                    <w:autoSpaceDN w:val="0"/>
                    <w:adjustRightInd w:val="0"/>
                    <w:snapToGrid w:val="0"/>
                    <w:jc w:val="center"/>
                    <w:rPr>
                      <w:color w:val="auto"/>
                      <w:szCs w:val="21"/>
                    </w:rPr>
                  </w:pPr>
                  <w:r>
                    <w:rPr>
                      <w:color w:val="auto"/>
                      <w:szCs w:val="21"/>
                    </w:rPr>
                    <w:t>无组织排放监控位置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610" w:type="pct"/>
                  <w:vMerge w:val="restart"/>
                  <w:vAlign w:val="center"/>
                </w:tcPr>
                <w:p>
                  <w:pPr>
                    <w:autoSpaceDE w:val="0"/>
                    <w:autoSpaceDN w:val="0"/>
                    <w:adjustRightInd w:val="0"/>
                    <w:snapToGrid w:val="0"/>
                    <w:jc w:val="center"/>
                    <w:rPr>
                      <w:color w:val="auto"/>
                      <w:szCs w:val="21"/>
                    </w:rPr>
                  </w:pPr>
                  <w:r>
                    <w:rPr>
                      <w:color w:val="auto"/>
                      <w:szCs w:val="21"/>
                    </w:rPr>
                    <w:t>NMHC</w:t>
                  </w:r>
                </w:p>
              </w:tc>
              <w:tc>
                <w:tcPr>
                  <w:tcW w:w="1094" w:type="pct"/>
                  <w:vAlign w:val="center"/>
                </w:tcPr>
                <w:p>
                  <w:pPr>
                    <w:autoSpaceDE w:val="0"/>
                    <w:autoSpaceDN w:val="0"/>
                    <w:adjustRightInd w:val="0"/>
                    <w:snapToGrid w:val="0"/>
                    <w:jc w:val="center"/>
                    <w:rPr>
                      <w:color w:val="auto"/>
                      <w:szCs w:val="21"/>
                    </w:rPr>
                  </w:pPr>
                  <w:r>
                    <w:rPr>
                      <w:color w:val="auto"/>
                      <w:szCs w:val="21"/>
                    </w:rPr>
                    <w:t>6</w:t>
                  </w:r>
                </w:p>
              </w:tc>
              <w:tc>
                <w:tcPr>
                  <w:tcW w:w="1860" w:type="pct"/>
                  <w:vAlign w:val="center"/>
                </w:tcPr>
                <w:p>
                  <w:pPr>
                    <w:autoSpaceDE w:val="0"/>
                    <w:autoSpaceDN w:val="0"/>
                    <w:adjustRightInd w:val="0"/>
                    <w:snapToGrid w:val="0"/>
                    <w:jc w:val="center"/>
                    <w:rPr>
                      <w:color w:val="auto"/>
                      <w:szCs w:val="21"/>
                    </w:rPr>
                  </w:pPr>
                  <w:r>
                    <w:rPr>
                      <w:color w:val="auto"/>
                      <w:szCs w:val="21"/>
                    </w:rPr>
                    <w:t>监控点处1h平均浓度值</w:t>
                  </w:r>
                </w:p>
              </w:tc>
              <w:tc>
                <w:tcPr>
                  <w:tcW w:w="1434" w:type="pct"/>
                  <w:vMerge w:val="restart"/>
                  <w:vAlign w:val="center"/>
                </w:tcPr>
                <w:p>
                  <w:pPr>
                    <w:autoSpaceDE w:val="0"/>
                    <w:autoSpaceDN w:val="0"/>
                    <w:adjustRightInd w:val="0"/>
                    <w:snapToGrid w:val="0"/>
                    <w:jc w:val="center"/>
                    <w:rPr>
                      <w:color w:val="auto"/>
                      <w:szCs w:val="21"/>
                    </w:rPr>
                  </w:pPr>
                  <w:r>
                    <w:rPr>
                      <w:color w:val="auto"/>
                      <w:szCs w:val="21"/>
                    </w:rPr>
                    <w:t>在厂房外设置监控点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10" w:type="pct"/>
                  <w:vMerge w:val="continue"/>
                  <w:vAlign w:val="center"/>
                </w:tcPr>
                <w:p>
                  <w:pPr>
                    <w:autoSpaceDE w:val="0"/>
                    <w:autoSpaceDN w:val="0"/>
                    <w:adjustRightInd w:val="0"/>
                    <w:snapToGrid w:val="0"/>
                    <w:jc w:val="center"/>
                    <w:rPr>
                      <w:color w:val="auto"/>
                      <w:szCs w:val="21"/>
                    </w:rPr>
                  </w:pPr>
                </w:p>
              </w:tc>
              <w:tc>
                <w:tcPr>
                  <w:tcW w:w="1094" w:type="pct"/>
                  <w:vAlign w:val="center"/>
                </w:tcPr>
                <w:p>
                  <w:pPr>
                    <w:autoSpaceDE w:val="0"/>
                    <w:autoSpaceDN w:val="0"/>
                    <w:adjustRightInd w:val="0"/>
                    <w:snapToGrid w:val="0"/>
                    <w:jc w:val="center"/>
                    <w:rPr>
                      <w:color w:val="auto"/>
                      <w:szCs w:val="21"/>
                    </w:rPr>
                  </w:pPr>
                  <w:r>
                    <w:rPr>
                      <w:color w:val="auto"/>
                      <w:szCs w:val="21"/>
                    </w:rPr>
                    <w:t>20</w:t>
                  </w:r>
                </w:p>
              </w:tc>
              <w:tc>
                <w:tcPr>
                  <w:tcW w:w="1860" w:type="pct"/>
                  <w:vAlign w:val="center"/>
                </w:tcPr>
                <w:p>
                  <w:pPr>
                    <w:autoSpaceDE w:val="0"/>
                    <w:autoSpaceDN w:val="0"/>
                    <w:adjustRightInd w:val="0"/>
                    <w:snapToGrid w:val="0"/>
                    <w:jc w:val="center"/>
                    <w:rPr>
                      <w:color w:val="auto"/>
                      <w:szCs w:val="21"/>
                    </w:rPr>
                  </w:pPr>
                  <w:r>
                    <w:rPr>
                      <w:color w:val="auto"/>
                      <w:szCs w:val="21"/>
                    </w:rPr>
                    <w:t>监控点处任意一次浓度值</w:t>
                  </w:r>
                </w:p>
              </w:tc>
              <w:tc>
                <w:tcPr>
                  <w:tcW w:w="1434" w:type="pct"/>
                  <w:vMerge w:val="continue"/>
                  <w:vAlign w:val="center"/>
                </w:tcPr>
                <w:p>
                  <w:pPr>
                    <w:autoSpaceDE w:val="0"/>
                    <w:autoSpaceDN w:val="0"/>
                    <w:adjustRightInd w:val="0"/>
                    <w:snapToGrid w:val="0"/>
                    <w:jc w:val="left"/>
                    <w:rPr>
                      <w:color w:val="auto"/>
                      <w:szCs w:val="21"/>
                    </w:rPr>
                  </w:pPr>
                </w:p>
              </w:tc>
            </w:tr>
          </w:tbl>
          <w:p>
            <w:pPr>
              <w:autoSpaceDE w:val="0"/>
              <w:autoSpaceDN w:val="0"/>
              <w:adjustRightInd w:val="0"/>
              <w:snapToGrid w:val="0"/>
              <w:spacing w:line="360" w:lineRule="auto"/>
              <w:ind w:firstLine="420" w:firstLineChars="200"/>
              <w:jc w:val="left"/>
              <w:rPr>
                <w:color w:val="auto"/>
                <w:szCs w:val="21"/>
              </w:rPr>
            </w:pPr>
            <w:r>
              <w:rPr>
                <w:color w:val="auto"/>
                <w:szCs w:val="21"/>
              </w:rPr>
              <w:t>表</w:t>
            </w:r>
            <w:r>
              <w:rPr>
                <w:rFonts w:hint="eastAsia"/>
                <w:color w:val="auto"/>
                <w:kern w:val="0"/>
                <w:szCs w:val="21"/>
              </w:rPr>
              <w:t>3.6</w:t>
            </w:r>
            <w:r>
              <w:rPr>
                <w:color w:val="auto"/>
                <w:kern w:val="0"/>
                <w:szCs w:val="21"/>
              </w:rPr>
              <w:t xml:space="preserve"> 《餐饮业大气污染物排放</w:t>
            </w:r>
            <w:r>
              <w:rPr>
                <w:color w:val="auto"/>
                <w:szCs w:val="21"/>
              </w:rPr>
              <w:t>标准》（DB50/859-2018） 单位：</w:t>
            </w:r>
            <w:r>
              <w:rPr>
                <w:color w:val="auto"/>
                <w:kern w:val="0"/>
                <w:szCs w:val="21"/>
              </w:rPr>
              <w:t>mg/m</w:t>
            </w:r>
            <w:r>
              <w:rPr>
                <w:color w:val="auto"/>
                <w:kern w:val="0"/>
                <w:szCs w:val="21"/>
                <w:vertAlign w:val="superscript"/>
              </w:rPr>
              <w:t>3</w:t>
            </w:r>
          </w:p>
          <w:tbl>
            <w:tblPr>
              <w:tblStyle w:val="22"/>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974"/>
              <w:gridCol w:w="400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4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jc w:val="center"/>
                    <w:rPr>
                      <w:color w:val="auto"/>
                      <w:kern w:val="0"/>
                      <w:szCs w:val="21"/>
                    </w:rPr>
                  </w:pPr>
                  <w:r>
                    <w:rPr>
                      <w:color w:val="auto"/>
                      <w:kern w:val="0"/>
                      <w:szCs w:val="21"/>
                    </w:rPr>
                    <w:t>污染物</w:t>
                  </w:r>
                </w:p>
              </w:tc>
              <w:tc>
                <w:tcPr>
                  <w:tcW w:w="4642" w:type="dxa"/>
                  <w:tcBorders>
                    <w:top w:val="single" w:color="auto" w:sz="4" w:space="0"/>
                    <w:left w:val="single" w:color="auto" w:sz="4" w:space="0"/>
                    <w:bottom w:val="single" w:color="auto" w:sz="4" w:space="0"/>
                    <w:right w:val="nil"/>
                  </w:tcBorders>
                  <w:vAlign w:val="center"/>
                </w:tcPr>
                <w:p>
                  <w:pPr>
                    <w:autoSpaceDE w:val="0"/>
                    <w:autoSpaceDN w:val="0"/>
                    <w:adjustRightInd w:val="0"/>
                    <w:snapToGrid w:val="0"/>
                    <w:jc w:val="center"/>
                    <w:rPr>
                      <w:color w:val="auto"/>
                      <w:kern w:val="0"/>
                      <w:szCs w:val="21"/>
                    </w:rPr>
                  </w:pPr>
                  <w:r>
                    <w:rPr>
                      <w:color w:val="auto"/>
                      <w:kern w:val="0"/>
                      <w:szCs w:val="21"/>
                    </w:rPr>
                    <w:t>最高允许排放浓度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4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jc w:val="center"/>
                    <w:rPr>
                      <w:color w:val="auto"/>
                      <w:kern w:val="0"/>
                      <w:szCs w:val="21"/>
                    </w:rPr>
                  </w:pPr>
                  <w:r>
                    <w:rPr>
                      <w:color w:val="auto"/>
                      <w:kern w:val="0"/>
                      <w:szCs w:val="21"/>
                    </w:rPr>
                    <w:t>油烟</w:t>
                  </w:r>
                </w:p>
              </w:tc>
              <w:tc>
                <w:tcPr>
                  <w:tcW w:w="4642" w:type="dxa"/>
                  <w:tcBorders>
                    <w:top w:val="single" w:color="auto" w:sz="4" w:space="0"/>
                    <w:left w:val="single" w:color="auto" w:sz="4" w:space="0"/>
                    <w:bottom w:val="single" w:color="auto" w:sz="4" w:space="0"/>
                    <w:right w:val="nil"/>
                  </w:tcBorders>
                  <w:vAlign w:val="center"/>
                </w:tcPr>
                <w:p>
                  <w:pPr>
                    <w:autoSpaceDE w:val="0"/>
                    <w:autoSpaceDN w:val="0"/>
                    <w:adjustRightInd w:val="0"/>
                    <w:snapToGrid w:val="0"/>
                    <w:jc w:val="center"/>
                    <w:rPr>
                      <w:color w:val="auto"/>
                      <w:kern w:val="0"/>
                      <w:szCs w:val="21"/>
                    </w:rPr>
                  </w:pPr>
                  <w:r>
                    <w:rPr>
                      <w:color w:val="auto"/>
                      <w:kern w:val="0"/>
                      <w:szCs w:val="21"/>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64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jc w:val="center"/>
                    <w:rPr>
                      <w:color w:val="auto"/>
                      <w:kern w:val="0"/>
                      <w:szCs w:val="21"/>
                    </w:rPr>
                  </w:pPr>
                  <w:r>
                    <w:rPr>
                      <w:color w:val="auto"/>
                      <w:kern w:val="0"/>
                      <w:szCs w:val="21"/>
                    </w:rPr>
                    <w:t>非甲烷总烃</w:t>
                  </w:r>
                </w:p>
              </w:tc>
              <w:tc>
                <w:tcPr>
                  <w:tcW w:w="4642" w:type="dxa"/>
                  <w:tcBorders>
                    <w:top w:val="single" w:color="auto" w:sz="4" w:space="0"/>
                    <w:left w:val="single" w:color="auto" w:sz="4" w:space="0"/>
                    <w:bottom w:val="single" w:color="auto" w:sz="4" w:space="0"/>
                    <w:right w:val="nil"/>
                  </w:tcBorders>
                  <w:vAlign w:val="center"/>
                </w:tcPr>
                <w:p>
                  <w:pPr>
                    <w:autoSpaceDE w:val="0"/>
                    <w:autoSpaceDN w:val="0"/>
                    <w:adjustRightInd w:val="0"/>
                    <w:snapToGrid w:val="0"/>
                    <w:jc w:val="center"/>
                    <w:rPr>
                      <w:color w:val="auto"/>
                      <w:kern w:val="0"/>
                      <w:szCs w:val="21"/>
                    </w:rPr>
                  </w:pPr>
                  <w:r>
                    <w:rPr>
                      <w:color w:val="auto"/>
                      <w:kern w:val="0"/>
                      <w:szCs w:val="21"/>
                    </w:rPr>
                    <w:t>10.0</w:t>
                  </w:r>
                </w:p>
              </w:tc>
            </w:tr>
          </w:tbl>
          <w:p>
            <w:pPr>
              <w:pStyle w:val="2"/>
              <w:rPr>
                <w:rFonts w:ascii="Times New Roman" w:cs="Times New Roman"/>
                <w:b/>
                <w:bCs/>
                <w:color w:val="auto"/>
              </w:rPr>
            </w:pPr>
            <w:r>
              <w:rPr>
                <w:rFonts w:ascii="Times New Roman" w:cs="Times New Roman"/>
                <w:b/>
                <w:bCs/>
                <w:color w:val="auto"/>
              </w:rPr>
              <w:t>废水排放标准</w:t>
            </w:r>
          </w:p>
          <w:p>
            <w:pPr>
              <w:spacing w:line="360" w:lineRule="auto"/>
              <w:ind w:firstLine="480" w:firstLineChars="200"/>
              <w:rPr>
                <w:color w:val="auto"/>
                <w:sz w:val="21"/>
                <w:szCs w:val="21"/>
              </w:rPr>
            </w:pPr>
            <w:r>
              <w:rPr>
                <w:rFonts w:hint="eastAsia"/>
                <w:color w:val="auto"/>
                <w:sz w:val="24"/>
              </w:rPr>
              <w:t>废水经自建</w:t>
            </w:r>
            <w:r>
              <w:rPr>
                <w:color w:val="auto"/>
                <w:sz w:val="24"/>
              </w:rPr>
              <w:t>污水处理设施</w:t>
            </w:r>
            <w:r>
              <w:rPr>
                <w:rFonts w:hint="eastAsia"/>
                <w:color w:val="auto"/>
                <w:sz w:val="24"/>
              </w:rPr>
              <w:t>处理</w:t>
            </w:r>
            <w:r>
              <w:rPr>
                <w:color w:val="auto"/>
                <w:sz w:val="24"/>
              </w:rPr>
              <w:t>达《污水综合排放标准》（GB8978-1996）三级排放标准排入市政污水管网</w:t>
            </w:r>
            <w:r>
              <w:rPr>
                <w:rFonts w:hint="eastAsia"/>
                <w:color w:val="auto"/>
                <w:sz w:val="24"/>
              </w:rPr>
              <w:t>，再</w:t>
            </w:r>
            <w:r>
              <w:rPr>
                <w:color w:val="auto"/>
                <w:sz w:val="24"/>
              </w:rPr>
              <w:t>经</w:t>
            </w:r>
            <w:r>
              <w:rPr>
                <w:rFonts w:hint="eastAsia"/>
                <w:color w:val="auto"/>
                <w:sz w:val="24"/>
              </w:rPr>
              <w:t>东城</w:t>
            </w:r>
            <w:r>
              <w:rPr>
                <w:color w:val="auto"/>
                <w:sz w:val="24"/>
              </w:rPr>
              <w:t>污水处理厂深度处理达《城镇污水处理厂污染物排放标准》（GB18918—2002）一级</w:t>
            </w:r>
            <w:r>
              <w:rPr>
                <w:rFonts w:hint="eastAsia"/>
                <w:color w:val="auto"/>
                <w:sz w:val="24"/>
              </w:rPr>
              <w:t>B</w:t>
            </w:r>
            <w:r>
              <w:rPr>
                <w:color w:val="auto"/>
                <w:sz w:val="24"/>
              </w:rPr>
              <w:t>标准后排入</w:t>
            </w:r>
            <w:r>
              <w:rPr>
                <w:rFonts w:hint="eastAsia"/>
                <w:color w:val="auto"/>
                <w:sz w:val="24"/>
              </w:rPr>
              <w:t>淮远河</w:t>
            </w:r>
            <w:r>
              <w:rPr>
                <w:color w:val="auto"/>
                <w:sz w:val="24"/>
              </w:rPr>
              <w:t>，详见表3.</w:t>
            </w:r>
            <w:r>
              <w:rPr>
                <w:rFonts w:hint="eastAsia"/>
                <w:color w:val="auto"/>
                <w:sz w:val="24"/>
              </w:rPr>
              <w:t>7</w:t>
            </w:r>
            <w:r>
              <w:rPr>
                <w:color w:val="auto"/>
                <w:sz w:val="24"/>
              </w:rPr>
              <w:t>、表3.</w:t>
            </w:r>
            <w:r>
              <w:rPr>
                <w:rFonts w:hint="eastAsia"/>
                <w:color w:val="auto"/>
                <w:sz w:val="24"/>
              </w:rPr>
              <w:t>8</w:t>
            </w:r>
            <w:r>
              <w:rPr>
                <w:color w:val="auto"/>
                <w:sz w:val="24"/>
              </w:rPr>
              <w:t>。</w:t>
            </w:r>
          </w:p>
          <w:p>
            <w:pPr>
              <w:spacing w:line="360" w:lineRule="auto"/>
              <w:jc w:val="center"/>
              <w:rPr>
                <w:bCs/>
                <w:color w:val="auto"/>
                <w:sz w:val="21"/>
                <w:szCs w:val="21"/>
                <w:highlight w:val="none"/>
              </w:rPr>
            </w:pPr>
            <w:r>
              <w:rPr>
                <w:color w:val="auto"/>
                <w:sz w:val="21"/>
                <w:szCs w:val="21"/>
                <w:highlight w:val="none"/>
              </w:rPr>
              <w:t>表3.</w:t>
            </w:r>
            <w:r>
              <w:rPr>
                <w:rFonts w:hint="eastAsia"/>
                <w:color w:val="auto"/>
                <w:sz w:val="21"/>
                <w:szCs w:val="21"/>
                <w:highlight w:val="none"/>
              </w:rPr>
              <w:t>7</w:t>
            </w:r>
            <w:r>
              <w:rPr>
                <w:color w:val="auto"/>
                <w:sz w:val="21"/>
                <w:szCs w:val="21"/>
                <w:highlight w:val="none"/>
              </w:rPr>
              <w:t xml:space="preserve"> 《污水综合排放标准》（GB8978-1996） 单位：</w:t>
            </w:r>
            <w:r>
              <w:rPr>
                <w:bCs/>
                <w:color w:val="auto"/>
                <w:sz w:val="21"/>
                <w:szCs w:val="21"/>
                <w:highlight w:val="none"/>
              </w:rPr>
              <w:t>mg/L</w:t>
            </w:r>
          </w:p>
          <w:tbl>
            <w:tblPr>
              <w:tblStyle w:val="22"/>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855"/>
              <w:gridCol w:w="944"/>
              <w:gridCol w:w="687"/>
              <w:gridCol w:w="823"/>
              <w:gridCol w:w="1372"/>
              <w:gridCol w:w="137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02" w:type="pct"/>
                  <w:tcBorders>
                    <w:top w:val="single" w:color="auto" w:sz="4" w:space="0"/>
                    <w:left w:val="nil"/>
                    <w:bottom w:val="single" w:color="auto" w:sz="4" w:space="0"/>
                    <w:right w:val="single" w:color="auto" w:sz="4" w:space="0"/>
                  </w:tcBorders>
                  <w:vAlign w:val="center"/>
                </w:tcPr>
                <w:p>
                  <w:pPr>
                    <w:snapToGrid w:val="0"/>
                    <w:jc w:val="center"/>
                    <w:rPr>
                      <w:color w:val="auto"/>
                      <w:szCs w:val="21"/>
                    </w:rPr>
                  </w:pPr>
                  <w:r>
                    <w:rPr>
                      <w:color w:val="auto"/>
                      <w:szCs w:val="21"/>
                    </w:rPr>
                    <w:t>污染物</w:t>
                  </w:r>
                </w:p>
              </w:tc>
              <w:tc>
                <w:tcPr>
                  <w:tcW w:w="536"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rPr>
                  </w:pPr>
                  <w:r>
                    <w:rPr>
                      <w:color w:val="auto"/>
                      <w:szCs w:val="21"/>
                    </w:rPr>
                    <w:t>COD</w:t>
                  </w:r>
                </w:p>
              </w:tc>
              <w:tc>
                <w:tcPr>
                  <w:tcW w:w="592"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rPr>
                  </w:pPr>
                  <w:r>
                    <w:rPr>
                      <w:color w:val="auto"/>
                      <w:szCs w:val="21"/>
                    </w:rPr>
                    <w:t>BOD</w:t>
                  </w:r>
                  <w:r>
                    <w:rPr>
                      <w:color w:val="auto"/>
                      <w:szCs w:val="21"/>
                      <w:vertAlign w:val="subscript"/>
                    </w:rPr>
                    <w:t>5</w:t>
                  </w:r>
                </w:p>
              </w:tc>
              <w:tc>
                <w:tcPr>
                  <w:tcW w:w="431"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rPr>
                  </w:pPr>
                  <w:r>
                    <w:rPr>
                      <w:color w:val="auto"/>
                      <w:szCs w:val="21"/>
                    </w:rPr>
                    <w:t>SS</w:t>
                  </w:r>
                </w:p>
              </w:tc>
              <w:tc>
                <w:tcPr>
                  <w:tcW w:w="516"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rPr>
                  </w:pPr>
                  <w:r>
                    <w:rPr>
                      <w:color w:val="auto"/>
                      <w:szCs w:val="21"/>
                    </w:rPr>
                    <w:t>氨氮</w:t>
                  </w:r>
                </w:p>
              </w:tc>
              <w:tc>
                <w:tcPr>
                  <w:tcW w:w="860" w:type="pct"/>
                  <w:tcBorders>
                    <w:top w:val="single" w:color="auto" w:sz="4" w:space="0"/>
                    <w:left w:val="single" w:color="auto" w:sz="4" w:space="0"/>
                    <w:bottom w:val="single" w:color="auto" w:sz="4" w:space="0"/>
                    <w:right w:val="nil"/>
                  </w:tcBorders>
                  <w:vAlign w:val="center"/>
                </w:tcPr>
                <w:p>
                  <w:pPr>
                    <w:snapToGrid w:val="0"/>
                    <w:jc w:val="center"/>
                    <w:rPr>
                      <w:rFonts w:hint="eastAsia" w:eastAsia="宋体"/>
                      <w:color w:val="auto"/>
                      <w:szCs w:val="21"/>
                      <w:lang w:eastAsia="zh-CN"/>
                    </w:rPr>
                  </w:pPr>
                  <w:r>
                    <w:rPr>
                      <w:rFonts w:hint="eastAsia"/>
                      <w:color w:val="auto"/>
                      <w:szCs w:val="21"/>
                      <w:lang w:eastAsia="zh-CN"/>
                    </w:rPr>
                    <w:t>石油类</w:t>
                  </w:r>
                </w:p>
              </w:tc>
              <w:tc>
                <w:tcPr>
                  <w:tcW w:w="860" w:type="pct"/>
                  <w:tcBorders>
                    <w:top w:val="single" w:color="auto" w:sz="4" w:space="0"/>
                    <w:left w:val="single" w:color="auto" w:sz="4" w:space="0"/>
                    <w:bottom w:val="single" w:color="auto" w:sz="4" w:space="0"/>
                    <w:right w:val="nil"/>
                  </w:tcBorders>
                  <w:vAlign w:val="center"/>
                </w:tcPr>
                <w:p>
                  <w:pPr>
                    <w:snapToGrid w:val="0"/>
                    <w:jc w:val="center"/>
                    <w:rPr>
                      <w:color w:val="auto"/>
                      <w:szCs w:val="21"/>
                    </w:rPr>
                  </w:pPr>
                  <w:r>
                    <w:rPr>
                      <w:rFonts w:hint="eastAsia"/>
                      <w:color w:val="auto"/>
                      <w:szCs w:val="21"/>
                    </w:rPr>
                    <w:t>动植物油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202" w:type="pct"/>
                  <w:tcBorders>
                    <w:top w:val="single" w:color="auto" w:sz="4" w:space="0"/>
                    <w:left w:val="nil"/>
                    <w:bottom w:val="single" w:color="auto" w:sz="4" w:space="0"/>
                    <w:right w:val="single" w:color="auto" w:sz="4" w:space="0"/>
                  </w:tcBorders>
                  <w:vAlign w:val="center"/>
                </w:tcPr>
                <w:p>
                  <w:pPr>
                    <w:snapToGrid w:val="0"/>
                    <w:jc w:val="center"/>
                    <w:rPr>
                      <w:color w:val="auto"/>
                      <w:szCs w:val="21"/>
                    </w:rPr>
                  </w:pPr>
                  <w:r>
                    <w:rPr>
                      <w:color w:val="auto"/>
                      <w:szCs w:val="21"/>
                    </w:rPr>
                    <w:t>三级</w:t>
                  </w:r>
                  <w:r>
                    <w:rPr>
                      <w:rFonts w:hint="eastAsia"/>
                      <w:color w:val="auto"/>
                      <w:szCs w:val="21"/>
                    </w:rPr>
                    <w:t>排放</w:t>
                  </w:r>
                  <w:r>
                    <w:rPr>
                      <w:color w:val="auto"/>
                      <w:szCs w:val="21"/>
                    </w:rPr>
                    <w:t>标准</w:t>
                  </w:r>
                </w:p>
              </w:tc>
              <w:tc>
                <w:tcPr>
                  <w:tcW w:w="536"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rPr>
                  </w:pPr>
                  <w:r>
                    <w:rPr>
                      <w:color w:val="auto"/>
                      <w:szCs w:val="21"/>
                    </w:rPr>
                    <w:t>500</w:t>
                  </w:r>
                </w:p>
              </w:tc>
              <w:tc>
                <w:tcPr>
                  <w:tcW w:w="592" w:type="pct"/>
                  <w:tcBorders>
                    <w:top w:val="single" w:color="auto" w:sz="4" w:space="0"/>
                    <w:left w:val="single" w:color="auto" w:sz="4" w:space="0"/>
                    <w:bottom w:val="single" w:color="auto" w:sz="4" w:space="0"/>
                    <w:right w:val="single" w:color="auto" w:sz="4" w:space="0"/>
                  </w:tcBorders>
                </w:tcPr>
                <w:p>
                  <w:pPr>
                    <w:snapToGrid w:val="0"/>
                    <w:jc w:val="center"/>
                    <w:rPr>
                      <w:color w:val="auto"/>
                      <w:szCs w:val="21"/>
                    </w:rPr>
                  </w:pPr>
                  <w:r>
                    <w:rPr>
                      <w:color w:val="auto"/>
                      <w:szCs w:val="21"/>
                    </w:rPr>
                    <w:t>300</w:t>
                  </w:r>
                </w:p>
              </w:tc>
              <w:tc>
                <w:tcPr>
                  <w:tcW w:w="431" w:type="pct"/>
                  <w:tcBorders>
                    <w:top w:val="single" w:color="auto" w:sz="4" w:space="0"/>
                    <w:left w:val="single" w:color="auto" w:sz="4" w:space="0"/>
                    <w:bottom w:val="single" w:color="auto" w:sz="4" w:space="0"/>
                    <w:right w:val="single" w:color="auto" w:sz="4" w:space="0"/>
                  </w:tcBorders>
                  <w:vAlign w:val="center"/>
                </w:tcPr>
                <w:p>
                  <w:pPr>
                    <w:snapToGrid w:val="0"/>
                    <w:jc w:val="center"/>
                    <w:rPr>
                      <w:color w:val="auto"/>
                      <w:szCs w:val="21"/>
                    </w:rPr>
                  </w:pPr>
                  <w:r>
                    <w:rPr>
                      <w:color w:val="auto"/>
                      <w:szCs w:val="21"/>
                    </w:rPr>
                    <w:t>400</w:t>
                  </w:r>
                </w:p>
              </w:tc>
              <w:tc>
                <w:tcPr>
                  <w:tcW w:w="516" w:type="pct"/>
                  <w:tcBorders>
                    <w:top w:val="single" w:color="auto" w:sz="4" w:space="0"/>
                    <w:left w:val="single" w:color="auto" w:sz="4" w:space="0"/>
                    <w:bottom w:val="single" w:color="auto" w:sz="4" w:space="0"/>
                    <w:right w:val="single" w:color="auto" w:sz="4" w:space="0"/>
                  </w:tcBorders>
                </w:tcPr>
                <w:p>
                  <w:pPr>
                    <w:snapToGrid w:val="0"/>
                    <w:jc w:val="center"/>
                    <w:rPr>
                      <w:color w:val="auto"/>
                      <w:szCs w:val="21"/>
                    </w:rPr>
                  </w:pPr>
                  <w:r>
                    <w:rPr>
                      <w:color w:val="auto"/>
                      <w:szCs w:val="21"/>
                    </w:rPr>
                    <w:t>45*</w:t>
                  </w:r>
                </w:p>
              </w:tc>
              <w:tc>
                <w:tcPr>
                  <w:tcW w:w="860" w:type="pct"/>
                  <w:tcBorders>
                    <w:top w:val="single" w:color="auto" w:sz="4" w:space="0"/>
                    <w:left w:val="single" w:color="auto" w:sz="4" w:space="0"/>
                    <w:bottom w:val="single" w:color="auto" w:sz="4" w:space="0"/>
                    <w:right w:val="nil"/>
                  </w:tcBorders>
                </w:tcPr>
                <w:p>
                  <w:pPr>
                    <w:snapToGrid w:val="0"/>
                    <w:jc w:val="center"/>
                    <w:rPr>
                      <w:rFonts w:hint="default" w:eastAsia="宋体"/>
                      <w:color w:val="auto"/>
                      <w:szCs w:val="21"/>
                      <w:lang w:val="en-US" w:eastAsia="zh-CN"/>
                    </w:rPr>
                  </w:pPr>
                  <w:r>
                    <w:rPr>
                      <w:rFonts w:hint="eastAsia"/>
                      <w:color w:val="auto"/>
                      <w:szCs w:val="21"/>
                      <w:lang w:val="en-US" w:eastAsia="zh-CN"/>
                    </w:rPr>
                    <w:t>20</w:t>
                  </w:r>
                </w:p>
              </w:tc>
              <w:tc>
                <w:tcPr>
                  <w:tcW w:w="860" w:type="pct"/>
                  <w:tcBorders>
                    <w:top w:val="single" w:color="auto" w:sz="4" w:space="0"/>
                    <w:left w:val="single" w:color="auto" w:sz="4" w:space="0"/>
                    <w:bottom w:val="single" w:color="auto" w:sz="4" w:space="0"/>
                    <w:right w:val="nil"/>
                  </w:tcBorders>
                </w:tcPr>
                <w:p>
                  <w:pPr>
                    <w:snapToGrid w:val="0"/>
                    <w:jc w:val="center"/>
                    <w:rPr>
                      <w:color w:val="auto"/>
                      <w:szCs w:val="21"/>
                    </w:rPr>
                  </w:pPr>
                  <w:r>
                    <w:rPr>
                      <w:rFonts w:hint="eastAsia"/>
                      <w:color w:val="auto"/>
                      <w:szCs w:val="21"/>
                    </w:rPr>
                    <w:t>100</w:t>
                  </w:r>
                </w:p>
              </w:tc>
            </w:tr>
          </w:tbl>
          <w:p>
            <w:pPr>
              <w:spacing w:line="360" w:lineRule="auto"/>
              <w:jc w:val="center"/>
              <w:rPr>
                <w:bCs/>
                <w:snapToGrid w:val="0"/>
                <w:color w:val="auto"/>
                <w:kern w:val="0"/>
                <w:sz w:val="21"/>
                <w:szCs w:val="21"/>
              </w:rPr>
            </w:pPr>
          </w:p>
          <w:p>
            <w:pPr>
              <w:spacing w:line="360" w:lineRule="auto"/>
              <w:jc w:val="center"/>
              <w:rPr>
                <w:color w:val="auto"/>
                <w:sz w:val="21"/>
                <w:szCs w:val="21"/>
              </w:rPr>
            </w:pPr>
            <w:r>
              <w:rPr>
                <w:bCs/>
                <w:snapToGrid w:val="0"/>
                <w:color w:val="auto"/>
                <w:kern w:val="0"/>
                <w:sz w:val="21"/>
                <w:szCs w:val="21"/>
              </w:rPr>
              <w:t>表</w:t>
            </w:r>
            <w:r>
              <w:rPr>
                <w:rFonts w:hint="eastAsia"/>
                <w:bCs/>
                <w:snapToGrid w:val="0"/>
                <w:color w:val="auto"/>
                <w:kern w:val="0"/>
                <w:sz w:val="21"/>
                <w:szCs w:val="21"/>
              </w:rPr>
              <w:t>3.8</w:t>
            </w:r>
            <w:r>
              <w:rPr>
                <w:bCs/>
                <w:snapToGrid w:val="0"/>
                <w:color w:val="auto"/>
                <w:kern w:val="0"/>
                <w:sz w:val="21"/>
                <w:szCs w:val="21"/>
              </w:rPr>
              <w:t xml:space="preserve"> 《城镇污水处理厂污染物排放标准》(GB18918-2002) 单位：mg/L</w:t>
            </w:r>
          </w:p>
          <w:tbl>
            <w:tblPr>
              <w:tblStyle w:val="22"/>
              <w:tblW w:w="4997" w:type="pct"/>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591"/>
              <w:gridCol w:w="962"/>
              <w:gridCol w:w="1061"/>
              <w:gridCol w:w="656"/>
              <w:gridCol w:w="927"/>
              <w:gridCol w:w="1233"/>
              <w:gridCol w:w="1539"/>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998" w:type="pct"/>
                  <w:tcBorders>
                    <w:top w:val="single" w:color="auto" w:sz="6" w:space="0"/>
                    <w:left w:val="nil"/>
                    <w:bottom w:val="single" w:color="auto" w:sz="6" w:space="0"/>
                    <w:right w:val="single" w:color="auto" w:sz="6" w:space="0"/>
                    <w:tl2br w:val="single" w:color="auto" w:sz="4" w:space="0"/>
                  </w:tcBorders>
                </w:tcPr>
                <w:p>
                  <w:pPr>
                    <w:snapToGrid w:val="0"/>
                    <w:spacing w:line="216" w:lineRule="auto"/>
                    <w:jc w:val="right"/>
                    <w:rPr>
                      <w:snapToGrid w:val="0"/>
                      <w:color w:val="auto"/>
                      <w:kern w:val="0"/>
                      <w:szCs w:val="21"/>
                    </w:rPr>
                  </w:pPr>
                  <w:r>
                    <w:rPr>
                      <w:rFonts w:hint="eastAsia"/>
                      <w:snapToGrid w:val="0"/>
                      <w:color w:val="auto"/>
                      <w:kern w:val="0"/>
                      <w:szCs w:val="21"/>
                    </w:rPr>
                    <w:t>污染物</w:t>
                  </w:r>
                </w:p>
                <w:p>
                  <w:pPr>
                    <w:snapToGrid w:val="0"/>
                    <w:spacing w:line="216" w:lineRule="auto"/>
                    <w:rPr>
                      <w:snapToGrid w:val="0"/>
                      <w:color w:val="auto"/>
                      <w:kern w:val="0"/>
                      <w:szCs w:val="21"/>
                    </w:rPr>
                  </w:pPr>
                  <w:r>
                    <w:rPr>
                      <w:rFonts w:hint="eastAsia"/>
                      <w:snapToGrid w:val="0"/>
                      <w:color w:val="auto"/>
                      <w:kern w:val="0"/>
                      <w:szCs w:val="21"/>
                    </w:rPr>
                    <w:t>标准</w:t>
                  </w:r>
                </w:p>
              </w:tc>
              <w:tc>
                <w:tcPr>
                  <w:tcW w:w="603" w:type="pct"/>
                  <w:tcBorders>
                    <w:top w:val="single" w:color="auto" w:sz="6" w:space="0"/>
                    <w:left w:val="single" w:color="auto" w:sz="6" w:space="0"/>
                    <w:bottom w:val="single" w:color="auto" w:sz="6" w:space="0"/>
                    <w:right w:val="single" w:color="auto" w:sz="6" w:space="0"/>
                  </w:tcBorders>
                  <w:vAlign w:val="center"/>
                </w:tcPr>
                <w:p>
                  <w:pPr>
                    <w:snapToGrid w:val="0"/>
                    <w:spacing w:line="216" w:lineRule="auto"/>
                    <w:jc w:val="center"/>
                    <w:rPr>
                      <w:snapToGrid w:val="0"/>
                      <w:color w:val="auto"/>
                      <w:kern w:val="0"/>
                      <w:szCs w:val="21"/>
                      <w:lang w:val="en-GB"/>
                    </w:rPr>
                  </w:pPr>
                  <w:r>
                    <w:rPr>
                      <w:snapToGrid w:val="0"/>
                      <w:color w:val="auto"/>
                      <w:kern w:val="0"/>
                      <w:szCs w:val="21"/>
                      <w:lang w:val="en-GB"/>
                    </w:rPr>
                    <w:t>COD</w:t>
                  </w:r>
                </w:p>
              </w:tc>
              <w:tc>
                <w:tcPr>
                  <w:tcW w:w="665" w:type="pct"/>
                  <w:tcBorders>
                    <w:top w:val="single" w:color="auto" w:sz="6" w:space="0"/>
                    <w:left w:val="single" w:color="auto" w:sz="6" w:space="0"/>
                    <w:bottom w:val="single" w:color="auto" w:sz="6" w:space="0"/>
                    <w:right w:val="single" w:color="auto" w:sz="6" w:space="0"/>
                  </w:tcBorders>
                  <w:vAlign w:val="center"/>
                </w:tcPr>
                <w:p>
                  <w:pPr>
                    <w:snapToGrid w:val="0"/>
                    <w:spacing w:line="216" w:lineRule="auto"/>
                    <w:jc w:val="center"/>
                    <w:rPr>
                      <w:snapToGrid w:val="0"/>
                      <w:color w:val="auto"/>
                      <w:kern w:val="0"/>
                      <w:szCs w:val="21"/>
                      <w:lang w:val="en-GB"/>
                    </w:rPr>
                  </w:pPr>
                  <w:r>
                    <w:rPr>
                      <w:snapToGrid w:val="0"/>
                      <w:color w:val="auto"/>
                      <w:kern w:val="0"/>
                      <w:szCs w:val="21"/>
                      <w:lang w:val="en-GB"/>
                    </w:rPr>
                    <w:t>BOD</w:t>
                  </w:r>
                  <w:r>
                    <w:rPr>
                      <w:snapToGrid w:val="0"/>
                      <w:color w:val="auto"/>
                      <w:kern w:val="0"/>
                      <w:szCs w:val="21"/>
                      <w:vertAlign w:val="subscript"/>
                      <w:lang w:val="en-GB"/>
                    </w:rPr>
                    <w:t>5</w:t>
                  </w:r>
                </w:p>
              </w:tc>
              <w:tc>
                <w:tcPr>
                  <w:tcW w:w="411" w:type="pct"/>
                  <w:tcBorders>
                    <w:top w:val="single" w:color="auto" w:sz="6" w:space="0"/>
                    <w:left w:val="single" w:color="auto" w:sz="6" w:space="0"/>
                    <w:bottom w:val="single" w:color="auto" w:sz="6" w:space="0"/>
                    <w:right w:val="single" w:color="auto" w:sz="6" w:space="0"/>
                  </w:tcBorders>
                  <w:vAlign w:val="center"/>
                </w:tcPr>
                <w:p>
                  <w:pPr>
                    <w:snapToGrid w:val="0"/>
                    <w:spacing w:line="216" w:lineRule="auto"/>
                    <w:jc w:val="center"/>
                    <w:rPr>
                      <w:snapToGrid w:val="0"/>
                      <w:color w:val="auto"/>
                      <w:kern w:val="0"/>
                      <w:szCs w:val="21"/>
                      <w:lang w:val="en-GB"/>
                    </w:rPr>
                  </w:pPr>
                  <w:r>
                    <w:rPr>
                      <w:snapToGrid w:val="0"/>
                      <w:color w:val="auto"/>
                      <w:kern w:val="0"/>
                      <w:szCs w:val="21"/>
                      <w:lang w:val="en-GB"/>
                    </w:rPr>
                    <w:t>SS</w:t>
                  </w:r>
                </w:p>
              </w:tc>
              <w:tc>
                <w:tcPr>
                  <w:tcW w:w="581" w:type="pct"/>
                  <w:tcBorders>
                    <w:top w:val="single" w:color="auto" w:sz="6" w:space="0"/>
                    <w:left w:val="single" w:color="auto" w:sz="6" w:space="0"/>
                    <w:bottom w:val="single" w:color="auto" w:sz="6" w:space="0"/>
                    <w:right w:val="single" w:color="auto" w:sz="6" w:space="0"/>
                  </w:tcBorders>
                  <w:vAlign w:val="center"/>
                </w:tcPr>
                <w:p>
                  <w:pPr>
                    <w:snapToGrid w:val="0"/>
                    <w:spacing w:line="216" w:lineRule="auto"/>
                    <w:jc w:val="center"/>
                    <w:rPr>
                      <w:snapToGrid w:val="0"/>
                      <w:color w:val="auto"/>
                      <w:kern w:val="0"/>
                      <w:szCs w:val="21"/>
                      <w:lang w:val="en-GB"/>
                    </w:rPr>
                  </w:pPr>
                  <w:r>
                    <w:rPr>
                      <w:rFonts w:hint="eastAsia"/>
                      <w:snapToGrid w:val="0"/>
                      <w:color w:val="auto"/>
                      <w:kern w:val="0"/>
                      <w:szCs w:val="21"/>
                      <w:lang w:val="en-GB"/>
                    </w:rPr>
                    <w:t>氨氮</w:t>
                  </w:r>
                </w:p>
              </w:tc>
              <w:tc>
                <w:tcPr>
                  <w:tcW w:w="773" w:type="pct"/>
                  <w:tcBorders>
                    <w:top w:val="single" w:color="auto" w:sz="6" w:space="0"/>
                    <w:left w:val="single" w:color="auto" w:sz="6" w:space="0"/>
                    <w:bottom w:val="single" w:color="auto" w:sz="6" w:space="0"/>
                    <w:right w:val="nil"/>
                  </w:tcBorders>
                  <w:vAlign w:val="center"/>
                </w:tcPr>
                <w:p>
                  <w:pPr>
                    <w:snapToGrid w:val="0"/>
                    <w:spacing w:line="216" w:lineRule="auto"/>
                    <w:jc w:val="center"/>
                    <w:rPr>
                      <w:rFonts w:hint="eastAsia" w:eastAsia="宋体"/>
                      <w:snapToGrid w:val="0"/>
                      <w:color w:val="auto"/>
                      <w:kern w:val="0"/>
                      <w:szCs w:val="21"/>
                      <w:lang w:val="en-GB" w:eastAsia="zh-CN"/>
                    </w:rPr>
                  </w:pPr>
                  <w:r>
                    <w:rPr>
                      <w:rFonts w:hint="eastAsia"/>
                      <w:snapToGrid w:val="0"/>
                      <w:color w:val="auto"/>
                      <w:kern w:val="0"/>
                      <w:szCs w:val="21"/>
                      <w:lang w:val="en-GB" w:eastAsia="zh-CN"/>
                    </w:rPr>
                    <w:t>石油类</w:t>
                  </w:r>
                </w:p>
              </w:tc>
              <w:tc>
                <w:tcPr>
                  <w:tcW w:w="965" w:type="pct"/>
                  <w:tcBorders>
                    <w:top w:val="single" w:color="auto" w:sz="6" w:space="0"/>
                    <w:left w:val="single" w:color="auto" w:sz="6" w:space="0"/>
                    <w:bottom w:val="single" w:color="auto" w:sz="6" w:space="0"/>
                    <w:right w:val="nil"/>
                  </w:tcBorders>
                  <w:vAlign w:val="center"/>
                </w:tcPr>
                <w:p>
                  <w:pPr>
                    <w:snapToGrid w:val="0"/>
                    <w:spacing w:line="216" w:lineRule="auto"/>
                    <w:jc w:val="center"/>
                    <w:rPr>
                      <w:color w:val="auto"/>
                      <w:szCs w:val="21"/>
                    </w:rPr>
                  </w:pPr>
                  <w:r>
                    <w:rPr>
                      <w:rFonts w:hint="eastAsia"/>
                      <w:color w:val="auto"/>
                      <w:szCs w:val="21"/>
                    </w:rPr>
                    <w:t>动植物油</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998" w:type="pct"/>
                  <w:tcBorders>
                    <w:top w:val="single" w:color="auto" w:sz="6" w:space="0"/>
                    <w:left w:val="nil"/>
                    <w:bottom w:val="single" w:color="auto" w:sz="6" w:space="0"/>
                    <w:right w:val="single" w:color="auto" w:sz="6" w:space="0"/>
                  </w:tcBorders>
                  <w:vAlign w:val="center"/>
                </w:tcPr>
                <w:p>
                  <w:pPr>
                    <w:snapToGrid w:val="0"/>
                    <w:spacing w:line="216" w:lineRule="auto"/>
                    <w:jc w:val="center"/>
                    <w:rPr>
                      <w:snapToGrid w:val="0"/>
                      <w:color w:val="auto"/>
                      <w:kern w:val="0"/>
                      <w:szCs w:val="21"/>
                    </w:rPr>
                  </w:pPr>
                  <w:r>
                    <w:rPr>
                      <w:rFonts w:hint="eastAsia"/>
                      <w:snapToGrid w:val="0"/>
                      <w:color w:val="auto"/>
                      <w:kern w:val="0"/>
                      <w:szCs w:val="21"/>
                    </w:rPr>
                    <w:t>一级B标</w:t>
                  </w:r>
                </w:p>
              </w:tc>
              <w:tc>
                <w:tcPr>
                  <w:tcW w:w="603" w:type="pct"/>
                  <w:tcBorders>
                    <w:top w:val="single" w:color="auto" w:sz="6" w:space="0"/>
                    <w:left w:val="single" w:color="auto" w:sz="6" w:space="0"/>
                    <w:bottom w:val="single" w:color="auto" w:sz="6" w:space="0"/>
                    <w:right w:val="single" w:color="auto" w:sz="6" w:space="0"/>
                  </w:tcBorders>
                  <w:vAlign w:val="center"/>
                </w:tcPr>
                <w:p>
                  <w:pPr>
                    <w:snapToGrid w:val="0"/>
                    <w:spacing w:line="216" w:lineRule="auto"/>
                    <w:jc w:val="center"/>
                    <w:rPr>
                      <w:snapToGrid w:val="0"/>
                      <w:color w:val="auto"/>
                      <w:kern w:val="0"/>
                      <w:szCs w:val="21"/>
                    </w:rPr>
                  </w:pPr>
                  <w:r>
                    <w:rPr>
                      <w:rFonts w:hint="eastAsia"/>
                      <w:snapToGrid w:val="0"/>
                      <w:color w:val="auto"/>
                      <w:kern w:val="0"/>
                      <w:szCs w:val="21"/>
                    </w:rPr>
                    <w:t>60</w:t>
                  </w:r>
                </w:p>
              </w:tc>
              <w:tc>
                <w:tcPr>
                  <w:tcW w:w="665" w:type="pct"/>
                  <w:tcBorders>
                    <w:top w:val="single" w:color="auto" w:sz="6" w:space="0"/>
                    <w:left w:val="single" w:color="auto" w:sz="6" w:space="0"/>
                    <w:bottom w:val="single" w:color="auto" w:sz="6" w:space="0"/>
                    <w:right w:val="single" w:color="auto" w:sz="6" w:space="0"/>
                  </w:tcBorders>
                </w:tcPr>
                <w:p>
                  <w:pPr>
                    <w:snapToGrid w:val="0"/>
                    <w:spacing w:line="216" w:lineRule="auto"/>
                    <w:jc w:val="center"/>
                    <w:rPr>
                      <w:snapToGrid w:val="0"/>
                      <w:color w:val="auto"/>
                      <w:kern w:val="0"/>
                      <w:szCs w:val="21"/>
                    </w:rPr>
                  </w:pPr>
                  <w:r>
                    <w:rPr>
                      <w:rFonts w:hint="eastAsia"/>
                      <w:snapToGrid w:val="0"/>
                      <w:color w:val="auto"/>
                      <w:kern w:val="0"/>
                      <w:szCs w:val="21"/>
                    </w:rPr>
                    <w:t>20</w:t>
                  </w:r>
                </w:p>
              </w:tc>
              <w:tc>
                <w:tcPr>
                  <w:tcW w:w="411" w:type="pct"/>
                  <w:tcBorders>
                    <w:top w:val="single" w:color="auto" w:sz="6" w:space="0"/>
                    <w:left w:val="single" w:color="auto" w:sz="6" w:space="0"/>
                    <w:bottom w:val="single" w:color="auto" w:sz="6" w:space="0"/>
                    <w:right w:val="single" w:color="auto" w:sz="6" w:space="0"/>
                  </w:tcBorders>
                  <w:vAlign w:val="center"/>
                </w:tcPr>
                <w:p>
                  <w:pPr>
                    <w:snapToGrid w:val="0"/>
                    <w:spacing w:line="216" w:lineRule="auto"/>
                    <w:jc w:val="center"/>
                    <w:rPr>
                      <w:snapToGrid w:val="0"/>
                      <w:color w:val="auto"/>
                      <w:kern w:val="0"/>
                      <w:szCs w:val="21"/>
                    </w:rPr>
                  </w:pPr>
                  <w:r>
                    <w:rPr>
                      <w:rFonts w:hint="eastAsia"/>
                      <w:snapToGrid w:val="0"/>
                      <w:color w:val="auto"/>
                      <w:kern w:val="0"/>
                      <w:szCs w:val="21"/>
                    </w:rPr>
                    <w:t>20</w:t>
                  </w:r>
                </w:p>
              </w:tc>
              <w:tc>
                <w:tcPr>
                  <w:tcW w:w="581" w:type="pct"/>
                  <w:tcBorders>
                    <w:top w:val="single" w:color="auto" w:sz="6" w:space="0"/>
                    <w:left w:val="single" w:color="auto" w:sz="6" w:space="0"/>
                    <w:bottom w:val="single" w:color="auto" w:sz="6" w:space="0"/>
                    <w:right w:val="single" w:color="auto" w:sz="6" w:space="0"/>
                  </w:tcBorders>
                  <w:vAlign w:val="center"/>
                </w:tcPr>
                <w:p>
                  <w:pPr>
                    <w:snapToGrid w:val="0"/>
                    <w:spacing w:line="216" w:lineRule="auto"/>
                    <w:jc w:val="center"/>
                    <w:rPr>
                      <w:snapToGrid w:val="0"/>
                      <w:color w:val="auto"/>
                      <w:kern w:val="0"/>
                      <w:szCs w:val="21"/>
                      <w:lang w:val="en-GB"/>
                    </w:rPr>
                  </w:pPr>
                  <w:r>
                    <w:rPr>
                      <w:rFonts w:hint="eastAsia"/>
                      <w:snapToGrid w:val="0"/>
                      <w:color w:val="auto"/>
                      <w:kern w:val="0"/>
                      <w:szCs w:val="21"/>
                    </w:rPr>
                    <w:t>8</w:t>
                  </w:r>
                </w:p>
              </w:tc>
              <w:tc>
                <w:tcPr>
                  <w:tcW w:w="773" w:type="pct"/>
                  <w:tcBorders>
                    <w:top w:val="single" w:color="auto" w:sz="6" w:space="0"/>
                    <w:left w:val="single" w:color="auto" w:sz="6" w:space="0"/>
                    <w:bottom w:val="single" w:color="auto" w:sz="6" w:space="0"/>
                    <w:right w:val="nil"/>
                  </w:tcBorders>
                  <w:vAlign w:val="center"/>
                </w:tcPr>
                <w:p>
                  <w:pPr>
                    <w:snapToGrid w:val="0"/>
                    <w:spacing w:line="216" w:lineRule="auto"/>
                    <w:jc w:val="center"/>
                    <w:rPr>
                      <w:rFonts w:hint="eastAsia" w:eastAsia="宋体"/>
                      <w:snapToGrid w:val="0"/>
                      <w:color w:val="auto"/>
                      <w:kern w:val="0"/>
                      <w:szCs w:val="21"/>
                      <w:lang w:val="en-US" w:eastAsia="zh-CN"/>
                    </w:rPr>
                  </w:pPr>
                  <w:r>
                    <w:rPr>
                      <w:rFonts w:hint="eastAsia"/>
                      <w:snapToGrid w:val="0"/>
                      <w:color w:val="auto"/>
                      <w:kern w:val="0"/>
                      <w:szCs w:val="21"/>
                      <w:lang w:val="en-US" w:eastAsia="zh-CN"/>
                    </w:rPr>
                    <w:t>3</w:t>
                  </w:r>
                </w:p>
              </w:tc>
              <w:tc>
                <w:tcPr>
                  <w:tcW w:w="965" w:type="pct"/>
                  <w:tcBorders>
                    <w:top w:val="single" w:color="auto" w:sz="6" w:space="0"/>
                    <w:left w:val="single" w:color="auto" w:sz="6" w:space="0"/>
                    <w:bottom w:val="single" w:color="auto" w:sz="6" w:space="0"/>
                    <w:right w:val="nil"/>
                  </w:tcBorders>
                  <w:vAlign w:val="center"/>
                </w:tcPr>
                <w:p>
                  <w:pPr>
                    <w:snapToGrid w:val="0"/>
                    <w:spacing w:line="216" w:lineRule="auto"/>
                    <w:jc w:val="center"/>
                    <w:rPr>
                      <w:snapToGrid w:val="0"/>
                      <w:color w:val="auto"/>
                      <w:kern w:val="0"/>
                      <w:szCs w:val="21"/>
                    </w:rPr>
                  </w:pPr>
                  <w:r>
                    <w:rPr>
                      <w:rFonts w:hint="eastAsia"/>
                      <w:snapToGrid w:val="0"/>
                      <w:color w:val="auto"/>
                      <w:kern w:val="0"/>
                      <w:szCs w:val="21"/>
                    </w:rPr>
                    <w:t>3</w:t>
                  </w:r>
                </w:p>
              </w:tc>
            </w:tr>
          </w:tbl>
          <w:p>
            <w:pPr>
              <w:pStyle w:val="2"/>
              <w:rPr>
                <w:rFonts w:ascii="Times New Roman" w:cs="Times New Roman"/>
                <w:b/>
                <w:bCs/>
                <w:color w:val="auto"/>
              </w:rPr>
            </w:pPr>
            <w:r>
              <w:rPr>
                <w:rFonts w:ascii="Times New Roman" w:cs="Times New Roman"/>
                <w:b/>
                <w:bCs/>
                <w:color w:val="auto"/>
              </w:rPr>
              <w:t>噪声排放标准</w:t>
            </w:r>
          </w:p>
          <w:p>
            <w:pPr>
              <w:pStyle w:val="2"/>
              <w:ind w:firstLine="480" w:firstLineChars="200"/>
              <w:rPr>
                <w:rFonts w:ascii="Times New Roman" w:cs="Times New Roman"/>
                <w:color w:val="auto"/>
              </w:rPr>
            </w:pPr>
            <w:r>
              <w:rPr>
                <w:rFonts w:ascii="Times New Roman" w:cs="Times New Roman"/>
                <w:color w:val="auto"/>
              </w:rPr>
              <w:t>运营期噪声排放标准执行《工业企业厂界环境噪声排放标准》（GB12348-2008）中的3类标准，详见表3.</w:t>
            </w:r>
            <w:r>
              <w:rPr>
                <w:rFonts w:hint="eastAsia" w:ascii="Times New Roman" w:cs="Times New Roman"/>
                <w:color w:val="auto"/>
              </w:rPr>
              <w:t>9</w:t>
            </w:r>
            <w:r>
              <w:rPr>
                <w:rFonts w:ascii="Times New Roman" w:cs="Times New Roman"/>
                <w:color w:val="auto"/>
              </w:rPr>
              <w:t>。</w:t>
            </w:r>
          </w:p>
          <w:p>
            <w:pPr>
              <w:spacing w:line="360" w:lineRule="auto"/>
              <w:jc w:val="center"/>
              <w:rPr>
                <w:bCs/>
                <w:color w:val="auto"/>
                <w:szCs w:val="21"/>
              </w:rPr>
            </w:pPr>
            <w:r>
              <w:rPr>
                <w:bCs/>
                <w:color w:val="auto"/>
                <w:szCs w:val="21"/>
              </w:rPr>
              <w:t>表3.</w:t>
            </w:r>
            <w:r>
              <w:rPr>
                <w:rFonts w:hint="eastAsia"/>
                <w:bCs/>
                <w:color w:val="auto"/>
                <w:szCs w:val="21"/>
              </w:rPr>
              <w:t>9</w:t>
            </w:r>
            <w:r>
              <w:rPr>
                <w:bCs/>
                <w:color w:val="auto"/>
                <w:szCs w:val="21"/>
              </w:rPr>
              <w:t xml:space="preserve"> </w:t>
            </w:r>
            <w:r>
              <w:rPr>
                <w:color w:val="auto"/>
                <w:szCs w:val="21"/>
              </w:rPr>
              <w:t>《工业企业厂界环境噪声排放标准》（GB12348-2008）</w:t>
            </w:r>
            <w:r>
              <w:rPr>
                <w:bCs/>
                <w:color w:val="auto"/>
                <w:szCs w:val="21"/>
              </w:rPr>
              <w:t xml:space="preserve"> 单位：dB(A)</w:t>
            </w:r>
          </w:p>
          <w:tbl>
            <w:tblPr>
              <w:tblStyle w:val="22"/>
              <w:tblW w:w="4999" w:type="pct"/>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656"/>
              <w:gridCol w:w="2657"/>
              <w:gridCol w:w="2659"/>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jc w:val="center"/>
              </w:trPr>
              <w:tc>
                <w:tcPr>
                  <w:tcW w:w="1666" w:type="pct"/>
                  <w:vMerge w:val="restart"/>
                  <w:tcBorders>
                    <w:tl2br w:val="nil"/>
                    <w:tr2bl w:val="nil"/>
                  </w:tcBorders>
                  <w:vAlign w:val="center"/>
                </w:tcPr>
                <w:p>
                  <w:pPr>
                    <w:jc w:val="center"/>
                    <w:rPr>
                      <w:color w:val="auto"/>
                      <w:szCs w:val="21"/>
                    </w:rPr>
                  </w:pPr>
                  <w:r>
                    <w:rPr>
                      <w:color w:val="auto"/>
                      <w:szCs w:val="21"/>
                    </w:rPr>
                    <w:t>类别</w:t>
                  </w:r>
                </w:p>
              </w:tc>
              <w:tc>
                <w:tcPr>
                  <w:tcW w:w="3333" w:type="pct"/>
                  <w:gridSpan w:val="2"/>
                  <w:tcBorders>
                    <w:tl2br w:val="nil"/>
                    <w:tr2bl w:val="nil"/>
                  </w:tcBorders>
                  <w:vAlign w:val="center"/>
                </w:tcPr>
                <w:p>
                  <w:pPr>
                    <w:jc w:val="center"/>
                    <w:rPr>
                      <w:color w:val="auto"/>
                      <w:szCs w:val="21"/>
                    </w:rPr>
                  </w:pPr>
                  <w:r>
                    <w:rPr>
                      <w:color w:val="auto"/>
                      <w:szCs w:val="21"/>
                    </w:rPr>
                    <w:t>标准值</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0" w:hRule="atLeast"/>
                <w:jc w:val="center"/>
              </w:trPr>
              <w:tc>
                <w:tcPr>
                  <w:tcW w:w="1666" w:type="pct"/>
                  <w:vMerge w:val="continue"/>
                  <w:tcBorders>
                    <w:tl2br w:val="nil"/>
                    <w:tr2bl w:val="nil"/>
                  </w:tcBorders>
                  <w:vAlign w:val="center"/>
                </w:tcPr>
                <w:p>
                  <w:pPr>
                    <w:ind w:firstLine="315" w:firstLineChars="150"/>
                    <w:jc w:val="center"/>
                    <w:rPr>
                      <w:color w:val="auto"/>
                      <w:szCs w:val="21"/>
                    </w:rPr>
                  </w:pPr>
                </w:p>
              </w:tc>
              <w:tc>
                <w:tcPr>
                  <w:tcW w:w="1666" w:type="pct"/>
                  <w:tcBorders>
                    <w:tl2br w:val="nil"/>
                    <w:tr2bl w:val="nil"/>
                  </w:tcBorders>
                  <w:vAlign w:val="center"/>
                </w:tcPr>
                <w:p>
                  <w:pPr>
                    <w:jc w:val="center"/>
                    <w:rPr>
                      <w:color w:val="auto"/>
                      <w:szCs w:val="21"/>
                    </w:rPr>
                  </w:pPr>
                  <w:r>
                    <w:rPr>
                      <w:color w:val="auto"/>
                      <w:szCs w:val="21"/>
                    </w:rPr>
                    <w:t>昼间</w:t>
                  </w:r>
                </w:p>
              </w:tc>
              <w:tc>
                <w:tcPr>
                  <w:tcW w:w="1666" w:type="pct"/>
                  <w:tcBorders>
                    <w:tl2br w:val="nil"/>
                    <w:tr2bl w:val="nil"/>
                  </w:tcBorders>
                  <w:vAlign w:val="center"/>
                </w:tcPr>
                <w:p>
                  <w:pPr>
                    <w:jc w:val="center"/>
                    <w:rPr>
                      <w:color w:val="auto"/>
                      <w:szCs w:val="21"/>
                    </w:rPr>
                  </w:pPr>
                  <w:r>
                    <w:rPr>
                      <w:color w:val="auto"/>
                      <w:szCs w:val="21"/>
                    </w:rPr>
                    <w:t>夜间</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jc w:val="center"/>
              </w:trPr>
              <w:tc>
                <w:tcPr>
                  <w:tcW w:w="1666" w:type="pct"/>
                  <w:tcBorders>
                    <w:tl2br w:val="nil"/>
                    <w:tr2bl w:val="nil"/>
                  </w:tcBorders>
                  <w:vAlign w:val="center"/>
                </w:tcPr>
                <w:p>
                  <w:pPr>
                    <w:jc w:val="center"/>
                    <w:rPr>
                      <w:color w:val="auto"/>
                      <w:szCs w:val="21"/>
                    </w:rPr>
                  </w:pPr>
                  <w:r>
                    <w:rPr>
                      <w:color w:val="auto"/>
                      <w:szCs w:val="21"/>
                    </w:rPr>
                    <w:t>3类</w:t>
                  </w:r>
                </w:p>
              </w:tc>
              <w:tc>
                <w:tcPr>
                  <w:tcW w:w="1666" w:type="pct"/>
                  <w:tcBorders>
                    <w:tl2br w:val="nil"/>
                    <w:tr2bl w:val="nil"/>
                  </w:tcBorders>
                  <w:vAlign w:val="center"/>
                </w:tcPr>
                <w:p>
                  <w:pPr>
                    <w:jc w:val="center"/>
                    <w:rPr>
                      <w:color w:val="auto"/>
                      <w:szCs w:val="21"/>
                    </w:rPr>
                  </w:pPr>
                  <w:r>
                    <w:rPr>
                      <w:color w:val="auto"/>
                      <w:szCs w:val="21"/>
                    </w:rPr>
                    <w:t>65</w:t>
                  </w:r>
                </w:p>
              </w:tc>
              <w:tc>
                <w:tcPr>
                  <w:tcW w:w="1666" w:type="pct"/>
                  <w:tcBorders>
                    <w:tl2br w:val="nil"/>
                    <w:tr2bl w:val="nil"/>
                  </w:tcBorders>
                  <w:vAlign w:val="center"/>
                </w:tcPr>
                <w:p>
                  <w:pPr>
                    <w:jc w:val="center"/>
                    <w:rPr>
                      <w:color w:val="auto"/>
                      <w:szCs w:val="21"/>
                    </w:rPr>
                  </w:pPr>
                  <w:r>
                    <w:rPr>
                      <w:color w:val="auto"/>
                      <w:szCs w:val="21"/>
                    </w:rPr>
                    <w:t>55</w:t>
                  </w:r>
                </w:p>
              </w:tc>
            </w:tr>
          </w:tbl>
          <w:p>
            <w:pPr>
              <w:pStyle w:val="2"/>
              <w:rPr>
                <w:rFonts w:ascii="Times New Roman" w:cs="Times New Roman"/>
                <w:b/>
                <w:bCs/>
                <w:color w:val="auto"/>
              </w:rPr>
            </w:pPr>
            <w:r>
              <w:rPr>
                <w:rFonts w:hint="eastAsia" w:ascii="Times New Roman" w:cs="Times New Roman"/>
                <w:b/>
                <w:bCs/>
                <w:color w:val="auto"/>
              </w:rPr>
              <w:t>固体废物</w:t>
            </w:r>
          </w:p>
          <w:p>
            <w:pPr>
              <w:pStyle w:val="2"/>
              <w:ind w:firstLine="480" w:firstLineChars="200"/>
              <w:rPr>
                <w:rFonts w:ascii="Times New Roman" w:cs="Times New Roman"/>
                <w:color w:val="auto"/>
                <w:sz w:val="21"/>
                <w:szCs w:val="21"/>
              </w:rPr>
            </w:pPr>
            <w:r>
              <w:rPr>
                <w:rFonts w:ascii="Times New Roman" w:cs="Times New Roman"/>
                <w:color w:val="auto"/>
              </w:rPr>
              <w:t>根据《一般工业固体废物贮存和填埋污染控制标准》(GB18599-2020)，</w:t>
            </w:r>
            <w:r>
              <w:rPr>
                <w:rFonts w:ascii="Times New Roman" w:eastAsia="FZFangSong-Z02" w:cs="Times New Roman"/>
                <w:color w:val="auto"/>
                <w:lang w:bidi="ar"/>
              </w:rPr>
              <w:t>采用库房、包装工具（罐、桶、包装袋等）贮存一般工业固体废物过程的污染控制，不适用本标准，</w:t>
            </w:r>
            <w:r>
              <w:rPr>
                <w:rFonts w:ascii="Times New Roman" w:cs="Times New Roman"/>
                <w:color w:val="auto"/>
              </w:rPr>
              <w:t>本项目一般工业固体废物的</w:t>
            </w:r>
            <w:r>
              <w:rPr>
                <w:rFonts w:ascii="Times New Roman" w:cs="Times New Roman"/>
                <w:color w:val="auto"/>
                <w:lang w:bidi="ar"/>
              </w:rPr>
              <w:t>贮存过程应满足相应防渗漏、防雨淋、防扬尘等环境保护要求。</w:t>
            </w:r>
            <w:r>
              <w:rPr>
                <w:rFonts w:hint="eastAsia" w:ascii="Times New Roman" w:cs="Times New Roman"/>
                <w:bCs/>
                <w:color w:val="auto"/>
              </w:rPr>
              <w:t>本项目</w:t>
            </w:r>
            <w:r>
              <w:rPr>
                <w:rFonts w:ascii="Times New Roman" w:cs="Times New Roman"/>
                <w:bCs/>
                <w:color w:val="auto"/>
              </w:rPr>
              <w:t>危险废物</w:t>
            </w:r>
            <w:r>
              <w:rPr>
                <w:rFonts w:hint="eastAsia" w:ascii="Times New Roman" w:cs="Times New Roman"/>
                <w:bCs/>
                <w:color w:val="auto"/>
              </w:rPr>
              <w:t>管理</w:t>
            </w:r>
            <w:r>
              <w:rPr>
                <w:rFonts w:ascii="Times New Roman" w:cs="Times New Roman"/>
                <w:bCs/>
                <w:color w:val="auto"/>
              </w:rPr>
              <w:t>执行</w:t>
            </w:r>
            <w:r>
              <w:rPr>
                <w:rFonts w:ascii="Times New Roman" w:cs="Times New Roman"/>
                <w:bCs/>
                <w:color w:val="auto"/>
                <w:highlight w:val="none"/>
              </w:rPr>
              <w:t>《危险废物贮存污染控制标准》(GB18597－</w:t>
            </w:r>
            <w:r>
              <w:rPr>
                <w:rFonts w:hint="eastAsia" w:ascii="Times New Roman" w:cs="Times New Roman"/>
                <w:bCs/>
                <w:color w:val="auto"/>
                <w:highlight w:val="none"/>
                <w:lang w:val="en-US" w:eastAsia="zh-CN"/>
              </w:rPr>
              <w:t>2023</w:t>
            </w:r>
            <w:r>
              <w:rPr>
                <w:rFonts w:ascii="Times New Roman" w:cs="Times New Roman"/>
                <w:bCs/>
                <w:color w:val="auto"/>
                <w:highlight w:val="none"/>
              </w:rPr>
              <w:t>)</w:t>
            </w:r>
            <w:r>
              <w:rPr>
                <w:rFonts w:hint="eastAsia" w:ascii="Times New Roman" w:cs="Times New Roman"/>
                <w:bCs/>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Align w:val="center"/>
          </w:tcPr>
          <w:p>
            <w:pPr>
              <w:adjustRightInd w:val="0"/>
              <w:snapToGrid w:val="0"/>
              <w:jc w:val="center"/>
              <w:rPr>
                <w:rFonts w:ascii="宋体" w:hAnsi="宋体" w:cs="宋体"/>
                <w:color w:val="auto"/>
                <w:kern w:val="0"/>
                <w:szCs w:val="21"/>
              </w:rPr>
            </w:pPr>
            <w:r>
              <w:rPr>
                <w:rFonts w:hint="eastAsia" w:ascii="宋体" w:hAnsi="宋体" w:cs="宋体"/>
                <w:color w:val="auto"/>
                <w:kern w:val="0"/>
                <w:szCs w:val="21"/>
              </w:rPr>
              <w:t>总量</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控制</w:t>
            </w:r>
          </w:p>
          <w:p>
            <w:pPr>
              <w:adjustRightInd w:val="0"/>
              <w:snapToGrid w:val="0"/>
              <w:jc w:val="center"/>
              <w:rPr>
                <w:rFonts w:ascii="宋体" w:hAnsi="宋体" w:cs="宋体"/>
                <w:color w:val="auto"/>
                <w:kern w:val="0"/>
                <w:szCs w:val="21"/>
              </w:rPr>
            </w:pPr>
            <w:r>
              <w:rPr>
                <w:rFonts w:hint="eastAsia" w:ascii="宋体" w:hAnsi="宋体" w:cs="宋体"/>
                <w:color w:val="auto"/>
                <w:kern w:val="0"/>
                <w:szCs w:val="21"/>
              </w:rPr>
              <w:t>指标</w:t>
            </w:r>
          </w:p>
        </w:tc>
        <w:tc>
          <w:tcPr>
            <w:tcW w:w="8190" w:type="dxa"/>
          </w:tcPr>
          <w:p>
            <w:pPr>
              <w:adjustRightInd w:val="0"/>
              <w:snapToGrid w:val="0"/>
              <w:spacing w:line="360" w:lineRule="auto"/>
              <w:rPr>
                <w:color w:val="auto"/>
                <w:sz w:val="24"/>
              </w:rPr>
            </w:pPr>
            <w:r>
              <w:rPr>
                <w:color w:val="auto"/>
                <w:sz w:val="24"/>
              </w:rPr>
              <w:t>本项目总量控制的建议指标如下：</w:t>
            </w:r>
          </w:p>
          <w:p>
            <w:pPr>
              <w:adjustRightInd w:val="0"/>
              <w:snapToGrid w:val="0"/>
              <w:spacing w:line="360" w:lineRule="auto"/>
              <w:ind w:firstLine="480" w:firstLineChars="200"/>
              <w:rPr>
                <w:color w:val="auto"/>
                <w:sz w:val="24"/>
                <w:highlight w:val="none"/>
              </w:rPr>
            </w:pPr>
            <w:r>
              <w:rPr>
                <w:color w:val="auto"/>
                <w:sz w:val="24"/>
                <w:highlight w:val="none"/>
              </w:rPr>
              <w:t>COD：</w:t>
            </w:r>
            <w:r>
              <w:rPr>
                <w:rFonts w:hint="eastAsia"/>
                <w:color w:val="auto"/>
                <w:sz w:val="24"/>
                <w:highlight w:val="none"/>
              </w:rPr>
              <w:t>0.</w:t>
            </w:r>
            <w:r>
              <w:rPr>
                <w:rFonts w:hint="eastAsia"/>
                <w:color w:val="auto"/>
                <w:sz w:val="24"/>
                <w:highlight w:val="none"/>
                <w:lang w:val="en-US" w:eastAsia="zh-CN"/>
              </w:rPr>
              <w:t>014</w:t>
            </w:r>
            <w:r>
              <w:rPr>
                <w:color w:val="auto"/>
                <w:sz w:val="24"/>
                <w:highlight w:val="none"/>
              </w:rPr>
              <w:t>t/a、氨氮：0.0</w:t>
            </w:r>
            <w:r>
              <w:rPr>
                <w:rFonts w:hint="eastAsia"/>
                <w:color w:val="auto"/>
                <w:sz w:val="24"/>
                <w:highlight w:val="none"/>
                <w:lang w:val="en-US" w:eastAsia="zh-CN"/>
              </w:rPr>
              <w:t>02</w:t>
            </w:r>
            <w:r>
              <w:rPr>
                <w:color w:val="auto"/>
                <w:sz w:val="24"/>
                <w:highlight w:val="none"/>
              </w:rPr>
              <w:t>t/a；废气：SO</w:t>
            </w:r>
            <w:r>
              <w:rPr>
                <w:color w:val="auto"/>
                <w:sz w:val="24"/>
                <w:highlight w:val="none"/>
                <w:vertAlign w:val="subscript"/>
              </w:rPr>
              <w:t>2</w:t>
            </w:r>
            <w:r>
              <w:rPr>
                <w:color w:val="auto"/>
                <w:sz w:val="24"/>
                <w:highlight w:val="none"/>
              </w:rPr>
              <w:t>：0.</w:t>
            </w:r>
            <w:r>
              <w:rPr>
                <w:rFonts w:hint="eastAsia"/>
                <w:color w:val="auto"/>
                <w:sz w:val="24"/>
                <w:highlight w:val="none"/>
              </w:rPr>
              <w:t>044</w:t>
            </w:r>
            <w:r>
              <w:rPr>
                <w:color w:val="auto"/>
                <w:sz w:val="24"/>
                <w:highlight w:val="none"/>
              </w:rPr>
              <w:t>t/a、NO</w:t>
            </w:r>
            <w:r>
              <w:rPr>
                <w:color w:val="auto"/>
                <w:sz w:val="24"/>
                <w:highlight w:val="none"/>
                <w:vertAlign w:val="subscript"/>
              </w:rPr>
              <w:t>X</w:t>
            </w:r>
            <w:r>
              <w:rPr>
                <w:color w:val="auto"/>
                <w:sz w:val="24"/>
                <w:highlight w:val="none"/>
              </w:rPr>
              <w:t>：0.</w:t>
            </w:r>
            <w:r>
              <w:rPr>
                <w:rFonts w:hint="eastAsia"/>
                <w:color w:val="auto"/>
                <w:sz w:val="24"/>
                <w:highlight w:val="none"/>
              </w:rPr>
              <w:t>408</w:t>
            </w:r>
            <w:r>
              <w:rPr>
                <w:color w:val="auto"/>
                <w:sz w:val="24"/>
                <w:highlight w:val="none"/>
              </w:rPr>
              <w:t>t/a、</w:t>
            </w:r>
            <w:r>
              <w:rPr>
                <w:rFonts w:hint="eastAsia"/>
                <w:color w:val="auto"/>
                <w:sz w:val="24"/>
                <w:highlight w:val="none"/>
              </w:rPr>
              <w:t>非甲烷总烃（</w:t>
            </w:r>
            <w:r>
              <w:rPr>
                <w:color w:val="auto"/>
                <w:sz w:val="24"/>
                <w:highlight w:val="none"/>
              </w:rPr>
              <w:t>VOC</w:t>
            </w:r>
            <w:r>
              <w:rPr>
                <w:rFonts w:hint="eastAsia"/>
                <w:color w:val="auto"/>
                <w:sz w:val="24"/>
                <w:highlight w:val="none"/>
                <w:vertAlign w:val="subscript"/>
              </w:rPr>
              <w:t>S</w:t>
            </w:r>
            <w:r>
              <w:rPr>
                <w:rFonts w:hint="eastAsia"/>
                <w:color w:val="auto"/>
                <w:sz w:val="24"/>
                <w:highlight w:val="none"/>
              </w:rPr>
              <w:t>）：0.</w:t>
            </w:r>
            <w:r>
              <w:rPr>
                <w:rFonts w:hint="eastAsia"/>
                <w:color w:val="auto"/>
                <w:sz w:val="24"/>
                <w:highlight w:val="none"/>
                <w:lang w:val="en-US" w:eastAsia="zh-CN"/>
              </w:rPr>
              <w:t>307</w:t>
            </w:r>
            <w:r>
              <w:rPr>
                <w:color w:val="auto"/>
                <w:sz w:val="24"/>
                <w:highlight w:val="none"/>
              </w:rPr>
              <w:t>t/a、</w:t>
            </w:r>
            <w:r>
              <w:rPr>
                <w:rFonts w:hint="eastAsia"/>
                <w:color w:val="auto"/>
                <w:sz w:val="24"/>
                <w:highlight w:val="none"/>
              </w:rPr>
              <w:t>颗粒物：0.062</w:t>
            </w:r>
            <w:r>
              <w:rPr>
                <w:color w:val="auto"/>
                <w:sz w:val="24"/>
                <w:highlight w:val="none"/>
              </w:rPr>
              <w:t>t/a</w:t>
            </w:r>
            <w:r>
              <w:rPr>
                <w:rFonts w:hint="eastAsia"/>
                <w:color w:val="auto"/>
                <w:sz w:val="24"/>
                <w:highlight w:val="none"/>
              </w:rPr>
              <w:t>。</w:t>
            </w:r>
          </w:p>
          <w:p>
            <w:pPr>
              <w:adjustRightInd w:val="0"/>
              <w:snapToGrid w:val="0"/>
              <w:spacing w:line="360" w:lineRule="auto"/>
              <w:rPr>
                <w:color w:val="auto"/>
                <w:sz w:val="24"/>
                <w:highlight w:val="none"/>
              </w:rPr>
            </w:pPr>
          </w:p>
          <w:p>
            <w:pPr>
              <w:adjustRightInd w:val="0"/>
              <w:snapToGrid w:val="0"/>
              <w:spacing w:line="360" w:lineRule="auto"/>
              <w:rPr>
                <w:rFonts w:hint="default" w:eastAsia="宋体"/>
                <w:color w:val="auto"/>
                <w:sz w:val="24"/>
                <w:lang w:val="en-US" w:eastAsia="zh-CN"/>
              </w:rPr>
            </w:pPr>
          </w:p>
          <w:p>
            <w:pPr>
              <w:adjustRightInd w:val="0"/>
              <w:snapToGrid w:val="0"/>
              <w:spacing w:line="360" w:lineRule="auto"/>
              <w:rPr>
                <w:color w:val="auto"/>
                <w:sz w:val="24"/>
              </w:rPr>
            </w:pPr>
          </w:p>
          <w:p>
            <w:pPr>
              <w:adjustRightInd w:val="0"/>
              <w:snapToGrid w:val="0"/>
              <w:spacing w:line="360" w:lineRule="auto"/>
              <w:rPr>
                <w:color w:val="auto"/>
                <w:sz w:val="24"/>
              </w:rPr>
            </w:pPr>
          </w:p>
          <w:p>
            <w:pPr>
              <w:pStyle w:val="2"/>
              <w:rPr>
                <w:color w:val="auto"/>
                <w:sz w:val="24"/>
              </w:rPr>
            </w:pPr>
          </w:p>
          <w:p>
            <w:pPr>
              <w:pStyle w:val="3"/>
              <w:rPr>
                <w:color w:val="auto"/>
              </w:rPr>
            </w:pPr>
          </w:p>
          <w:p>
            <w:pPr>
              <w:adjustRightInd w:val="0"/>
              <w:snapToGrid w:val="0"/>
              <w:spacing w:line="360" w:lineRule="auto"/>
              <w:rPr>
                <w:color w:val="auto"/>
                <w:sz w:val="24"/>
              </w:rPr>
            </w:pPr>
          </w:p>
          <w:p>
            <w:pPr>
              <w:adjustRightInd w:val="0"/>
              <w:snapToGrid w:val="0"/>
              <w:spacing w:line="360" w:lineRule="auto"/>
              <w:rPr>
                <w:color w:val="auto"/>
                <w:sz w:val="24"/>
              </w:rPr>
            </w:pPr>
          </w:p>
          <w:p>
            <w:pPr>
              <w:adjustRightInd w:val="0"/>
              <w:snapToGrid w:val="0"/>
              <w:spacing w:line="360" w:lineRule="auto"/>
              <w:rPr>
                <w:color w:val="auto"/>
                <w:sz w:val="24"/>
              </w:rPr>
            </w:pPr>
          </w:p>
          <w:p>
            <w:pPr>
              <w:adjustRightInd w:val="0"/>
              <w:snapToGrid w:val="0"/>
              <w:spacing w:line="360" w:lineRule="auto"/>
              <w:rPr>
                <w:color w:val="auto"/>
                <w:sz w:val="24"/>
              </w:rPr>
            </w:pPr>
          </w:p>
        </w:tc>
      </w:tr>
    </w:tbl>
    <w:p>
      <w:pPr>
        <w:pStyle w:val="19"/>
        <w:jc w:val="center"/>
        <w:outlineLvl w:val="0"/>
        <w:rPr>
          <w:rFonts w:ascii="黑体" w:hAnsi="黑体" w:eastAsia="黑体"/>
          <w:snapToGrid w:val="0"/>
          <w:color w:val="auto"/>
          <w:sz w:val="30"/>
          <w:szCs w:val="30"/>
        </w:rPr>
      </w:pPr>
      <w:r>
        <w:rPr>
          <w:rFonts w:ascii="黑体" w:hAnsi="黑体" w:eastAsia="黑体"/>
          <w:snapToGrid w:val="0"/>
          <w:color w:val="auto"/>
          <w:sz w:val="36"/>
          <w:szCs w:val="36"/>
        </w:rPr>
        <w:br w:type="page"/>
      </w:r>
      <w:r>
        <w:rPr>
          <w:rFonts w:hint="eastAsia" w:ascii="黑体" w:hAnsi="黑体" w:eastAsia="黑体"/>
          <w:snapToGrid w:val="0"/>
          <w:color w:val="auto"/>
          <w:sz w:val="30"/>
          <w:szCs w:val="30"/>
        </w:rPr>
        <w:t>四、主要环境影响和保护措施</w:t>
      </w:r>
    </w:p>
    <w:tbl>
      <w:tblPr>
        <w:tblStyle w:val="22"/>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83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11" w:type="dxa"/>
            <w:tcMar>
              <w:left w:w="28" w:type="dxa"/>
              <w:right w:w="28" w:type="dxa"/>
            </w:tcMar>
            <w:vAlign w:val="center"/>
          </w:tcPr>
          <w:p>
            <w:pPr>
              <w:pStyle w:val="19"/>
              <w:adjustRightInd w:val="0"/>
              <w:snapToGrid w:val="0"/>
              <w:spacing w:before="0" w:beforeAutospacing="0" w:after="0" w:afterAutospacing="0"/>
              <w:jc w:val="center"/>
              <w:rPr>
                <w:rFonts w:cs="宋体"/>
                <w:color w:val="auto"/>
                <w:sz w:val="21"/>
                <w:szCs w:val="21"/>
              </w:rPr>
            </w:pPr>
            <w:r>
              <w:rPr>
                <w:rFonts w:hint="eastAsia" w:cs="宋体"/>
                <w:color w:val="auto"/>
                <w:sz w:val="21"/>
                <w:szCs w:val="21"/>
              </w:rPr>
              <w:t>施工</w:t>
            </w:r>
          </w:p>
          <w:p>
            <w:pPr>
              <w:pStyle w:val="19"/>
              <w:adjustRightInd w:val="0"/>
              <w:snapToGrid w:val="0"/>
              <w:spacing w:before="0" w:beforeAutospacing="0" w:after="0" w:afterAutospacing="0"/>
              <w:jc w:val="center"/>
              <w:rPr>
                <w:rFonts w:cs="宋体"/>
                <w:color w:val="auto"/>
                <w:sz w:val="21"/>
                <w:szCs w:val="21"/>
              </w:rPr>
            </w:pPr>
            <w:r>
              <w:rPr>
                <w:rFonts w:hint="eastAsia" w:cs="宋体"/>
                <w:color w:val="auto"/>
                <w:sz w:val="21"/>
                <w:szCs w:val="21"/>
              </w:rPr>
              <w:t>期环</w:t>
            </w:r>
          </w:p>
          <w:p>
            <w:pPr>
              <w:pStyle w:val="19"/>
              <w:adjustRightInd w:val="0"/>
              <w:snapToGrid w:val="0"/>
              <w:spacing w:before="0" w:beforeAutospacing="0" w:after="0" w:afterAutospacing="0"/>
              <w:jc w:val="center"/>
              <w:rPr>
                <w:rFonts w:cs="宋体"/>
                <w:color w:val="auto"/>
                <w:sz w:val="21"/>
                <w:szCs w:val="21"/>
              </w:rPr>
            </w:pPr>
            <w:r>
              <w:rPr>
                <w:rFonts w:hint="eastAsia" w:cs="宋体"/>
                <w:color w:val="auto"/>
                <w:sz w:val="21"/>
                <w:szCs w:val="21"/>
              </w:rPr>
              <w:t>境保</w:t>
            </w:r>
          </w:p>
          <w:p>
            <w:pPr>
              <w:pStyle w:val="19"/>
              <w:adjustRightInd w:val="0"/>
              <w:snapToGrid w:val="0"/>
              <w:spacing w:before="0" w:beforeAutospacing="0" w:after="0" w:afterAutospacing="0"/>
              <w:jc w:val="center"/>
              <w:rPr>
                <w:rFonts w:cs="宋体"/>
                <w:bCs/>
                <w:color w:val="auto"/>
                <w:sz w:val="21"/>
                <w:szCs w:val="21"/>
              </w:rPr>
            </w:pPr>
            <w:r>
              <w:rPr>
                <w:rFonts w:hint="eastAsia" w:cs="宋体"/>
                <w:color w:val="auto"/>
                <w:sz w:val="21"/>
                <w:szCs w:val="21"/>
              </w:rPr>
              <w:t>护措施</w:t>
            </w:r>
          </w:p>
        </w:tc>
        <w:tc>
          <w:tcPr>
            <w:tcW w:w="8370" w:type="dxa"/>
          </w:tcPr>
          <w:p>
            <w:pPr>
              <w:spacing w:line="360" w:lineRule="auto"/>
              <w:rPr>
                <w:b/>
                <w:bCs/>
                <w:color w:val="auto"/>
                <w:sz w:val="24"/>
              </w:rPr>
            </w:pPr>
            <w:r>
              <w:rPr>
                <w:rFonts w:hint="eastAsia"/>
                <w:b/>
                <w:bCs/>
                <w:color w:val="auto"/>
                <w:sz w:val="24"/>
              </w:rPr>
              <w:t>施工期环境保护措施</w:t>
            </w:r>
          </w:p>
          <w:p>
            <w:pPr>
              <w:tabs>
                <w:tab w:val="left" w:pos="1535"/>
              </w:tabs>
              <w:snapToGrid w:val="0"/>
              <w:spacing w:line="360" w:lineRule="auto"/>
              <w:ind w:firstLine="480"/>
              <w:rPr>
                <w:color w:val="auto"/>
              </w:rPr>
            </w:pPr>
            <w:r>
              <w:rPr>
                <w:rFonts w:hint="eastAsia"/>
                <w:color w:val="auto"/>
                <w:sz w:val="24"/>
                <w:lang w:eastAsia="zh-CN"/>
              </w:rPr>
              <w:t>扩建项目</w:t>
            </w:r>
            <w:r>
              <w:rPr>
                <w:rFonts w:hint="eastAsia"/>
                <w:color w:val="auto"/>
                <w:sz w:val="24"/>
              </w:rPr>
              <w:t>利用</w:t>
            </w:r>
            <w:r>
              <w:rPr>
                <w:color w:val="auto"/>
                <w:sz w:val="24"/>
              </w:rPr>
              <w:t>现有生产厂房，不新建厂房，没有土建工程，</w:t>
            </w:r>
            <w:r>
              <w:rPr>
                <w:rFonts w:hint="eastAsia"/>
                <w:color w:val="auto"/>
                <w:sz w:val="24"/>
              </w:rPr>
              <w:t>施工期仅需</w:t>
            </w:r>
            <w:r>
              <w:rPr>
                <w:color w:val="auto"/>
                <w:sz w:val="24"/>
              </w:rPr>
              <w:t>对设备的布置、安装和调试，</w:t>
            </w:r>
            <w:r>
              <w:rPr>
                <w:rFonts w:hint="eastAsia"/>
                <w:color w:val="auto"/>
                <w:sz w:val="24"/>
              </w:rPr>
              <w:t>施工周期短，污染物产排量小，对环境影响小，</w:t>
            </w:r>
            <w:r>
              <w:rPr>
                <w:color w:val="auto"/>
                <w:sz w:val="24"/>
              </w:rPr>
              <w:t>因此，本评价主要针对营运期对环境的影响做重点分析。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611" w:type="dxa"/>
            <w:tcMar>
              <w:left w:w="28" w:type="dxa"/>
              <w:right w:w="28" w:type="dxa"/>
            </w:tcMar>
            <w:vAlign w:val="center"/>
          </w:tcPr>
          <w:p>
            <w:pPr>
              <w:adjustRightInd w:val="0"/>
              <w:snapToGrid w:val="0"/>
              <w:jc w:val="center"/>
              <w:rPr>
                <w:rFonts w:ascii="宋体" w:hAnsi="宋体" w:cs="宋体"/>
                <w:bCs/>
                <w:color w:val="auto"/>
                <w:szCs w:val="21"/>
              </w:rPr>
            </w:pPr>
            <w:r>
              <w:rPr>
                <w:rFonts w:hint="eastAsia" w:ascii="宋体" w:hAnsi="宋体" w:cs="宋体"/>
                <w:bCs/>
                <w:color w:val="auto"/>
                <w:szCs w:val="21"/>
              </w:rPr>
              <w:t>运营</w:t>
            </w:r>
          </w:p>
          <w:p>
            <w:pPr>
              <w:adjustRightInd w:val="0"/>
              <w:snapToGrid w:val="0"/>
              <w:jc w:val="center"/>
              <w:rPr>
                <w:rFonts w:ascii="宋体" w:hAnsi="宋体" w:cs="宋体"/>
                <w:bCs/>
                <w:color w:val="auto"/>
                <w:szCs w:val="21"/>
              </w:rPr>
            </w:pPr>
            <w:r>
              <w:rPr>
                <w:rFonts w:hint="eastAsia" w:ascii="宋体" w:hAnsi="宋体" w:cs="宋体"/>
                <w:bCs/>
                <w:color w:val="auto"/>
                <w:szCs w:val="21"/>
              </w:rPr>
              <w:t>期环</w:t>
            </w:r>
          </w:p>
          <w:p>
            <w:pPr>
              <w:adjustRightInd w:val="0"/>
              <w:snapToGrid w:val="0"/>
              <w:jc w:val="center"/>
              <w:rPr>
                <w:rFonts w:ascii="宋体" w:hAnsi="宋体" w:cs="宋体"/>
                <w:bCs/>
                <w:color w:val="auto"/>
                <w:szCs w:val="21"/>
              </w:rPr>
            </w:pPr>
            <w:r>
              <w:rPr>
                <w:rFonts w:hint="eastAsia" w:ascii="宋体" w:hAnsi="宋体" w:cs="宋体"/>
                <w:bCs/>
                <w:color w:val="auto"/>
                <w:szCs w:val="21"/>
              </w:rPr>
              <w:t>境影</w:t>
            </w:r>
          </w:p>
          <w:p>
            <w:pPr>
              <w:adjustRightInd w:val="0"/>
              <w:snapToGrid w:val="0"/>
              <w:jc w:val="center"/>
              <w:rPr>
                <w:rFonts w:ascii="宋体" w:hAnsi="宋体" w:cs="宋体"/>
                <w:bCs/>
                <w:color w:val="auto"/>
                <w:szCs w:val="21"/>
              </w:rPr>
            </w:pPr>
            <w:r>
              <w:rPr>
                <w:rFonts w:hint="eastAsia" w:ascii="宋体" w:hAnsi="宋体" w:cs="宋体"/>
                <w:bCs/>
                <w:color w:val="auto"/>
                <w:szCs w:val="21"/>
              </w:rPr>
              <w:t>响和</w:t>
            </w:r>
          </w:p>
          <w:p>
            <w:pPr>
              <w:adjustRightInd w:val="0"/>
              <w:snapToGrid w:val="0"/>
              <w:jc w:val="center"/>
              <w:rPr>
                <w:rFonts w:ascii="宋体" w:hAnsi="宋体" w:cs="宋体"/>
                <w:bCs/>
                <w:color w:val="auto"/>
                <w:szCs w:val="21"/>
              </w:rPr>
            </w:pPr>
            <w:r>
              <w:rPr>
                <w:rFonts w:hint="eastAsia" w:ascii="宋体" w:hAnsi="宋体" w:cs="宋体"/>
                <w:bCs/>
                <w:color w:val="auto"/>
                <w:szCs w:val="21"/>
              </w:rPr>
              <w:t>保护</w:t>
            </w:r>
          </w:p>
          <w:p>
            <w:pPr>
              <w:pStyle w:val="19"/>
              <w:adjustRightInd w:val="0"/>
              <w:snapToGrid w:val="0"/>
              <w:spacing w:before="0" w:beforeAutospacing="0" w:after="0" w:afterAutospacing="0"/>
              <w:jc w:val="center"/>
              <w:rPr>
                <w:rFonts w:cs="宋体"/>
                <w:color w:val="auto"/>
                <w:sz w:val="21"/>
                <w:szCs w:val="21"/>
              </w:rPr>
            </w:pPr>
            <w:r>
              <w:rPr>
                <w:rFonts w:hint="eastAsia" w:cs="宋体"/>
                <w:bCs/>
                <w:color w:val="auto"/>
                <w:szCs w:val="21"/>
              </w:rPr>
              <w:t>措施</w:t>
            </w:r>
          </w:p>
        </w:tc>
        <w:tc>
          <w:tcPr>
            <w:tcW w:w="8370" w:type="dxa"/>
          </w:tcPr>
          <w:p>
            <w:pPr>
              <w:adjustRightInd w:val="0"/>
              <w:snapToGrid w:val="0"/>
              <w:spacing w:line="360" w:lineRule="auto"/>
              <w:rPr>
                <w:b/>
                <w:bCs/>
                <w:color w:val="auto"/>
                <w:sz w:val="24"/>
              </w:rPr>
            </w:pPr>
            <w:r>
              <w:rPr>
                <w:b/>
                <w:bCs/>
                <w:color w:val="auto"/>
                <w:sz w:val="24"/>
              </w:rPr>
              <w:t>1.废气</w:t>
            </w:r>
          </w:p>
          <w:p>
            <w:pPr>
              <w:snapToGrid w:val="0"/>
              <w:spacing w:line="360" w:lineRule="auto"/>
              <w:ind w:firstLine="480" w:firstLineChars="200"/>
              <w:rPr>
                <w:color w:val="auto"/>
                <w:sz w:val="24"/>
              </w:rPr>
            </w:pPr>
            <w:r>
              <w:rPr>
                <w:color w:val="auto"/>
                <w:sz w:val="24"/>
              </w:rPr>
              <w:t>（1）污染物源强核算</w:t>
            </w:r>
          </w:p>
          <w:p>
            <w:pPr>
              <w:snapToGrid w:val="0"/>
              <w:spacing w:line="360" w:lineRule="auto"/>
              <w:ind w:firstLine="495"/>
              <w:rPr>
                <w:color w:val="auto"/>
                <w:sz w:val="24"/>
              </w:rPr>
            </w:pPr>
            <w:r>
              <w:rPr>
                <w:rFonts w:hint="eastAsia"/>
                <w:color w:val="auto"/>
                <w:sz w:val="24"/>
                <w:lang w:eastAsia="zh-CN"/>
              </w:rPr>
              <w:t>扩建项目</w:t>
            </w:r>
            <w:r>
              <w:rPr>
                <w:rFonts w:hint="eastAsia"/>
                <w:color w:val="auto"/>
                <w:sz w:val="24"/>
              </w:rPr>
              <w:t>运营期废气主要为涂胶、烘干、淋膜、冷却工序产生的挥发性有机物，天然气燃烧产生的SO</w:t>
            </w:r>
            <w:r>
              <w:rPr>
                <w:rFonts w:hint="eastAsia"/>
                <w:color w:val="auto"/>
                <w:sz w:val="24"/>
                <w:vertAlign w:val="subscript"/>
              </w:rPr>
              <w:t>2</w:t>
            </w:r>
            <w:r>
              <w:rPr>
                <w:rFonts w:hint="eastAsia"/>
                <w:color w:val="auto"/>
                <w:sz w:val="24"/>
              </w:rPr>
              <w:t>、NO</w:t>
            </w:r>
            <w:r>
              <w:rPr>
                <w:rFonts w:hint="eastAsia"/>
                <w:color w:val="auto"/>
                <w:sz w:val="24"/>
                <w:vertAlign w:val="subscript"/>
              </w:rPr>
              <w:t>X</w:t>
            </w:r>
            <w:r>
              <w:rPr>
                <w:rFonts w:hint="eastAsia"/>
                <w:color w:val="auto"/>
                <w:sz w:val="24"/>
              </w:rPr>
              <w:t>、颗粒物以及员工食堂产生的油烟、非甲烷总烃</w:t>
            </w:r>
            <w:r>
              <w:rPr>
                <w:color w:val="auto"/>
                <w:sz w:val="24"/>
              </w:rPr>
              <w:t>。</w:t>
            </w:r>
            <w:r>
              <w:rPr>
                <w:rFonts w:hint="eastAsia"/>
                <w:color w:val="auto"/>
                <w:sz w:val="24"/>
              </w:rPr>
              <w:t>根据《</w:t>
            </w:r>
            <w:r>
              <w:rPr>
                <w:color w:val="auto"/>
                <w:sz w:val="24"/>
              </w:rPr>
              <w:t>挥发性有机物无组织排放控制标</w:t>
            </w:r>
            <w:r>
              <w:rPr>
                <w:color w:val="auto"/>
                <w:szCs w:val="21"/>
              </w:rPr>
              <w:t>准</w:t>
            </w:r>
            <w:r>
              <w:rPr>
                <w:color w:val="auto"/>
                <w:sz w:val="24"/>
              </w:rPr>
              <w:t>》（GB37822-2019），在表征VOC</w:t>
            </w:r>
            <w:r>
              <w:rPr>
                <w:color w:val="auto"/>
                <w:sz w:val="24"/>
                <w:vertAlign w:val="subscript"/>
              </w:rPr>
              <w:t>S</w:t>
            </w:r>
            <w:r>
              <w:rPr>
                <w:color w:val="auto"/>
                <w:sz w:val="24"/>
              </w:rPr>
              <w:t>总体排放情况时，根据行业特征和环境管理要求可采用总挥发性有机物(TVOC表示）、非甲烷总烃（以NMHC表示）作为污染物控制项目，本项目产生的VOC</w:t>
            </w:r>
            <w:r>
              <w:rPr>
                <w:color w:val="auto"/>
                <w:sz w:val="24"/>
                <w:vertAlign w:val="subscript"/>
              </w:rPr>
              <w:t>S</w:t>
            </w:r>
            <w:r>
              <w:rPr>
                <w:color w:val="auto"/>
                <w:sz w:val="24"/>
              </w:rPr>
              <w:t>以非甲烷总烃进行表征。</w:t>
            </w:r>
          </w:p>
          <w:p>
            <w:pPr>
              <w:pStyle w:val="2"/>
              <w:ind w:firstLine="480" w:firstLineChars="200"/>
              <w:rPr>
                <w:rFonts w:ascii="Times New Roman" w:hAnsi="Times New Roman" w:cs="Times New Roman"/>
                <w:color w:val="auto"/>
              </w:rPr>
            </w:pPr>
            <w:r>
              <w:rPr>
                <w:rFonts w:ascii="Times New Roman" w:hAnsi="Times New Roman" w:cs="Times New Roman"/>
                <w:color w:val="auto"/>
              </w:rPr>
              <w:t>①</w:t>
            </w:r>
            <w:r>
              <w:rPr>
                <w:color w:val="auto"/>
                <w:kern w:val="0"/>
                <w:szCs w:val="21"/>
              </w:rPr>
              <w:t>拉幅定型无纺布生产线</w:t>
            </w:r>
            <w:r>
              <w:rPr>
                <w:rFonts w:hint="eastAsia" w:ascii="Times New Roman" w:hAnsi="Times New Roman" w:cs="Times New Roman"/>
                <w:color w:val="auto"/>
              </w:rPr>
              <w:t>废气</w:t>
            </w:r>
            <w:r>
              <w:rPr>
                <w:rFonts w:ascii="Times New Roman" w:hAnsi="Times New Roman" w:cs="Times New Roman"/>
                <w:color w:val="auto"/>
              </w:rPr>
              <w:t>（G1</w:t>
            </w:r>
            <w:r>
              <w:rPr>
                <w:rFonts w:hint="eastAsia" w:ascii="Times New Roman" w:hAnsi="Times New Roman" w:cs="Times New Roman"/>
                <w:color w:val="auto"/>
              </w:rPr>
              <w:t>、G2</w:t>
            </w:r>
            <w:r>
              <w:rPr>
                <w:rFonts w:ascii="Times New Roman" w:hAnsi="Times New Roman" w:cs="Times New Roman"/>
                <w:color w:val="auto"/>
              </w:rPr>
              <w:t>）</w:t>
            </w:r>
          </w:p>
          <w:p>
            <w:pPr>
              <w:snapToGrid w:val="0"/>
              <w:spacing w:line="360" w:lineRule="auto"/>
              <w:ind w:firstLine="480" w:firstLineChars="200"/>
              <w:rPr>
                <w:color w:val="auto"/>
                <w:sz w:val="24"/>
              </w:rPr>
            </w:pPr>
            <w:r>
              <w:rPr>
                <w:rFonts w:hint="eastAsia"/>
                <w:color w:val="auto"/>
                <w:sz w:val="24"/>
              </w:rPr>
              <w:t>由表2.4、表2.7的分析可知，</w:t>
            </w:r>
            <w:r>
              <w:rPr>
                <w:rFonts w:hint="eastAsia"/>
                <w:color w:val="auto"/>
                <w:sz w:val="24"/>
                <w:lang w:eastAsia="zh-CN"/>
              </w:rPr>
              <w:t>扩建项目</w:t>
            </w:r>
            <w:r>
              <w:rPr>
                <w:rFonts w:hint="eastAsia"/>
                <w:color w:val="auto"/>
                <w:sz w:val="24"/>
              </w:rPr>
              <w:t>胶粘剂使用量为</w:t>
            </w:r>
            <w:r>
              <w:rPr>
                <w:rFonts w:hint="eastAsia"/>
                <w:color w:val="auto"/>
                <w:sz w:val="24"/>
                <w:lang w:val="en-US" w:eastAsia="zh-CN"/>
              </w:rPr>
              <w:t>59</w:t>
            </w:r>
            <w:r>
              <w:rPr>
                <w:rFonts w:hint="eastAsia"/>
                <w:color w:val="auto"/>
                <w:sz w:val="24"/>
              </w:rPr>
              <w:t>t/a，运行时间为7h/d。</w:t>
            </w:r>
            <w:r>
              <w:rPr>
                <w:rFonts w:hint="eastAsia"/>
                <w:color w:val="auto"/>
                <w:sz w:val="24"/>
                <w:lang w:eastAsia="zh-CN"/>
              </w:rPr>
              <w:t>根据本项目水性胶粘剂</w:t>
            </w:r>
            <w:r>
              <w:rPr>
                <w:rFonts w:hint="eastAsia"/>
                <w:color w:val="auto"/>
                <w:sz w:val="24"/>
                <w:lang w:val="en-US" w:eastAsia="zh-CN"/>
              </w:rPr>
              <w:t>MSDS，其中挥发份占比3%，</w:t>
            </w:r>
            <w:r>
              <w:rPr>
                <w:rFonts w:hint="eastAsia"/>
                <w:color w:val="auto"/>
                <w:sz w:val="24"/>
              </w:rPr>
              <w:t>本评价施工胶中挥发份按100%挥发</w:t>
            </w:r>
            <w:r>
              <w:rPr>
                <w:color w:val="auto"/>
                <w:sz w:val="24"/>
              </w:rPr>
              <w:t>，</w:t>
            </w:r>
            <w:r>
              <w:rPr>
                <w:rFonts w:hint="eastAsia"/>
                <w:color w:val="auto"/>
                <w:sz w:val="24"/>
              </w:rPr>
              <w:t>其中涂胶工序占比按20%、烘干工序占比按80%计，</w:t>
            </w:r>
            <w:r>
              <w:rPr>
                <w:color w:val="auto"/>
                <w:sz w:val="24"/>
              </w:rPr>
              <w:t>则</w:t>
            </w:r>
            <w:r>
              <w:rPr>
                <w:rFonts w:hint="eastAsia"/>
                <w:color w:val="auto"/>
                <w:sz w:val="24"/>
              </w:rPr>
              <w:t>涂胶工序非甲烷总烃</w:t>
            </w:r>
            <w:r>
              <w:rPr>
                <w:color w:val="auto"/>
                <w:sz w:val="24"/>
              </w:rPr>
              <w:t>产生量约</w:t>
            </w:r>
            <w:r>
              <w:rPr>
                <w:rFonts w:hint="eastAsia"/>
                <w:color w:val="auto"/>
                <w:sz w:val="24"/>
              </w:rPr>
              <w:t>0.</w:t>
            </w:r>
            <w:r>
              <w:rPr>
                <w:rFonts w:hint="eastAsia"/>
                <w:color w:val="auto"/>
                <w:sz w:val="24"/>
                <w:lang w:val="en-US" w:eastAsia="zh-CN"/>
              </w:rPr>
              <w:t>167</w:t>
            </w:r>
            <w:r>
              <w:rPr>
                <w:color w:val="auto"/>
                <w:sz w:val="24"/>
              </w:rPr>
              <w:t>kg/h，</w:t>
            </w:r>
            <w:r>
              <w:rPr>
                <w:rFonts w:hint="eastAsia"/>
                <w:color w:val="auto"/>
                <w:sz w:val="24"/>
              </w:rPr>
              <w:t>0.</w:t>
            </w:r>
            <w:r>
              <w:rPr>
                <w:rFonts w:hint="eastAsia"/>
                <w:color w:val="auto"/>
                <w:sz w:val="24"/>
                <w:lang w:val="en-US" w:eastAsia="zh-CN"/>
              </w:rPr>
              <w:t>351</w:t>
            </w:r>
            <w:r>
              <w:rPr>
                <w:color w:val="auto"/>
                <w:sz w:val="24"/>
              </w:rPr>
              <w:t>t/a</w:t>
            </w:r>
            <w:r>
              <w:rPr>
                <w:rFonts w:hint="eastAsia"/>
                <w:color w:val="auto"/>
                <w:sz w:val="24"/>
              </w:rPr>
              <w:t>；烘干工序非甲烷总烃</w:t>
            </w:r>
            <w:r>
              <w:rPr>
                <w:color w:val="auto"/>
                <w:sz w:val="24"/>
              </w:rPr>
              <w:t>产生量约</w:t>
            </w:r>
            <w:r>
              <w:rPr>
                <w:rFonts w:hint="eastAsia"/>
                <w:color w:val="auto"/>
                <w:sz w:val="24"/>
                <w:lang w:val="en-US" w:eastAsia="zh-CN"/>
              </w:rPr>
              <w:t>0.669</w:t>
            </w:r>
            <w:r>
              <w:rPr>
                <w:color w:val="auto"/>
                <w:sz w:val="24"/>
              </w:rPr>
              <w:t>kg/h，</w:t>
            </w:r>
            <w:r>
              <w:rPr>
                <w:rFonts w:hint="eastAsia"/>
                <w:color w:val="auto"/>
                <w:sz w:val="24"/>
                <w:lang w:val="en-US" w:eastAsia="zh-CN"/>
              </w:rPr>
              <w:t>1.404</w:t>
            </w:r>
            <w:r>
              <w:rPr>
                <w:color w:val="auto"/>
                <w:sz w:val="24"/>
              </w:rPr>
              <w:t>t/a。</w:t>
            </w:r>
          </w:p>
          <w:p>
            <w:pPr>
              <w:autoSpaceDE w:val="0"/>
              <w:autoSpaceDN w:val="0"/>
              <w:adjustRightInd w:val="0"/>
              <w:snapToGrid w:val="0"/>
              <w:spacing w:line="360" w:lineRule="auto"/>
              <w:ind w:firstLine="480" w:firstLineChars="200"/>
              <w:rPr>
                <w:color w:val="auto"/>
                <w:sz w:val="24"/>
              </w:rPr>
            </w:pPr>
            <w:r>
              <w:rPr>
                <w:rFonts w:hint="eastAsia"/>
                <w:color w:val="auto"/>
                <w:sz w:val="24"/>
              </w:rPr>
              <w:t>由表2.5分析可知，拉幅定型设备天然气用气量为27300m</w:t>
            </w:r>
            <w:r>
              <w:rPr>
                <w:rFonts w:hint="eastAsia"/>
                <w:color w:val="auto"/>
                <w:sz w:val="24"/>
                <w:vertAlign w:val="superscript"/>
              </w:rPr>
              <w:t>3</w:t>
            </w:r>
            <w:r>
              <w:rPr>
                <w:rFonts w:hint="eastAsia"/>
                <w:color w:val="auto"/>
                <w:sz w:val="24"/>
              </w:rPr>
              <w:t>/a，运行时间为7h/d。</w:t>
            </w:r>
            <w:r>
              <w:rPr>
                <w:color w:val="auto"/>
                <w:sz w:val="24"/>
              </w:rPr>
              <w:t>根据《</w:t>
            </w:r>
            <w:r>
              <w:rPr>
                <w:color w:val="auto"/>
                <w:kern w:val="0"/>
                <w:sz w:val="24"/>
                <w:lang w:bidi="ar"/>
              </w:rPr>
              <w:t>排放源统计调查产排污核算方法和系数手册—机械行业系数手册</w:t>
            </w:r>
            <w:r>
              <w:rPr>
                <w:color w:val="auto"/>
                <w:sz w:val="24"/>
              </w:rPr>
              <w:t>》</w:t>
            </w:r>
            <w:r>
              <w:rPr>
                <w:rFonts w:eastAsiaTheme="minorEastAsia"/>
                <w:bCs/>
                <w:color w:val="auto"/>
                <w:sz w:val="24"/>
              </w:rPr>
              <w:t>（生态环境部公告2021年第24号）</w:t>
            </w:r>
            <w:r>
              <w:rPr>
                <w:color w:val="auto"/>
                <w:sz w:val="24"/>
              </w:rPr>
              <w:t>，天然气燃烧各类污染物产污系数为：SO</w:t>
            </w:r>
            <w:r>
              <w:rPr>
                <w:color w:val="auto"/>
                <w:sz w:val="24"/>
                <w:vertAlign w:val="subscript"/>
              </w:rPr>
              <w:t>2</w:t>
            </w:r>
            <w:r>
              <w:rPr>
                <w:color w:val="auto"/>
                <w:sz w:val="24"/>
              </w:rPr>
              <w:t>0.000002Skg/m</w:t>
            </w:r>
            <w:r>
              <w:rPr>
                <w:color w:val="auto"/>
                <w:sz w:val="24"/>
                <w:vertAlign w:val="superscript"/>
              </w:rPr>
              <w:t>3</w:t>
            </w:r>
            <w:r>
              <w:rPr>
                <w:color w:val="auto"/>
                <w:sz w:val="24"/>
              </w:rPr>
              <w:t>-原料,、NO</w:t>
            </w:r>
            <w:r>
              <w:rPr>
                <w:color w:val="auto"/>
                <w:sz w:val="24"/>
                <w:vertAlign w:val="subscript"/>
              </w:rPr>
              <w:t>X</w:t>
            </w:r>
            <w:r>
              <w:rPr>
                <w:color w:val="auto"/>
                <w:sz w:val="24"/>
              </w:rPr>
              <w:t>0.00187kg/m</w:t>
            </w:r>
            <w:r>
              <w:rPr>
                <w:color w:val="auto"/>
                <w:sz w:val="24"/>
                <w:vertAlign w:val="superscript"/>
              </w:rPr>
              <w:t>3</w:t>
            </w:r>
            <w:r>
              <w:rPr>
                <w:color w:val="auto"/>
                <w:sz w:val="24"/>
              </w:rPr>
              <w:t>-原料、颗粒物0.000286kg/m</w:t>
            </w:r>
            <w:r>
              <w:rPr>
                <w:color w:val="auto"/>
                <w:sz w:val="24"/>
                <w:vertAlign w:val="superscript"/>
              </w:rPr>
              <w:t>3</w:t>
            </w:r>
            <w:r>
              <w:rPr>
                <w:color w:val="auto"/>
                <w:sz w:val="24"/>
              </w:rPr>
              <w:t>-原料,</w:t>
            </w:r>
            <w:r>
              <w:rPr>
                <w:bCs/>
                <w:color w:val="auto"/>
                <w:sz w:val="24"/>
              </w:rPr>
              <w:t>其S含量取值100mg/m</w:t>
            </w:r>
            <w:r>
              <w:rPr>
                <w:bCs/>
                <w:color w:val="auto"/>
                <w:sz w:val="24"/>
                <w:vertAlign w:val="superscript"/>
              </w:rPr>
              <w:t>3</w:t>
            </w:r>
            <w:r>
              <w:rPr>
                <w:color w:val="auto"/>
                <w:sz w:val="24"/>
              </w:rPr>
              <w:t>，则SO</w:t>
            </w:r>
            <w:r>
              <w:rPr>
                <w:color w:val="auto"/>
                <w:sz w:val="24"/>
                <w:vertAlign w:val="subscript"/>
              </w:rPr>
              <w:t>2</w:t>
            </w:r>
            <w:r>
              <w:rPr>
                <w:color w:val="auto"/>
                <w:sz w:val="24"/>
              </w:rPr>
              <w:t>产生量为0.0</w:t>
            </w:r>
            <w:r>
              <w:rPr>
                <w:rFonts w:hint="eastAsia"/>
                <w:color w:val="auto"/>
                <w:sz w:val="24"/>
              </w:rPr>
              <w:t>26</w:t>
            </w:r>
            <w:r>
              <w:rPr>
                <w:color w:val="auto"/>
                <w:sz w:val="24"/>
              </w:rPr>
              <w:t>kg/h，即0.0</w:t>
            </w:r>
            <w:r>
              <w:rPr>
                <w:rFonts w:hint="eastAsia"/>
                <w:color w:val="auto"/>
                <w:sz w:val="24"/>
              </w:rPr>
              <w:t>55</w:t>
            </w:r>
            <w:r>
              <w:rPr>
                <w:color w:val="auto"/>
                <w:sz w:val="24"/>
              </w:rPr>
              <w:t>t/a，NO</w:t>
            </w:r>
            <w:r>
              <w:rPr>
                <w:color w:val="auto"/>
                <w:sz w:val="24"/>
                <w:vertAlign w:val="subscript"/>
              </w:rPr>
              <w:t>X</w:t>
            </w:r>
            <w:r>
              <w:rPr>
                <w:color w:val="auto"/>
                <w:sz w:val="24"/>
              </w:rPr>
              <w:t>产生量0.</w:t>
            </w:r>
            <w:r>
              <w:rPr>
                <w:rFonts w:hint="eastAsia"/>
                <w:color w:val="auto"/>
                <w:sz w:val="24"/>
              </w:rPr>
              <w:t>243</w:t>
            </w:r>
            <w:r>
              <w:rPr>
                <w:color w:val="auto"/>
                <w:sz w:val="24"/>
              </w:rPr>
              <w:t>kg/h，即0.</w:t>
            </w:r>
            <w:r>
              <w:rPr>
                <w:rFonts w:hint="eastAsia"/>
                <w:color w:val="auto"/>
                <w:sz w:val="24"/>
              </w:rPr>
              <w:t>511</w:t>
            </w:r>
            <w:r>
              <w:rPr>
                <w:color w:val="auto"/>
                <w:sz w:val="24"/>
              </w:rPr>
              <w:t>t/a，颗粒物0.0</w:t>
            </w:r>
            <w:r>
              <w:rPr>
                <w:rFonts w:hint="eastAsia"/>
                <w:color w:val="auto"/>
                <w:sz w:val="24"/>
              </w:rPr>
              <w:t>37</w:t>
            </w:r>
            <w:r>
              <w:rPr>
                <w:color w:val="auto"/>
                <w:sz w:val="24"/>
              </w:rPr>
              <w:t>kg/h，即0.0</w:t>
            </w:r>
            <w:r>
              <w:rPr>
                <w:rFonts w:hint="eastAsia"/>
                <w:color w:val="auto"/>
                <w:sz w:val="24"/>
              </w:rPr>
              <w:t>78</w:t>
            </w:r>
            <w:r>
              <w:rPr>
                <w:color w:val="auto"/>
                <w:sz w:val="24"/>
              </w:rPr>
              <w:t>t/a</w:t>
            </w:r>
            <w:r>
              <w:rPr>
                <w:rFonts w:hint="eastAsia"/>
                <w:color w:val="auto"/>
                <w:sz w:val="24"/>
              </w:rPr>
              <w:t>。</w:t>
            </w:r>
          </w:p>
          <w:p>
            <w:pPr>
              <w:pStyle w:val="15"/>
              <w:snapToGrid w:val="0"/>
              <w:spacing w:after="0" w:line="360" w:lineRule="auto"/>
              <w:ind w:left="0" w:leftChars="0" w:firstLine="480" w:firstLineChars="200"/>
              <w:rPr>
                <w:color w:val="auto"/>
                <w:sz w:val="24"/>
              </w:rPr>
            </w:pPr>
            <w:r>
              <w:rPr>
                <w:rFonts w:hint="eastAsia"/>
                <w:color w:val="auto"/>
                <w:sz w:val="24"/>
                <w:lang w:eastAsia="zh-CN"/>
              </w:rPr>
              <w:t>扩建项目</w:t>
            </w:r>
            <w:r>
              <w:rPr>
                <w:rFonts w:hint="eastAsia"/>
                <w:color w:val="auto"/>
                <w:sz w:val="24"/>
              </w:rPr>
              <w:t>共设置2条拉幅定型无纺布生产线，</w:t>
            </w:r>
            <w:r>
              <w:rPr>
                <w:color w:val="auto"/>
                <w:sz w:val="24"/>
              </w:rPr>
              <w:t>在</w:t>
            </w:r>
            <w:r>
              <w:rPr>
                <w:rFonts w:hint="eastAsia"/>
                <w:color w:val="auto"/>
                <w:sz w:val="24"/>
              </w:rPr>
              <w:t>涂胶工位、烘道进口、出口处设置集气罩，</w:t>
            </w:r>
            <w:r>
              <w:rPr>
                <w:color w:val="auto"/>
                <w:sz w:val="24"/>
              </w:rPr>
              <w:t>采用负压抽风的方式收集废气，</w:t>
            </w:r>
            <w:r>
              <w:rPr>
                <w:rFonts w:hint="eastAsia"/>
                <w:color w:val="auto"/>
                <w:sz w:val="24"/>
              </w:rPr>
              <w:t>其风量核算见表4.1。</w:t>
            </w:r>
          </w:p>
          <w:p>
            <w:pPr>
              <w:pStyle w:val="15"/>
              <w:snapToGrid w:val="0"/>
              <w:spacing w:after="0" w:line="360" w:lineRule="auto"/>
              <w:ind w:left="0" w:leftChars="0"/>
              <w:jc w:val="center"/>
              <w:rPr>
                <w:color w:val="auto"/>
                <w:sz w:val="21"/>
                <w:szCs w:val="21"/>
              </w:rPr>
            </w:pPr>
            <w:r>
              <w:rPr>
                <w:rFonts w:hint="eastAsia"/>
                <w:color w:val="auto"/>
                <w:sz w:val="21"/>
                <w:szCs w:val="21"/>
              </w:rPr>
              <w:t>表4.1 涂胶、固化工序风量核算一览表</w:t>
            </w:r>
          </w:p>
          <w:tbl>
            <w:tblPr>
              <w:tblStyle w:val="23"/>
              <w:tblW w:w="4995"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947"/>
              <w:gridCol w:w="1440"/>
              <w:gridCol w:w="1385"/>
              <w:gridCol w:w="1349"/>
              <w:gridCol w:w="1162"/>
              <w:gridCol w:w="138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7" w:type="pct"/>
                  <w:tcBorders>
                    <w:tl2br w:val="nil"/>
                    <w:tr2bl w:val="nil"/>
                  </w:tcBorders>
                  <w:vAlign w:val="center"/>
                </w:tcPr>
                <w:p>
                  <w:pPr>
                    <w:pStyle w:val="15"/>
                    <w:adjustRightInd w:val="0"/>
                    <w:snapToGrid w:val="0"/>
                    <w:spacing w:after="0" w:line="240" w:lineRule="auto"/>
                    <w:ind w:left="0" w:leftChars="0"/>
                    <w:jc w:val="center"/>
                    <w:rPr>
                      <w:color w:val="auto"/>
                    </w:rPr>
                  </w:pPr>
                  <w:r>
                    <w:rPr>
                      <w:color w:val="auto"/>
                    </w:rPr>
                    <w:t>序号</w:t>
                  </w:r>
                </w:p>
              </w:tc>
              <w:tc>
                <w:tcPr>
                  <w:tcW w:w="581" w:type="pct"/>
                  <w:tcBorders>
                    <w:tl2br w:val="nil"/>
                    <w:tr2bl w:val="nil"/>
                  </w:tcBorders>
                  <w:vAlign w:val="center"/>
                </w:tcPr>
                <w:p>
                  <w:pPr>
                    <w:pStyle w:val="15"/>
                    <w:adjustRightInd w:val="0"/>
                    <w:snapToGrid w:val="0"/>
                    <w:spacing w:after="0" w:line="240" w:lineRule="auto"/>
                    <w:ind w:left="0" w:leftChars="0"/>
                    <w:jc w:val="center"/>
                    <w:rPr>
                      <w:color w:val="auto"/>
                    </w:rPr>
                  </w:pPr>
                  <w:r>
                    <w:rPr>
                      <w:color w:val="auto"/>
                    </w:rPr>
                    <w:t>生产工序</w:t>
                  </w:r>
                </w:p>
              </w:tc>
              <w:tc>
                <w:tcPr>
                  <w:tcW w:w="884" w:type="pct"/>
                  <w:tcBorders>
                    <w:tl2br w:val="nil"/>
                    <w:tr2bl w:val="nil"/>
                  </w:tcBorders>
                  <w:vAlign w:val="center"/>
                </w:tcPr>
                <w:p>
                  <w:pPr>
                    <w:pStyle w:val="15"/>
                    <w:adjustRightInd w:val="0"/>
                    <w:snapToGrid w:val="0"/>
                    <w:spacing w:after="0" w:line="240" w:lineRule="auto"/>
                    <w:ind w:left="0" w:leftChars="0"/>
                    <w:jc w:val="center"/>
                    <w:rPr>
                      <w:color w:val="auto"/>
                    </w:rPr>
                  </w:pPr>
                  <w:r>
                    <w:rPr>
                      <w:color w:val="auto"/>
                    </w:rPr>
                    <w:t>集气罩尺寸</w:t>
                  </w:r>
                </w:p>
              </w:tc>
              <w:tc>
                <w:tcPr>
                  <w:tcW w:w="850" w:type="pct"/>
                  <w:tcBorders>
                    <w:tl2br w:val="nil"/>
                    <w:tr2bl w:val="nil"/>
                  </w:tcBorders>
                  <w:vAlign w:val="center"/>
                </w:tcPr>
                <w:p>
                  <w:pPr>
                    <w:pStyle w:val="15"/>
                    <w:adjustRightInd w:val="0"/>
                    <w:snapToGrid w:val="0"/>
                    <w:spacing w:after="0" w:line="240" w:lineRule="auto"/>
                    <w:ind w:left="0" w:leftChars="0"/>
                    <w:jc w:val="center"/>
                    <w:rPr>
                      <w:color w:val="auto"/>
                    </w:rPr>
                  </w:pPr>
                  <w:r>
                    <w:rPr>
                      <w:rFonts w:hint="eastAsia"/>
                      <w:color w:val="auto"/>
                    </w:rPr>
                    <w:t>控制点距离</w:t>
                  </w:r>
                </w:p>
              </w:tc>
              <w:tc>
                <w:tcPr>
                  <w:tcW w:w="828" w:type="pct"/>
                  <w:tcBorders>
                    <w:tl2br w:val="nil"/>
                    <w:tr2bl w:val="nil"/>
                  </w:tcBorders>
                  <w:vAlign w:val="center"/>
                </w:tcPr>
                <w:p>
                  <w:pPr>
                    <w:pStyle w:val="15"/>
                    <w:adjustRightInd w:val="0"/>
                    <w:snapToGrid w:val="0"/>
                    <w:spacing w:after="0" w:line="240" w:lineRule="auto"/>
                    <w:ind w:left="0" w:leftChars="0"/>
                    <w:jc w:val="center"/>
                    <w:rPr>
                      <w:color w:val="auto"/>
                    </w:rPr>
                  </w:pPr>
                  <w:r>
                    <w:rPr>
                      <w:rFonts w:hint="eastAsia"/>
                      <w:color w:val="auto"/>
                    </w:rPr>
                    <w:t>控制</w:t>
                  </w:r>
                  <w:r>
                    <w:rPr>
                      <w:color w:val="auto"/>
                    </w:rPr>
                    <w:t>点风速</w:t>
                  </w:r>
                </w:p>
              </w:tc>
              <w:tc>
                <w:tcPr>
                  <w:tcW w:w="713" w:type="pct"/>
                  <w:tcBorders>
                    <w:tl2br w:val="nil"/>
                    <w:tr2bl w:val="nil"/>
                  </w:tcBorders>
                  <w:vAlign w:val="center"/>
                </w:tcPr>
                <w:p>
                  <w:pPr>
                    <w:pStyle w:val="15"/>
                    <w:adjustRightInd w:val="0"/>
                    <w:snapToGrid w:val="0"/>
                    <w:spacing w:after="0" w:line="240" w:lineRule="auto"/>
                    <w:ind w:left="0" w:leftChars="0"/>
                    <w:jc w:val="center"/>
                    <w:rPr>
                      <w:color w:val="auto"/>
                    </w:rPr>
                  </w:pPr>
                  <w:r>
                    <w:rPr>
                      <w:rFonts w:hint="eastAsia"/>
                      <w:color w:val="auto"/>
                    </w:rPr>
                    <w:t>数量</w:t>
                  </w:r>
                </w:p>
              </w:tc>
              <w:tc>
                <w:tcPr>
                  <w:tcW w:w="845" w:type="pct"/>
                  <w:tcBorders>
                    <w:tl2br w:val="nil"/>
                    <w:tr2bl w:val="nil"/>
                  </w:tcBorders>
                  <w:vAlign w:val="center"/>
                </w:tcPr>
                <w:p>
                  <w:pPr>
                    <w:pStyle w:val="15"/>
                    <w:adjustRightInd w:val="0"/>
                    <w:snapToGrid w:val="0"/>
                    <w:spacing w:after="0" w:line="240" w:lineRule="auto"/>
                    <w:ind w:left="0" w:leftChars="0"/>
                    <w:jc w:val="center"/>
                    <w:rPr>
                      <w:color w:val="auto"/>
                    </w:rPr>
                  </w:pPr>
                  <w:r>
                    <w:rPr>
                      <w:color w:val="auto"/>
                    </w:rPr>
                    <w:t>最小风量（m</w:t>
                  </w:r>
                  <w:r>
                    <w:rPr>
                      <w:color w:val="auto"/>
                      <w:vertAlign w:val="superscript"/>
                    </w:rPr>
                    <w:t>3</w:t>
                  </w:r>
                  <w:r>
                    <w:rPr>
                      <w:color w:val="auto"/>
                    </w:rPr>
                    <w:t>/h）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 w:type="pct"/>
                  <w:tcBorders>
                    <w:tl2br w:val="nil"/>
                    <w:tr2bl w:val="nil"/>
                  </w:tcBorders>
                  <w:vAlign w:val="center"/>
                </w:tcPr>
                <w:p>
                  <w:pPr>
                    <w:pStyle w:val="15"/>
                    <w:adjustRightInd w:val="0"/>
                    <w:snapToGrid w:val="0"/>
                    <w:spacing w:after="0" w:line="240" w:lineRule="auto"/>
                    <w:ind w:left="0" w:leftChars="0"/>
                    <w:jc w:val="center"/>
                    <w:rPr>
                      <w:color w:val="auto"/>
                    </w:rPr>
                  </w:pPr>
                  <w:r>
                    <w:rPr>
                      <w:rFonts w:hint="eastAsia"/>
                      <w:color w:val="auto"/>
                    </w:rPr>
                    <w:t>1</w:t>
                  </w:r>
                </w:p>
              </w:tc>
              <w:tc>
                <w:tcPr>
                  <w:tcW w:w="581" w:type="pct"/>
                  <w:tcBorders>
                    <w:tl2br w:val="nil"/>
                    <w:tr2bl w:val="nil"/>
                  </w:tcBorders>
                  <w:vAlign w:val="center"/>
                </w:tcPr>
                <w:p>
                  <w:pPr>
                    <w:pStyle w:val="15"/>
                    <w:adjustRightInd w:val="0"/>
                    <w:snapToGrid w:val="0"/>
                    <w:spacing w:after="0" w:line="240" w:lineRule="auto"/>
                    <w:ind w:left="0" w:leftChars="0"/>
                    <w:jc w:val="center"/>
                    <w:rPr>
                      <w:color w:val="auto"/>
                    </w:rPr>
                  </w:pPr>
                  <w:r>
                    <w:rPr>
                      <w:rFonts w:hint="eastAsia"/>
                      <w:color w:val="auto"/>
                    </w:rPr>
                    <w:t>涂胶</w:t>
                  </w:r>
                </w:p>
              </w:tc>
              <w:tc>
                <w:tcPr>
                  <w:tcW w:w="884" w:type="pct"/>
                  <w:tcBorders>
                    <w:tl2br w:val="nil"/>
                    <w:tr2bl w:val="nil"/>
                  </w:tcBorders>
                  <w:vAlign w:val="center"/>
                </w:tcPr>
                <w:p>
                  <w:pPr>
                    <w:pStyle w:val="15"/>
                    <w:adjustRightInd w:val="0"/>
                    <w:snapToGrid w:val="0"/>
                    <w:spacing w:after="0" w:line="240" w:lineRule="auto"/>
                    <w:ind w:left="0" w:leftChars="0"/>
                    <w:jc w:val="center"/>
                    <w:rPr>
                      <w:color w:val="auto"/>
                    </w:rPr>
                  </w:pPr>
                  <w:r>
                    <w:rPr>
                      <w:rFonts w:hint="eastAsia"/>
                      <w:color w:val="auto"/>
                    </w:rPr>
                    <w:t>1600</w:t>
                  </w:r>
                  <w:r>
                    <w:rPr>
                      <w:color w:val="auto"/>
                    </w:rPr>
                    <w:t>×</w:t>
                  </w:r>
                  <w:r>
                    <w:rPr>
                      <w:rFonts w:hint="eastAsia"/>
                      <w:color w:val="auto"/>
                    </w:rPr>
                    <w:t>300</w:t>
                  </w:r>
                  <w:r>
                    <w:rPr>
                      <w:color w:val="auto"/>
                    </w:rPr>
                    <w:t>mm</w:t>
                  </w:r>
                </w:p>
              </w:tc>
              <w:tc>
                <w:tcPr>
                  <w:tcW w:w="850" w:type="pct"/>
                  <w:tcBorders>
                    <w:tl2br w:val="nil"/>
                    <w:tr2bl w:val="nil"/>
                  </w:tcBorders>
                  <w:vAlign w:val="center"/>
                </w:tcPr>
                <w:p>
                  <w:pPr>
                    <w:pStyle w:val="15"/>
                    <w:adjustRightInd w:val="0"/>
                    <w:snapToGrid w:val="0"/>
                    <w:spacing w:after="0" w:line="240" w:lineRule="auto"/>
                    <w:ind w:left="0" w:leftChars="0"/>
                    <w:jc w:val="center"/>
                    <w:rPr>
                      <w:color w:val="auto"/>
                    </w:rPr>
                  </w:pPr>
                  <w:r>
                    <w:rPr>
                      <w:rFonts w:hint="eastAsia"/>
                      <w:color w:val="auto"/>
                    </w:rPr>
                    <w:t>0.4m</w:t>
                  </w:r>
                </w:p>
              </w:tc>
              <w:tc>
                <w:tcPr>
                  <w:tcW w:w="828" w:type="pct"/>
                  <w:tcBorders>
                    <w:tl2br w:val="nil"/>
                    <w:tr2bl w:val="nil"/>
                  </w:tcBorders>
                  <w:vAlign w:val="center"/>
                </w:tcPr>
                <w:p>
                  <w:pPr>
                    <w:pStyle w:val="15"/>
                    <w:adjustRightInd w:val="0"/>
                    <w:snapToGrid w:val="0"/>
                    <w:spacing w:after="0" w:line="240" w:lineRule="auto"/>
                    <w:ind w:left="0" w:leftChars="0"/>
                    <w:jc w:val="center"/>
                    <w:rPr>
                      <w:color w:val="auto"/>
                    </w:rPr>
                  </w:pPr>
                  <w:r>
                    <w:rPr>
                      <w:color w:val="auto"/>
                    </w:rPr>
                    <w:t>0.3m/s</w:t>
                  </w:r>
                </w:p>
              </w:tc>
              <w:tc>
                <w:tcPr>
                  <w:tcW w:w="713" w:type="pct"/>
                  <w:tcBorders>
                    <w:tl2br w:val="nil"/>
                    <w:tr2bl w:val="nil"/>
                  </w:tcBorders>
                  <w:vAlign w:val="center"/>
                </w:tcPr>
                <w:p>
                  <w:pPr>
                    <w:pStyle w:val="15"/>
                    <w:adjustRightInd w:val="0"/>
                    <w:snapToGrid w:val="0"/>
                    <w:spacing w:after="0" w:line="240" w:lineRule="auto"/>
                    <w:ind w:left="0" w:leftChars="0"/>
                    <w:jc w:val="center"/>
                    <w:rPr>
                      <w:color w:val="auto"/>
                    </w:rPr>
                  </w:pPr>
                  <w:r>
                    <w:rPr>
                      <w:rFonts w:hint="eastAsia"/>
                      <w:color w:val="auto"/>
                    </w:rPr>
                    <w:t>2个</w:t>
                  </w:r>
                </w:p>
              </w:tc>
              <w:tc>
                <w:tcPr>
                  <w:tcW w:w="845" w:type="pct"/>
                  <w:tcBorders>
                    <w:tl2br w:val="nil"/>
                    <w:tr2bl w:val="nil"/>
                  </w:tcBorders>
                  <w:vAlign w:val="center"/>
                </w:tcPr>
                <w:p>
                  <w:pPr>
                    <w:pStyle w:val="15"/>
                    <w:adjustRightInd w:val="0"/>
                    <w:snapToGrid w:val="0"/>
                    <w:spacing w:after="0" w:line="240" w:lineRule="auto"/>
                    <w:ind w:left="0" w:leftChars="0"/>
                    <w:jc w:val="center"/>
                    <w:rPr>
                      <w:color w:val="auto"/>
                    </w:rPr>
                  </w:pPr>
                  <w:r>
                    <w:rPr>
                      <w:rFonts w:hint="eastAsia"/>
                      <w:color w:val="auto"/>
                    </w:rPr>
                    <w:t>4595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 w:type="pct"/>
                  <w:tcBorders>
                    <w:tl2br w:val="nil"/>
                    <w:tr2bl w:val="nil"/>
                  </w:tcBorders>
                  <w:vAlign w:val="center"/>
                </w:tcPr>
                <w:p>
                  <w:pPr>
                    <w:pStyle w:val="15"/>
                    <w:adjustRightInd w:val="0"/>
                    <w:snapToGrid w:val="0"/>
                    <w:spacing w:after="0" w:line="240" w:lineRule="auto"/>
                    <w:ind w:left="0" w:leftChars="0"/>
                    <w:jc w:val="center"/>
                    <w:rPr>
                      <w:color w:val="auto"/>
                    </w:rPr>
                  </w:pPr>
                  <w:r>
                    <w:rPr>
                      <w:rFonts w:hint="eastAsia"/>
                      <w:color w:val="auto"/>
                    </w:rPr>
                    <w:t>2</w:t>
                  </w:r>
                </w:p>
              </w:tc>
              <w:tc>
                <w:tcPr>
                  <w:tcW w:w="581" w:type="pct"/>
                  <w:tcBorders>
                    <w:tl2br w:val="nil"/>
                    <w:tr2bl w:val="nil"/>
                  </w:tcBorders>
                  <w:vAlign w:val="center"/>
                </w:tcPr>
                <w:p>
                  <w:pPr>
                    <w:pStyle w:val="15"/>
                    <w:adjustRightInd w:val="0"/>
                    <w:snapToGrid w:val="0"/>
                    <w:spacing w:after="0" w:line="240" w:lineRule="auto"/>
                    <w:ind w:left="0" w:leftChars="0"/>
                    <w:jc w:val="center"/>
                    <w:rPr>
                      <w:color w:val="auto"/>
                    </w:rPr>
                  </w:pPr>
                  <w:r>
                    <w:rPr>
                      <w:rFonts w:hint="eastAsia"/>
                      <w:color w:val="auto"/>
                    </w:rPr>
                    <w:t>烘干</w:t>
                  </w:r>
                </w:p>
              </w:tc>
              <w:tc>
                <w:tcPr>
                  <w:tcW w:w="1440" w:type="dxa"/>
                  <w:tcBorders>
                    <w:tl2br w:val="nil"/>
                    <w:tr2bl w:val="nil"/>
                  </w:tcBorders>
                  <w:vAlign w:val="center"/>
                </w:tcPr>
                <w:p>
                  <w:pPr>
                    <w:pStyle w:val="15"/>
                    <w:adjustRightInd w:val="0"/>
                    <w:snapToGrid w:val="0"/>
                    <w:spacing w:after="0" w:line="240" w:lineRule="auto"/>
                    <w:ind w:left="0" w:leftChars="0"/>
                    <w:jc w:val="center"/>
                    <w:rPr>
                      <w:color w:val="auto"/>
                    </w:rPr>
                  </w:pPr>
                  <w:r>
                    <w:rPr>
                      <w:rFonts w:hint="eastAsia"/>
                      <w:color w:val="auto"/>
                    </w:rPr>
                    <w:t>1600</w:t>
                  </w:r>
                  <w:r>
                    <w:rPr>
                      <w:color w:val="auto"/>
                    </w:rPr>
                    <w:t>×</w:t>
                  </w:r>
                  <w:r>
                    <w:rPr>
                      <w:rFonts w:hint="eastAsia"/>
                      <w:color w:val="auto"/>
                    </w:rPr>
                    <w:t>300</w:t>
                  </w:r>
                  <w:r>
                    <w:rPr>
                      <w:color w:val="auto"/>
                    </w:rPr>
                    <w:t>mm</w:t>
                  </w:r>
                </w:p>
              </w:tc>
              <w:tc>
                <w:tcPr>
                  <w:tcW w:w="1385" w:type="dxa"/>
                  <w:tcBorders>
                    <w:tl2br w:val="nil"/>
                    <w:tr2bl w:val="nil"/>
                  </w:tcBorders>
                  <w:vAlign w:val="center"/>
                </w:tcPr>
                <w:p>
                  <w:pPr>
                    <w:pStyle w:val="15"/>
                    <w:adjustRightInd w:val="0"/>
                    <w:snapToGrid w:val="0"/>
                    <w:spacing w:after="0" w:line="240" w:lineRule="auto"/>
                    <w:ind w:left="0" w:leftChars="0"/>
                    <w:jc w:val="center"/>
                    <w:rPr>
                      <w:color w:val="auto"/>
                    </w:rPr>
                  </w:pPr>
                  <w:r>
                    <w:rPr>
                      <w:rFonts w:hint="eastAsia"/>
                      <w:color w:val="auto"/>
                    </w:rPr>
                    <w:t>0.2m</w:t>
                  </w:r>
                </w:p>
              </w:tc>
              <w:tc>
                <w:tcPr>
                  <w:tcW w:w="1349" w:type="dxa"/>
                  <w:tcBorders>
                    <w:tl2br w:val="nil"/>
                    <w:tr2bl w:val="nil"/>
                  </w:tcBorders>
                  <w:vAlign w:val="center"/>
                </w:tcPr>
                <w:p>
                  <w:pPr>
                    <w:pStyle w:val="15"/>
                    <w:adjustRightInd w:val="0"/>
                    <w:snapToGrid w:val="0"/>
                    <w:spacing w:after="0" w:line="240" w:lineRule="auto"/>
                    <w:ind w:left="0" w:leftChars="0"/>
                    <w:jc w:val="center"/>
                    <w:rPr>
                      <w:color w:val="auto"/>
                    </w:rPr>
                  </w:pPr>
                  <w:r>
                    <w:rPr>
                      <w:color w:val="auto"/>
                    </w:rPr>
                    <w:t>0.3m/s</w:t>
                  </w:r>
                </w:p>
              </w:tc>
              <w:tc>
                <w:tcPr>
                  <w:tcW w:w="1162" w:type="dxa"/>
                  <w:tcBorders>
                    <w:tl2br w:val="nil"/>
                    <w:tr2bl w:val="nil"/>
                  </w:tcBorders>
                  <w:vAlign w:val="center"/>
                </w:tcPr>
                <w:p>
                  <w:pPr>
                    <w:pStyle w:val="15"/>
                    <w:adjustRightInd w:val="0"/>
                    <w:snapToGrid w:val="0"/>
                    <w:spacing w:after="0" w:line="240" w:lineRule="auto"/>
                    <w:ind w:left="0" w:leftChars="0"/>
                    <w:jc w:val="center"/>
                    <w:rPr>
                      <w:color w:val="auto"/>
                    </w:rPr>
                  </w:pPr>
                  <w:r>
                    <w:rPr>
                      <w:rFonts w:hint="eastAsia"/>
                      <w:color w:val="auto"/>
                    </w:rPr>
                    <w:t>4个</w:t>
                  </w:r>
                </w:p>
              </w:tc>
              <w:tc>
                <w:tcPr>
                  <w:tcW w:w="1380" w:type="dxa"/>
                  <w:tcBorders>
                    <w:tl2br w:val="nil"/>
                    <w:tr2bl w:val="nil"/>
                  </w:tcBorders>
                  <w:vAlign w:val="center"/>
                </w:tcPr>
                <w:p>
                  <w:pPr>
                    <w:pStyle w:val="15"/>
                    <w:adjustRightInd w:val="0"/>
                    <w:snapToGrid w:val="0"/>
                    <w:spacing w:after="0" w:line="240" w:lineRule="auto"/>
                    <w:ind w:left="0" w:leftChars="0"/>
                    <w:jc w:val="center"/>
                    <w:rPr>
                      <w:color w:val="auto"/>
                    </w:rPr>
                  </w:pPr>
                  <w:r>
                    <w:rPr>
                      <w:rFonts w:hint="eastAsia"/>
                      <w:color w:val="auto"/>
                    </w:rPr>
                    <w:t>4595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7"/>
                  <w:tcBorders>
                    <w:tl2br w:val="nil"/>
                    <w:tr2bl w:val="nil"/>
                  </w:tcBorders>
                  <w:vAlign w:val="center"/>
                </w:tcPr>
                <w:p>
                  <w:pPr>
                    <w:pStyle w:val="15"/>
                    <w:adjustRightInd w:val="0"/>
                    <w:snapToGrid w:val="0"/>
                    <w:spacing w:after="0" w:line="240" w:lineRule="auto"/>
                    <w:ind w:left="0" w:leftChars="0"/>
                    <w:rPr>
                      <w:color w:val="auto"/>
                    </w:rPr>
                  </w:pPr>
                  <w:r>
                    <w:rPr>
                      <w:color w:val="auto"/>
                    </w:rPr>
                    <w:t>备注：Q=1.4·p·h·v·</w:t>
                  </w:r>
                  <w:r>
                    <w:rPr>
                      <w:rFonts w:hint="eastAsia"/>
                      <w:color w:val="auto"/>
                    </w:rPr>
                    <w:t>3600</w:t>
                  </w:r>
                  <w:r>
                    <w:rPr>
                      <w:color w:val="auto"/>
                    </w:rPr>
                    <w:t>；Q-最小风量，m</w:t>
                  </w:r>
                  <w:r>
                    <w:rPr>
                      <w:color w:val="auto"/>
                      <w:vertAlign w:val="superscript"/>
                    </w:rPr>
                    <w:t>3</w:t>
                  </w:r>
                  <w:r>
                    <w:rPr>
                      <w:color w:val="auto"/>
                    </w:rPr>
                    <w:t>/h，p-集气罩周长，m；h-</w:t>
                  </w:r>
                  <w:r>
                    <w:rPr>
                      <w:rFonts w:hint="eastAsia"/>
                      <w:color w:val="auto"/>
                    </w:rPr>
                    <w:t>控制点</w:t>
                  </w:r>
                  <w:r>
                    <w:rPr>
                      <w:color w:val="auto"/>
                    </w:rPr>
                    <w:t>距离，m，v-</w:t>
                  </w:r>
                  <w:r>
                    <w:rPr>
                      <w:rFonts w:hint="eastAsia"/>
                      <w:color w:val="auto"/>
                    </w:rPr>
                    <w:t>控制点收集</w:t>
                  </w:r>
                  <w:r>
                    <w:rPr>
                      <w:color w:val="auto"/>
                    </w:rPr>
                    <w:t>风速，m/s</w:t>
                  </w:r>
                </w:p>
              </w:tc>
            </w:tr>
          </w:tbl>
          <w:p>
            <w:pPr>
              <w:autoSpaceDE w:val="0"/>
              <w:autoSpaceDN w:val="0"/>
              <w:adjustRightInd w:val="0"/>
              <w:snapToGrid w:val="0"/>
              <w:spacing w:line="360" w:lineRule="auto"/>
              <w:ind w:firstLine="480" w:firstLineChars="200"/>
              <w:rPr>
                <w:color w:val="auto"/>
                <w:sz w:val="24"/>
              </w:rPr>
            </w:pPr>
            <w:r>
              <w:rPr>
                <w:color w:val="auto"/>
                <w:sz w:val="24"/>
                <w:highlight w:val="none"/>
              </w:rPr>
              <w:t>由表4.</w:t>
            </w:r>
            <w:r>
              <w:rPr>
                <w:rFonts w:hint="eastAsia"/>
                <w:color w:val="auto"/>
                <w:sz w:val="24"/>
                <w:highlight w:val="none"/>
              </w:rPr>
              <w:t>1</w:t>
            </w:r>
            <w:r>
              <w:rPr>
                <w:color w:val="auto"/>
                <w:sz w:val="24"/>
                <w:highlight w:val="none"/>
              </w:rPr>
              <w:t>可知：</w:t>
            </w:r>
            <w:r>
              <w:rPr>
                <w:rFonts w:hint="eastAsia"/>
                <w:color w:val="auto"/>
                <w:sz w:val="24"/>
                <w:highlight w:val="none"/>
              </w:rPr>
              <w:t>涂胶、固化工序</w:t>
            </w:r>
            <w:r>
              <w:rPr>
                <w:color w:val="auto"/>
                <w:sz w:val="24"/>
                <w:highlight w:val="none"/>
              </w:rPr>
              <w:t>工序废气收集最小风量</w:t>
            </w:r>
            <w:r>
              <w:rPr>
                <w:rFonts w:hint="eastAsia"/>
                <w:color w:val="auto"/>
                <w:sz w:val="24"/>
                <w:highlight w:val="none"/>
              </w:rPr>
              <w:t>均</w:t>
            </w:r>
            <w:r>
              <w:rPr>
                <w:color w:val="auto"/>
                <w:sz w:val="24"/>
                <w:highlight w:val="none"/>
              </w:rPr>
              <w:t>为</w:t>
            </w:r>
            <w:r>
              <w:rPr>
                <w:rFonts w:hint="eastAsia"/>
                <w:color w:val="auto"/>
                <w:sz w:val="24"/>
                <w:highlight w:val="none"/>
              </w:rPr>
              <w:t>9193</w:t>
            </w:r>
            <w:r>
              <w:rPr>
                <w:color w:val="auto"/>
                <w:sz w:val="24"/>
                <w:highlight w:val="none"/>
              </w:rPr>
              <w:t>m</w:t>
            </w:r>
            <w:r>
              <w:rPr>
                <w:color w:val="auto"/>
                <w:sz w:val="24"/>
                <w:highlight w:val="none"/>
                <w:vertAlign w:val="superscript"/>
              </w:rPr>
              <w:t>3</w:t>
            </w:r>
            <w:r>
              <w:rPr>
                <w:color w:val="auto"/>
                <w:sz w:val="24"/>
                <w:highlight w:val="none"/>
              </w:rPr>
              <w:t>/h，风机风量</w:t>
            </w:r>
            <w:r>
              <w:rPr>
                <w:rFonts w:hint="eastAsia"/>
                <w:color w:val="auto"/>
                <w:sz w:val="24"/>
                <w:highlight w:val="none"/>
              </w:rPr>
              <w:t>均</w:t>
            </w:r>
            <w:r>
              <w:rPr>
                <w:color w:val="auto"/>
                <w:sz w:val="24"/>
                <w:highlight w:val="none"/>
              </w:rPr>
              <w:t>取</w:t>
            </w:r>
            <w:r>
              <w:rPr>
                <w:rFonts w:hint="eastAsia"/>
                <w:color w:val="auto"/>
                <w:sz w:val="24"/>
                <w:highlight w:val="none"/>
              </w:rPr>
              <w:t>10000</w:t>
            </w:r>
            <w:r>
              <w:rPr>
                <w:color w:val="auto"/>
                <w:sz w:val="24"/>
                <w:highlight w:val="none"/>
              </w:rPr>
              <w:t>m</w:t>
            </w:r>
            <w:r>
              <w:rPr>
                <w:color w:val="auto"/>
                <w:sz w:val="24"/>
                <w:highlight w:val="none"/>
                <w:vertAlign w:val="superscript"/>
              </w:rPr>
              <w:t>3</w:t>
            </w:r>
            <w:r>
              <w:rPr>
                <w:color w:val="auto"/>
                <w:sz w:val="24"/>
                <w:highlight w:val="none"/>
              </w:rPr>
              <w:t>/h，收集效率取</w:t>
            </w:r>
            <w:r>
              <w:rPr>
                <w:rFonts w:hint="eastAsia"/>
                <w:color w:val="auto"/>
                <w:sz w:val="24"/>
                <w:highlight w:val="none"/>
              </w:rPr>
              <w:t>80</w:t>
            </w:r>
            <w:r>
              <w:rPr>
                <w:color w:val="auto"/>
                <w:sz w:val="24"/>
                <w:highlight w:val="none"/>
              </w:rPr>
              <w:t>%</w:t>
            </w:r>
            <w:r>
              <w:rPr>
                <w:rFonts w:hint="eastAsia"/>
                <w:color w:val="auto"/>
                <w:sz w:val="24"/>
                <w:highlight w:val="none"/>
              </w:rPr>
              <w:t>；非甲烷总烃经集气罩收集后采用</w:t>
            </w:r>
            <w:r>
              <w:rPr>
                <w:rFonts w:hint="eastAsia"/>
                <w:color w:val="auto"/>
                <w:sz w:val="24"/>
                <w:highlight w:val="none"/>
                <w:lang w:eastAsia="zh-CN"/>
              </w:rPr>
              <w:t>“</w:t>
            </w:r>
            <w:r>
              <w:rPr>
                <w:rFonts w:hint="eastAsia"/>
                <w:color w:val="auto"/>
                <w:sz w:val="24"/>
                <w:highlight w:val="none"/>
                <w:lang w:val="en-US" w:eastAsia="zh-CN"/>
              </w:rPr>
              <w:t>UV光解+</w:t>
            </w:r>
            <w:r>
              <w:rPr>
                <w:rFonts w:hint="eastAsia"/>
                <w:color w:val="auto"/>
                <w:sz w:val="24"/>
                <w:highlight w:val="none"/>
              </w:rPr>
              <w:t>二级活性炭吸附</w:t>
            </w:r>
            <w:r>
              <w:rPr>
                <w:rFonts w:hint="eastAsia"/>
                <w:color w:val="auto"/>
                <w:sz w:val="24"/>
                <w:highlight w:val="none"/>
                <w:lang w:eastAsia="zh-CN"/>
              </w:rPr>
              <w:t>”</w:t>
            </w:r>
            <w:r>
              <w:rPr>
                <w:rFonts w:hint="eastAsia"/>
                <w:color w:val="auto"/>
                <w:sz w:val="24"/>
                <w:highlight w:val="none"/>
              </w:rPr>
              <w:t>，最后引至15m高的3#排气筒排放，根据</w:t>
            </w:r>
            <w:r>
              <w:rPr>
                <w:color w:val="auto"/>
                <w:sz w:val="24"/>
                <w:highlight w:val="none"/>
              </w:rPr>
              <w:t>《第二次全国污染源普</w:t>
            </w:r>
            <w:r>
              <w:rPr>
                <w:rFonts w:hint="default" w:ascii="Times New Roman" w:hAnsi="Times New Roman" w:cs="Times New Roman"/>
                <w:color w:val="auto"/>
                <w:sz w:val="24"/>
                <w:highlight w:val="none"/>
              </w:rPr>
              <w:t>查产排污核算系数手册》中“</w:t>
            </w:r>
            <w:r>
              <w:rPr>
                <w:rFonts w:hint="default" w:ascii="Times New Roman" w:hAnsi="Times New Roman" w:cs="Times New Roman"/>
                <w:color w:val="auto"/>
                <w:kern w:val="0"/>
                <w:sz w:val="24"/>
                <w:highlight w:val="none"/>
                <w:lang w:bidi="ar"/>
              </w:rPr>
              <w:t>33金属制品业、34通用设备制造业、35专用设备制造业、36汽车制造业、37铁路、船舶、航空航天和其他运输设备制造业、431金属制品修理、432通用设备修理、433专用设备修理、434铁路、船舶、航空航天等运输设备修理（不包括电镀工艺）行业系数手册</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光解的处理效率为</w:t>
            </w:r>
            <w:r>
              <w:rPr>
                <w:rFonts w:hint="default" w:ascii="Times New Roman" w:hAnsi="Times New Roman" w:cs="Times New Roman"/>
                <w:color w:val="auto"/>
                <w:sz w:val="24"/>
                <w:highlight w:val="none"/>
                <w:lang w:val="en-US" w:eastAsia="zh-CN"/>
              </w:rPr>
              <w:t>30%；</w:t>
            </w:r>
            <w:r>
              <w:rPr>
                <w:rFonts w:hint="default" w:ascii="Times New Roman" w:hAnsi="Times New Roman" w:cs="Times New Roman"/>
                <w:color w:val="auto"/>
                <w:sz w:val="24"/>
                <w:highlight w:val="none"/>
              </w:rPr>
              <w:t>其它（吸附法）的处理效率为60%，由于非甲烷总烃经第</w:t>
            </w: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级活性炭处理后其浓度降低，导致第</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级活性炭对非甲烷总烃的处理效率将降低，本评价取</w:t>
            </w:r>
            <w:r>
              <w:rPr>
                <w:rFonts w:hint="default" w:ascii="Times New Roman" w:hAnsi="Times New Roman" w:cs="Times New Roman"/>
                <w:color w:val="auto"/>
                <w:sz w:val="24"/>
                <w:highlight w:val="none"/>
                <w:lang w:val="en-US" w:eastAsia="zh-CN"/>
              </w:rPr>
              <w:t>30</w:t>
            </w:r>
            <w:r>
              <w:rPr>
                <w:rFonts w:hint="default" w:ascii="Times New Roman" w:hAnsi="Times New Roman" w:cs="Times New Roman"/>
                <w:color w:val="auto"/>
                <w:sz w:val="24"/>
                <w:highlight w:val="none"/>
              </w:rPr>
              <w:t>%，则</w:t>
            </w:r>
            <w:r>
              <w:rPr>
                <w:rFonts w:hint="default" w:ascii="Times New Roman" w:hAnsi="Times New Roman" w:cs="Times New Roman"/>
                <w:color w:val="auto"/>
                <w:sz w:val="24"/>
                <w:highlight w:val="none"/>
                <w:lang w:val="en-US" w:eastAsia="zh-CN"/>
              </w:rPr>
              <w:t>UV光解+</w:t>
            </w:r>
            <w:r>
              <w:rPr>
                <w:rFonts w:hint="default" w:ascii="Times New Roman" w:hAnsi="Times New Roman" w:cs="Times New Roman"/>
                <w:color w:val="auto"/>
                <w:sz w:val="24"/>
                <w:highlight w:val="none"/>
              </w:rPr>
              <w:t>二活性炭综合处理效率为</w:t>
            </w:r>
            <w:r>
              <w:rPr>
                <w:rFonts w:hint="default" w:ascii="Times New Roman" w:hAnsi="Times New Roman" w:cs="Times New Roman"/>
                <w:color w:val="auto"/>
                <w:sz w:val="24"/>
                <w:highlight w:val="none"/>
                <w:lang w:val="en-US" w:eastAsia="zh-CN"/>
              </w:rPr>
              <w:t>80</w:t>
            </w:r>
            <w:r>
              <w:rPr>
                <w:rFonts w:hint="default" w:ascii="Times New Roman" w:hAnsi="Times New Roman" w:cs="Times New Roman"/>
                <w:color w:val="auto"/>
                <w:sz w:val="24"/>
                <w:highlight w:val="none"/>
              </w:rPr>
              <w:t>%，则非甲烷总烃排放浓度为</w:t>
            </w:r>
            <w:r>
              <w:rPr>
                <w:rFonts w:hint="default" w:ascii="Times New Roman" w:hAnsi="Times New Roman" w:cs="Times New Roman"/>
                <w:color w:val="auto"/>
                <w:sz w:val="24"/>
                <w:highlight w:val="none"/>
                <w:lang w:val="en-US" w:eastAsia="zh-CN"/>
              </w:rPr>
              <w:t>13.371</w:t>
            </w:r>
            <w:r>
              <w:rPr>
                <w:rFonts w:hint="default" w:ascii="Times New Roman" w:hAnsi="Times New Roman" w:cs="Times New Roman"/>
                <w:color w:val="auto"/>
                <w:sz w:val="24"/>
                <w:highlight w:val="none"/>
              </w:rPr>
              <w:t>mg/m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,排放速率为0.</w:t>
            </w:r>
            <w:r>
              <w:rPr>
                <w:rFonts w:hint="default" w:ascii="Times New Roman" w:hAnsi="Times New Roman" w:cs="Times New Roman"/>
                <w:color w:val="auto"/>
                <w:sz w:val="24"/>
                <w:highlight w:val="none"/>
                <w:lang w:val="en-US" w:eastAsia="zh-CN"/>
              </w:rPr>
              <w:t>134</w:t>
            </w:r>
            <w:r>
              <w:rPr>
                <w:rFonts w:hint="default" w:ascii="Times New Roman" w:hAnsi="Times New Roman" w:cs="Times New Roman"/>
                <w:color w:val="auto"/>
                <w:sz w:val="24"/>
                <w:highlight w:val="none"/>
              </w:rPr>
              <w:t>kg/h，即0.</w:t>
            </w:r>
            <w:r>
              <w:rPr>
                <w:rFonts w:hint="default" w:ascii="Times New Roman" w:hAnsi="Times New Roman" w:cs="Times New Roman"/>
                <w:color w:val="auto"/>
                <w:sz w:val="24"/>
                <w:highlight w:val="none"/>
                <w:lang w:val="en-US" w:eastAsia="zh-CN"/>
              </w:rPr>
              <w:t>281</w:t>
            </w:r>
            <w:r>
              <w:rPr>
                <w:rFonts w:hint="default" w:ascii="Times New Roman" w:hAnsi="Times New Roman" w:cs="Times New Roman"/>
                <w:color w:val="auto"/>
                <w:sz w:val="24"/>
                <w:highlight w:val="none"/>
              </w:rPr>
              <w:t>t/a；SO</w:t>
            </w:r>
            <w:r>
              <w:rPr>
                <w:rFonts w:hint="default" w:ascii="Times New Roman" w:hAnsi="Times New Roman" w:cs="Times New Roman"/>
                <w:color w:val="auto"/>
                <w:sz w:val="24"/>
                <w:highlight w:val="none"/>
                <w:vertAlign w:val="subscript"/>
              </w:rPr>
              <w:t>2</w:t>
            </w:r>
            <w:r>
              <w:rPr>
                <w:rFonts w:hint="default" w:ascii="Times New Roman" w:hAnsi="Times New Roman" w:cs="Times New Roman"/>
                <w:color w:val="auto"/>
                <w:sz w:val="24"/>
                <w:highlight w:val="none"/>
              </w:rPr>
              <w:t>排放浓度为2.080mg/m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，排放速率为0.021kg/h，即0.044</w:t>
            </w:r>
            <w:r>
              <w:rPr>
                <w:rFonts w:hint="default" w:ascii="Times New Roman" w:hAnsi="Times New Roman" w:cs="Times New Roman"/>
                <w:color w:val="auto"/>
                <w:sz w:val="24"/>
                <w:highlight w:val="none"/>
                <w:lang w:val="en-US" w:eastAsia="zh-CN"/>
              </w:rPr>
              <w:t>t</w:t>
            </w:r>
            <w:r>
              <w:rPr>
                <w:rFonts w:hint="default" w:ascii="Times New Roman" w:hAnsi="Times New Roman" w:cs="Times New Roman"/>
                <w:color w:val="auto"/>
                <w:sz w:val="24"/>
                <w:highlight w:val="none"/>
              </w:rPr>
              <w:t>/a；NO</w:t>
            </w:r>
            <w:r>
              <w:rPr>
                <w:rFonts w:hint="default" w:ascii="Times New Roman" w:hAnsi="Times New Roman" w:cs="Times New Roman"/>
                <w:color w:val="auto"/>
                <w:sz w:val="24"/>
                <w:highlight w:val="none"/>
                <w:vertAlign w:val="subscript"/>
              </w:rPr>
              <w:t>X</w:t>
            </w:r>
            <w:r>
              <w:rPr>
                <w:rFonts w:hint="default" w:ascii="Times New Roman" w:hAnsi="Times New Roman" w:cs="Times New Roman"/>
                <w:color w:val="auto"/>
                <w:sz w:val="24"/>
                <w:highlight w:val="none"/>
              </w:rPr>
              <w:t>排放浓</w:t>
            </w:r>
            <w:r>
              <w:rPr>
                <w:rFonts w:hint="default" w:ascii="Times New Roman" w:hAnsi="Times New Roman" w:cs="Times New Roman"/>
                <w:color w:val="auto"/>
                <w:sz w:val="24"/>
              </w:rPr>
              <w:t>度</w:t>
            </w:r>
            <w:r>
              <w:rPr>
                <w:color w:val="auto"/>
                <w:sz w:val="24"/>
              </w:rPr>
              <w:t>为</w:t>
            </w:r>
            <w:r>
              <w:rPr>
                <w:rFonts w:hint="eastAsia"/>
                <w:color w:val="auto"/>
                <w:sz w:val="24"/>
              </w:rPr>
              <w:t>19.448</w:t>
            </w:r>
            <w:r>
              <w:rPr>
                <w:color w:val="auto"/>
                <w:sz w:val="24"/>
              </w:rPr>
              <w:t>mg/m</w:t>
            </w:r>
            <w:r>
              <w:rPr>
                <w:color w:val="auto"/>
                <w:sz w:val="24"/>
                <w:vertAlign w:val="superscript"/>
              </w:rPr>
              <w:t>3</w:t>
            </w:r>
            <w:r>
              <w:rPr>
                <w:color w:val="auto"/>
                <w:sz w:val="24"/>
              </w:rPr>
              <w:t>,排放速率为</w:t>
            </w:r>
            <w:r>
              <w:rPr>
                <w:rFonts w:hint="eastAsia"/>
                <w:color w:val="auto"/>
                <w:sz w:val="24"/>
              </w:rPr>
              <w:t>0.194</w:t>
            </w:r>
            <w:r>
              <w:rPr>
                <w:color w:val="auto"/>
                <w:sz w:val="24"/>
              </w:rPr>
              <w:t>kg/h，即</w:t>
            </w:r>
            <w:r>
              <w:rPr>
                <w:rFonts w:hint="eastAsia"/>
                <w:color w:val="auto"/>
                <w:sz w:val="24"/>
              </w:rPr>
              <w:t>0.408</w:t>
            </w:r>
            <w:r>
              <w:rPr>
                <w:color w:val="auto"/>
                <w:sz w:val="24"/>
              </w:rPr>
              <w:t>t/a；</w:t>
            </w:r>
            <w:r>
              <w:rPr>
                <w:rFonts w:hint="eastAsia"/>
                <w:color w:val="auto"/>
                <w:sz w:val="24"/>
              </w:rPr>
              <w:t>颗粒物排放浓度为2.974mg/m</w:t>
            </w:r>
            <w:r>
              <w:rPr>
                <w:rFonts w:hint="eastAsia"/>
                <w:color w:val="auto"/>
                <w:sz w:val="24"/>
                <w:vertAlign w:val="superscript"/>
              </w:rPr>
              <w:t>3</w:t>
            </w:r>
            <w:r>
              <w:rPr>
                <w:rFonts w:hint="eastAsia"/>
                <w:color w:val="auto"/>
                <w:sz w:val="24"/>
              </w:rPr>
              <w:t>,排放速率为0.030kg/h，即0.062t/a；满足</w:t>
            </w:r>
            <w:r>
              <w:rPr>
                <w:snapToGrid w:val="0"/>
                <w:color w:val="auto"/>
                <w:kern w:val="0"/>
                <w:sz w:val="24"/>
              </w:rPr>
              <w:t>《</w:t>
            </w:r>
            <w:r>
              <w:rPr>
                <w:color w:val="auto"/>
                <w:sz w:val="24"/>
              </w:rPr>
              <w:t>大气污染物综合排放标准》(DB50/418－2016)</w:t>
            </w:r>
            <w:r>
              <w:rPr>
                <w:rFonts w:hint="eastAsia"/>
                <w:color w:val="auto"/>
                <w:sz w:val="24"/>
              </w:rPr>
              <w:t>的标准要求。</w:t>
            </w:r>
          </w:p>
          <w:p>
            <w:pPr>
              <w:autoSpaceDE w:val="0"/>
              <w:autoSpaceDN w:val="0"/>
              <w:adjustRightInd w:val="0"/>
              <w:snapToGrid w:val="0"/>
              <w:spacing w:line="360" w:lineRule="auto"/>
              <w:ind w:firstLine="480" w:firstLineChars="200"/>
              <w:rPr>
                <w:color w:val="auto"/>
              </w:rPr>
            </w:pPr>
            <w:r>
              <w:rPr>
                <w:color w:val="auto"/>
                <w:sz w:val="24"/>
              </w:rPr>
              <w:t>由上述分析可知，由于</w:t>
            </w:r>
            <w:r>
              <w:rPr>
                <w:rFonts w:hint="eastAsia"/>
                <w:color w:val="auto"/>
                <w:sz w:val="24"/>
              </w:rPr>
              <w:t>涂胶、烘干各工位有少量废气无法被收集</w:t>
            </w:r>
            <w:r>
              <w:rPr>
                <w:color w:val="auto"/>
                <w:sz w:val="24"/>
              </w:rPr>
              <w:t>、处理，将以无组织形式排放</w:t>
            </w:r>
            <w:r>
              <w:rPr>
                <w:rFonts w:hint="eastAsia"/>
                <w:color w:val="auto"/>
                <w:sz w:val="24"/>
              </w:rPr>
              <w:t>。根据物料平衡计算，</w:t>
            </w:r>
            <w:r>
              <w:rPr>
                <w:color w:val="auto"/>
                <w:sz w:val="24"/>
              </w:rPr>
              <w:t>非甲烷总烃无组织排放量为</w:t>
            </w:r>
            <w:r>
              <w:rPr>
                <w:rFonts w:hint="eastAsia"/>
                <w:color w:val="auto"/>
                <w:sz w:val="24"/>
              </w:rPr>
              <w:t>0.</w:t>
            </w:r>
            <w:r>
              <w:rPr>
                <w:rFonts w:hint="eastAsia"/>
                <w:color w:val="auto"/>
                <w:sz w:val="24"/>
                <w:lang w:val="en-US" w:eastAsia="zh-CN"/>
              </w:rPr>
              <w:t>351</w:t>
            </w:r>
            <w:r>
              <w:rPr>
                <w:color w:val="auto"/>
                <w:sz w:val="24"/>
              </w:rPr>
              <w:t>t/a</w:t>
            </w:r>
            <w:r>
              <w:rPr>
                <w:rFonts w:hint="eastAsia"/>
                <w:color w:val="auto"/>
                <w:sz w:val="24"/>
              </w:rPr>
              <w:t>;SO</w:t>
            </w:r>
            <w:r>
              <w:rPr>
                <w:rFonts w:hint="eastAsia"/>
                <w:color w:val="auto"/>
                <w:sz w:val="24"/>
                <w:vertAlign w:val="subscript"/>
              </w:rPr>
              <w:t>2</w:t>
            </w:r>
            <w:r>
              <w:rPr>
                <w:rFonts w:hint="eastAsia"/>
                <w:color w:val="auto"/>
                <w:sz w:val="24"/>
              </w:rPr>
              <w:t>无组织排放量为0.011t/a;NO</w:t>
            </w:r>
            <w:r>
              <w:rPr>
                <w:rFonts w:hint="eastAsia"/>
                <w:color w:val="auto"/>
                <w:sz w:val="24"/>
                <w:vertAlign w:val="subscript"/>
              </w:rPr>
              <w:t>X</w:t>
            </w:r>
            <w:r>
              <w:rPr>
                <w:rFonts w:hint="eastAsia"/>
                <w:color w:val="auto"/>
                <w:sz w:val="24"/>
              </w:rPr>
              <w:t>无组织排放量为0.102t/a;颗粒物无组织排放量为0.016t/a</w:t>
            </w:r>
            <w:r>
              <w:rPr>
                <w:color w:val="auto"/>
                <w:sz w:val="24"/>
              </w:rPr>
              <w:t>。</w:t>
            </w:r>
          </w:p>
          <w:p>
            <w:pPr>
              <w:pStyle w:val="2"/>
              <w:ind w:firstLine="480" w:firstLineChars="200"/>
              <w:rPr>
                <w:rFonts w:ascii="Times New Roman" w:hAnsi="Times New Roman" w:cs="Times New Roman"/>
                <w:color w:val="auto"/>
              </w:rPr>
            </w:pPr>
            <w:r>
              <w:rPr>
                <w:rFonts w:hint="eastAsia"/>
                <w:color w:val="auto"/>
              </w:rPr>
              <w:t>②</w:t>
            </w:r>
            <w:r>
              <w:rPr>
                <w:color w:val="auto"/>
                <w:szCs w:val="21"/>
              </w:rPr>
              <w:t>淋膜无纺布</w:t>
            </w:r>
            <w:r>
              <w:rPr>
                <w:rFonts w:hint="eastAsia"/>
                <w:color w:val="auto"/>
                <w:szCs w:val="21"/>
              </w:rPr>
              <w:t>生产线</w:t>
            </w:r>
            <w:r>
              <w:rPr>
                <w:rFonts w:ascii="Times New Roman" w:hAnsi="Times New Roman" w:cs="Times New Roman"/>
                <w:color w:val="auto"/>
              </w:rPr>
              <w:t>（G</w:t>
            </w:r>
            <w:r>
              <w:rPr>
                <w:rFonts w:hint="eastAsia" w:ascii="Times New Roman" w:hAnsi="Times New Roman" w:cs="Times New Roman"/>
                <w:color w:val="auto"/>
              </w:rPr>
              <w:t>3、G4</w:t>
            </w:r>
            <w:r>
              <w:rPr>
                <w:rFonts w:ascii="Times New Roman" w:hAnsi="Times New Roman" w:cs="Times New Roman"/>
                <w:color w:val="auto"/>
              </w:rPr>
              <w:t>）</w:t>
            </w:r>
          </w:p>
          <w:p>
            <w:pPr>
              <w:snapToGrid w:val="0"/>
              <w:spacing w:line="360" w:lineRule="auto"/>
              <w:ind w:firstLine="480" w:firstLineChars="200"/>
              <w:rPr>
                <w:rFonts w:hint="eastAsia" w:eastAsia="宋体"/>
                <w:color w:val="auto"/>
                <w:sz w:val="24"/>
                <w:lang w:val="en-US" w:eastAsia="zh-CN"/>
              </w:rPr>
            </w:pPr>
            <w:r>
              <w:rPr>
                <w:color w:val="auto"/>
                <w:sz w:val="24"/>
              </w:rPr>
              <w:t>由表2.4、表2.7的分析可知，</w:t>
            </w:r>
            <w:r>
              <w:rPr>
                <w:rFonts w:hint="eastAsia"/>
                <w:color w:val="auto"/>
                <w:sz w:val="24"/>
                <w:lang w:eastAsia="zh-CN"/>
              </w:rPr>
              <w:t>扩建项目</w:t>
            </w:r>
            <w:r>
              <w:rPr>
                <w:color w:val="auto"/>
                <w:sz w:val="24"/>
              </w:rPr>
              <w:t>P</w:t>
            </w:r>
            <w:r>
              <w:rPr>
                <w:rFonts w:hint="eastAsia"/>
                <w:color w:val="auto"/>
                <w:sz w:val="24"/>
                <w:lang w:val="en-US" w:eastAsia="zh-CN"/>
              </w:rPr>
              <w:t>E</w:t>
            </w:r>
            <w:r>
              <w:rPr>
                <w:color w:val="auto"/>
                <w:sz w:val="24"/>
              </w:rPr>
              <w:t>塑料粒使用量为</w:t>
            </w:r>
            <w:r>
              <w:rPr>
                <w:rFonts w:hint="eastAsia"/>
                <w:color w:val="auto"/>
                <w:sz w:val="24"/>
                <w:lang w:val="en-US" w:eastAsia="zh-CN"/>
              </w:rPr>
              <w:t>61</w:t>
            </w:r>
            <w:r>
              <w:rPr>
                <w:color w:val="auto"/>
                <w:sz w:val="24"/>
              </w:rPr>
              <w:t>t/a，运行时间为7h/d。参照《排放源统计调查产排污核算方法和系数手册—292塑料制品制造行业系数手册》（生态环境部公告2021年第24号）：塑料零件—注塑工序—挥发性有机物产污系数为2.7kg/t-产品；</w:t>
            </w:r>
            <w:r>
              <w:rPr>
                <w:rFonts w:hint="eastAsia"/>
                <w:color w:val="auto"/>
                <w:sz w:val="24"/>
              </w:rPr>
              <w:t>其中淋膜工序占比按50%、冷却工序占比按50%计，</w:t>
            </w:r>
            <w:r>
              <w:rPr>
                <w:color w:val="auto"/>
                <w:sz w:val="24"/>
              </w:rPr>
              <w:t>则</w:t>
            </w:r>
            <w:r>
              <w:rPr>
                <w:rFonts w:hint="eastAsia"/>
                <w:color w:val="auto"/>
                <w:sz w:val="24"/>
              </w:rPr>
              <w:t>淋膜工序非甲烷总烃</w:t>
            </w:r>
            <w:r>
              <w:rPr>
                <w:color w:val="auto"/>
                <w:sz w:val="24"/>
              </w:rPr>
              <w:t>产生量约</w:t>
            </w:r>
            <w:r>
              <w:rPr>
                <w:rFonts w:hint="eastAsia"/>
                <w:color w:val="auto"/>
                <w:sz w:val="24"/>
              </w:rPr>
              <w:t>0.039</w:t>
            </w:r>
            <w:r>
              <w:rPr>
                <w:color w:val="auto"/>
                <w:sz w:val="24"/>
              </w:rPr>
              <w:t>kg/h，</w:t>
            </w:r>
            <w:r>
              <w:rPr>
                <w:rFonts w:hint="eastAsia"/>
                <w:color w:val="auto"/>
                <w:sz w:val="24"/>
              </w:rPr>
              <w:t>0.08</w:t>
            </w:r>
            <w:r>
              <w:rPr>
                <w:rFonts w:hint="eastAsia"/>
                <w:color w:val="auto"/>
                <w:sz w:val="24"/>
                <w:lang w:val="en-US" w:eastAsia="zh-CN"/>
              </w:rPr>
              <w:t>2</w:t>
            </w:r>
            <w:r>
              <w:rPr>
                <w:color w:val="auto"/>
                <w:sz w:val="24"/>
              </w:rPr>
              <w:t>t/a</w:t>
            </w:r>
            <w:r>
              <w:rPr>
                <w:rFonts w:hint="eastAsia"/>
                <w:color w:val="auto"/>
                <w:sz w:val="24"/>
              </w:rPr>
              <w:t>；冷却工序非甲烷总烃</w:t>
            </w:r>
            <w:r>
              <w:rPr>
                <w:color w:val="auto"/>
                <w:sz w:val="24"/>
              </w:rPr>
              <w:t>产生量约</w:t>
            </w:r>
            <w:r>
              <w:rPr>
                <w:rFonts w:hint="eastAsia"/>
                <w:color w:val="auto"/>
                <w:sz w:val="24"/>
              </w:rPr>
              <w:t>0.039</w:t>
            </w:r>
            <w:r>
              <w:rPr>
                <w:color w:val="auto"/>
                <w:sz w:val="24"/>
              </w:rPr>
              <w:t>kg/h，</w:t>
            </w:r>
            <w:r>
              <w:rPr>
                <w:rFonts w:hint="eastAsia"/>
                <w:color w:val="auto"/>
                <w:sz w:val="24"/>
              </w:rPr>
              <w:t>0.08</w:t>
            </w:r>
            <w:r>
              <w:rPr>
                <w:rFonts w:hint="eastAsia"/>
                <w:color w:val="auto"/>
                <w:sz w:val="24"/>
                <w:lang w:val="en-US" w:eastAsia="zh-CN"/>
              </w:rPr>
              <w:t>2</w:t>
            </w:r>
            <w:r>
              <w:rPr>
                <w:color w:val="auto"/>
                <w:sz w:val="24"/>
              </w:rPr>
              <w:t>t/a。</w:t>
            </w:r>
          </w:p>
          <w:p>
            <w:pPr>
              <w:pStyle w:val="15"/>
              <w:snapToGrid w:val="0"/>
              <w:spacing w:after="0" w:line="360" w:lineRule="auto"/>
              <w:ind w:left="0" w:leftChars="0" w:firstLine="480" w:firstLineChars="200"/>
              <w:rPr>
                <w:color w:val="auto"/>
                <w:sz w:val="24"/>
              </w:rPr>
            </w:pPr>
            <w:r>
              <w:rPr>
                <w:rFonts w:hint="eastAsia"/>
                <w:color w:val="auto"/>
                <w:sz w:val="24"/>
                <w:lang w:eastAsia="zh-CN"/>
              </w:rPr>
              <w:t>扩建项目</w:t>
            </w:r>
            <w:r>
              <w:rPr>
                <w:rFonts w:hint="eastAsia"/>
                <w:color w:val="auto"/>
                <w:sz w:val="24"/>
              </w:rPr>
              <w:t>共设置2条淋膜无纺布生产线，</w:t>
            </w:r>
            <w:r>
              <w:rPr>
                <w:color w:val="auto"/>
                <w:sz w:val="24"/>
              </w:rPr>
              <w:t>在</w:t>
            </w:r>
            <w:r>
              <w:rPr>
                <w:rFonts w:hint="eastAsia"/>
                <w:color w:val="auto"/>
                <w:sz w:val="24"/>
              </w:rPr>
              <w:t>淋膜工位、冷却工位上方处设置集气罩，</w:t>
            </w:r>
            <w:r>
              <w:rPr>
                <w:color w:val="auto"/>
                <w:sz w:val="24"/>
              </w:rPr>
              <w:t>采用负压抽风的方式收集废气，</w:t>
            </w:r>
            <w:r>
              <w:rPr>
                <w:rFonts w:hint="eastAsia"/>
                <w:color w:val="auto"/>
                <w:sz w:val="24"/>
              </w:rPr>
              <w:t>其风量核算见表4.2。</w:t>
            </w:r>
          </w:p>
          <w:p>
            <w:pPr>
              <w:pStyle w:val="15"/>
              <w:snapToGrid w:val="0"/>
              <w:spacing w:after="0" w:line="360" w:lineRule="auto"/>
              <w:ind w:left="0" w:leftChars="0"/>
              <w:jc w:val="center"/>
              <w:rPr>
                <w:color w:val="auto"/>
                <w:sz w:val="21"/>
                <w:szCs w:val="21"/>
              </w:rPr>
            </w:pPr>
            <w:r>
              <w:rPr>
                <w:rFonts w:hint="eastAsia"/>
                <w:color w:val="auto"/>
                <w:sz w:val="21"/>
                <w:szCs w:val="21"/>
              </w:rPr>
              <w:t>表4.2 淋膜、冷却工序风量核算一览表</w:t>
            </w:r>
          </w:p>
          <w:tbl>
            <w:tblPr>
              <w:tblStyle w:val="23"/>
              <w:tblW w:w="4995"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947"/>
              <w:gridCol w:w="1440"/>
              <w:gridCol w:w="1385"/>
              <w:gridCol w:w="1349"/>
              <w:gridCol w:w="1162"/>
              <w:gridCol w:w="138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7" w:type="pct"/>
                  <w:tcBorders>
                    <w:tl2br w:val="nil"/>
                    <w:tr2bl w:val="nil"/>
                  </w:tcBorders>
                  <w:vAlign w:val="center"/>
                </w:tcPr>
                <w:p>
                  <w:pPr>
                    <w:pStyle w:val="15"/>
                    <w:adjustRightInd w:val="0"/>
                    <w:snapToGrid w:val="0"/>
                    <w:spacing w:after="0" w:line="240" w:lineRule="auto"/>
                    <w:ind w:left="0" w:leftChars="0"/>
                    <w:jc w:val="center"/>
                    <w:rPr>
                      <w:color w:val="auto"/>
                    </w:rPr>
                  </w:pPr>
                  <w:r>
                    <w:rPr>
                      <w:color w:val="auto"/>
                    </w:rPr>
                    <w:t>序号</w:t>
                  </w:r>
                </w:p>
              </w:tc>
              <w:tc>
                <w:tcPr>
                  <w:tcW w:w="581" w:type="pct"/>
                  <w:tcBorders>
                    <w:tl2br w:val="nil"/>
                    <w:tr2bl w:val="nil"/>
                  </w:tcBorders>
                  <w:vAlign w:val="center"/>
                </w:tcPr>
                <w:p>
                  <w:pPr>
                    <w:pStyle w:val="15"/>
                    <w:adjustRightInd w:val="0"/>
                    <w:snapToGrid w:val="0"/>
                    <w:spacing w:after="0" w:line="240" w:lineRule="auto"/>
                    <w:ind w:left="0" w:leftChars="0"/>
                    <w:jc w:val="center"/>
                    <w:rPr>
                      <w:color w:val="auto"/>
                    </w:rPr>
                  </w:pPr>
                  <w:r>
                    <w:rPr>
                      <w:color w:val="auto"/>
                    </w:rPr>
                    <w:t>生产工序</w:t>
                  </w:r>
                </w:p>
              </w:tc>
              <w:tc>
                <w:tcPr>
                  <w:tcW w:w="884" w:type="pct"/>
                  <w:tcBorders>
                    <w:tl2br w:val="nil"/>
                    <w:tr2bl w:val="nil"/>
                  </w:tcBorders>
                  <w:vAlign w:val="center"/>
                </w:tcPr>
                <w:p>
                  <w:pPr>
                    <w:pStyle w:val="15"/>
                    <w:adjustRightInd w:val="0"/>
                    <w:snapToGrid w:val="0"/>
                    <w:spacing w:after="0" w:line="240" w:lineRule="auto"/>
                    <w:ind w:left="0" w:leftChars="0"/>
                    <w:jc w:val="center"/>
                    <w:rPr>
                      <w:color w:val="auto"/>
                    </w:rPr>
                  </w:pPr>
                  <w:r>
                    <w:rPr>
                      <w:color w:val="auto"/>
                    </w:rPr>
                    <w:t>集气罩尺寸</w:t>
                  </w:r>
                </w:p>
              </w:tc>
              <w:tc>
                <w:tcPr>
                  <w:tcW w:w="850" w:type="pct"/>
                  <w:tcBorders>
                    <w:tl2br w:val="nil"/>
                    <w:tr2bl w:val="nil"/>
                  </w:tcBorders>
                  <w:vAlign w:val="center"/>
                </w:tcPr>
                <w:p>
                  <w:pPr>
                    <w:pStyle w:val="15"/>
                    <w:adjustRightInd w:val="0"/>
                    <w:snapToGrid w:val="0"/>
                    <w:spacing w:after="0" w:line="240" w:lineRule="auto"/>
                    <w:ind w:left="0" w:leftChars="0"/>
                    <w:jc w:val="center"/>
                    <w:rPr>
                      <w:color w:val="auto"/>
                    </w:rPr>
                  </w:pPr>
                  <w:r>
                    <w:rPr>
                      <w:rFonts w:hint="eastAsia"/>
                      <w:color w:val="auto"/>
                    </w:rPr>
                    <w:t>控制点距离</w:t>
                  </w:r>
                </w:p>
              </w:tc>
              <w:tc>
                <w:tcPr>
                  <w:tcW w:w="828" w:type="pct"/>
                  <w:tcBorders>
                    <w:tl2br w:val="nil"/>
                    <w:tr2bl w:val="nil"/>
                  </w:tcBorders>
                  <w:vAlign w:val="center"/>
                </w:tcPr>
                <w:p>
                  <w:pPr>
                    <w:pStyle w:val="15"/>
                    <w:adjustRightInd w:val="0"/>
                    <w:snapToGrid w:val="0"/>
                    <w:spacing w:after="0" w:line="240" w:lineRule="auto"/>
                    <w:ind w:left="0" w:leftChars="0"/>
                    <w:jc w:val="center"/>
                    <w:rPr>
                      <w:color w:val="auto"/>
                    </w:rPr>
                  </w:pPr>
                  <w:r>
                    <w:rPr>
                      <w:rFonts w:hint="eastAsia"/>
                      <w:color w:val="auto"/>
                    </w:rPr>
                    <w:t>控制</w:t>
                  </w:r>
                  <w:r>
                    <w:rPr>
                      <w:color w:val="auto"/>
                    </w:rPr>
                    <w:t>点风速</w:t>
                  </w:r>
                </w:p>
              </w:tc>
              <w:tc>
                <w:tcPr>
                  <w:tcW w:w="713" w:type="pct"/>
                  <w:tcBorders>
                    <w:tl2br w:val="nil"/>
                    <w:tr2bl w:val="nil"/>
                  </w:tcBorders>
                  <w:vAlign w:val="center"/>
                </w:tcPr>
                <w:p>
                  <w:pPr>
                    <w:pStyle w:val="15"/>
                    <w:adjustRightInd w:val="0"/>
                    <w:snapToGrid w:val="0"/>
                    <w:spacing w:after="0" w:line="240" w:lineRule="auto"/>
                    <w:ind w:left="0" w:leftChars="0"/>
                    <w:jc w:val="center"/>
                    <w:rPr>
                      <w:color w:val="auto"/>
                    </w:rPr>
                  </w:pPr>
                  <w:r>
                    <w:rPr>
                      <w:rFonts w:hint="eastAsia"/>
                      <w:color w:val="auto"/>
                    </w:rPr>
                    <w:t>数量</w:t>
                  </w:r>
                </w:p>
              </w:tc>
              <w:tc>
                <w:tcPr>
                  <w:tcW w:w="845" w:type="pct"/>
                  <w:tcBorders>
                    <w:tl2br w:val="nil"/>
                    <w:tr2bl w:val="nil"/>
                  </w:tcBorders>
                  <w:vAlign w:val="center"/>
                </w:tcPr>
                <w:p>
                  <w:pPr>
                    <w:pStyle w:val="15"/>
                    <w:adjustRightInd w:val="0"/>
                    <w:snapToGrid w:val="0"/>
                    <w:spacing w:after="0" w:line="240" w:lineRule="auto"/>
                    <w:ind w:left="0" w:leftChars="0"/>
                    <w:jc w:val="center"/>
                    <w:rPr>
                      <w:color w:val="auto"/>
                    </w:rPr>
                  </w:pPr>
                  <w:r>
                    <w:rPr>
                      <w:color w:val="auto"/>
                    </w:rPr>
                    <w:t>最小风量（m</w:t>
                  </w:r>
                  <w:r>
                    <w:rPr>
                      <w:color w:val="auto"/>
                      <w:vertAlign w:val="superscript"/>
                    </w:rPr>
                    <w:t>3</w:t>
                  </w:r>
                  <w:r>
                    <w:rPr>
                      <w:color w:val="auto"/>
                    </w:rPr>
                    <w:t>/h）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 w:type="pct"/>
                  <w:tcBorders>
                    <w:tl2br w:val="nil"/>
                    <w:tr2bl w:val="nil"/>
                  </w:tcBorders>
                  <w:vAlign w:val="center"/>
                </w:tcPr>
                <w:p>
                  <w:pPr>
                    <w:pStyle w:val="15"/>
                    <w:adjustRightInd w:val="0"/>
                    <w:snapToGrid w:val="0"/>
                    <w:spacing w:after="0" w:line="240" w:lineRule="auto"/>
                    <w:ind w:left="0" w:leftChars="0"/>
                    <w:jc w:val="center"/>
                    <w:rPr>
                      <w:color w:val="auto"/>
                    </w:rPr>
                  </w:pPr>
                  <w:r>
                    <w:rPr>
                      <w:rFonts w:hint="eastAsia"/>
                      <w:color w:val="auto"/>
                    </w:rPr>
                    <w:t>1</w:t>
                  </w:r>
                </w:p>
              </w:tc>
              <w:tc>
                <w:tcPr>
                  <w:tcW w:w="581" w:type="pct"/>
                  <w:tcBorders>
                    <w:tl2br w:val="nil"/>
                    <w:tr2bl w:val="nil"/>
                  </w:tcBorders>
                  <w:vAlign w:val="center"/>
                </w:tcPr>
                <w:p>
                  <w:pPr>
                    <w:pStyle w:val="15"/>
                    <w:adjustRightInd w:val="0"/>
                    <w:snapToGrid w:val="0"/>
                    <w:spacing w:after="0" w:line="240" w:lineRule="auto"/>
                    <w:ind w:left="0" w:leftChars="0"/>
                    <w:jc w:val="center"/>
                    <w:rPr>
                      <w:color w:val="auto"/>
                    </w:rPr>
                  </w:pPr>
                  <w:r>
                    <w:rPr>
                      <w:rFonts w:hint="eastAsia"/>
                      <w:color w:val="auto"/>
                    </w:rPr>
                    <w:t>淋膜</w:t>
                  </w:r>
                </w:p>
              </w:tc>
              <w:tc>
                <w:tcPr>
                  <w:tcW w:w="884" w:type="pct"/>
                  <w:tcBorders>
                    <w:tl2br w:val="nil"/>
                    <w:tr2bl w:val="nil"/>
                  </w:tcBorders>
                  <w:vAlign w:val="center"/>
                </w:tcPr>
                <w:p>
                  <w:pPr>
                    <w:pStyle w:val="15"/>
                    <w:adjustRightInd w:val="0"/>
                    <w:snapToGrid w:val="0"/>
                    <w:spacing w:after="0" w:line="240" w:lineRule="auto"/>
                    <w:ind w:left="0" w:leftChars="0"/>
                    <w:jc w:val="center"/>
                    <w:rPr>
                      <w:color w:val="auto"/>
                    </w:rPr>
                  </w:pPr>
                  <w:r>
                    <w:rPr>
                      <w:rFonts w:hint="eastAsia"/>
                      <w:color w:val="auto"/>
                    </w:rPr>
                    <w:t>1</w:t>
                  </w:r>
                  <w:r>
                    <w:rPr>
                      <w:rFonts w:hint="eastAsia"/>
                      <w:color w:val="auto"/>
                      <w:lang w:val="en-US" w:eastAsia="zh-CN"/>
                    </w:rPr>
                    <w:t>5</w:t>
                  </w:r>
                  <w:r>
                    <w:rPr>
                      <w:rFonts w:hint="eastAsia"/>
                      <w:color w:val="auto"/>
                    </w:rPr>
                    <w:t>00</w:t>
                  </w:r>
                  <w:r>
                    <w:rPr>
                      <w:color w:val="auto"/>
                    </w:rPr>
                    <w:t>×</w:t>
                  </w:r>
                  <w:r>
                    <w:rPr>
                      <w:rFonts w:hint="eastAsia"/>
                      <w:color w:val="auto"/>
                    </w:rPr>
                    <w:t>300</w:t>
                  </w:r>
                  <w:r>
                    <w:rPr>
                      <w:color w:val="auto"/>
                    </w:rPr>
                    <w:t>mm</w:t>
                  </w:r>
                </w:p>
              </w:tc>
              <w:tc>
                <w:tcPr>
                  <w:tcW w:w="850" w:type="pct"/>
                  <w:tcBorders>
                    <w:tl2br w:val="nil"/>
                    <w:tr2bl w:val="nil"/>
                  </w:tcBorders>
                  <w:vAlign w:val="center"/>
                </w:tcPr>
                <w:p>
                  <w:pPr>
                    <w:pStyle w:val="15"/>
                    <w:adjustRightInd w:val="0"/>
                    <w:snapToGrid w:val="0"/>
                    <w:spacing w:after="0" w:line="240" w:lineRule="auto"/>
                    <w:ind w:left="0" w:leftChars="0"/>
                    <w:jc w:val="center"/>
                    <w:rPr>
                      <w:color w:val="auto"/>
                    </w:rPr>
                  </w:pPr>
                  <w:r>
                    <w:rPr>
                      <w:rFonts w:hint="eastAsia"/>
                      <w:color w:val="auto"/>
                    </w:rPr>
                    <w:t>0.</w:t>
                  </w:r>
                  <w:r>
                    <w:rPr>
                      <w:rFonts w:hint="eastAsia"/>
                      <w:color w:val="auto"/>
                      <w:lang w:val="en-US" w:eastAsia="zh-CN"/>
                    </w:rPr>
                    <w:t>3</w:t>
                  </w:r>
                  <w:r>
                    <w:rPr>
                      <w:rFonts w:hint="eastAsia"/>
                      <w:color w:val="auto"/>
                    </w:rPr>
                    <w:t>m</w:t>
                  </w:r>
                </w:p>
              </w:tc>
              <w:tc>
                <w:tcPr>
                  <w:tcW w:w="828" w:type="pct"/>
                  <w:tcBorders>
                    <w:tl2br w:val="nil"/>
                    <w:tr2bl w:val="nil"/>
                  </w:tcBorders>
                  <w:vAlign w:val="center"/>
                </w:tcPr>
                <w:p>
                  <w:pPr>
                    <w:pStyle w:val="15"/>
                    <w:adjustRightInd w:val="0"/>
                    <w:snapToGrid w:val="0"/>
                    <w:spacing w:after="0" w:line="240" w:lineRule="auto"/>
                    <w:ind w:left="0" w:leftChars="0"/>
                    <w:jc w:val="center"/>
                    <w:rPr>
                      <w:color w:val="auto"/>
                    </w:rPr>
                  </w:pPr>
                  <w:r>
                    <w:rPr>
                      <w:color w:val="auto"/>
                    </w:rPr>
                    <w:t>0.3m/s</w:t>
                  </w:r>
                </w:p>
              </w:tc>
              <w:tc>
                <w:tcPr>
                  <w:tcW w:w="713" w:type="pct"/>
                  <w:tcBorders>
                    <w:tl2br w:val="nil"/>
                    <w:tr2bl w:val="nil"/>
                  </w:tcBorders>
                  <w:vAlign w:val="center"/>
                </w:tcPr>
                <w:p>
                  <w:pPr>
                    <w:pStyle w:val="15"/>
                    <w:adjustRightInd w:val="0"/>
                    <w:snapToGrid w:val="0"/>
                    <w:spacing w:after="0" w:line="240" w:lineRule="auto"/>
                    <w:ind w:left="0" w:leftChars="0"/>
                    <w:jc w:val="center"/>
                    <w:rPr>
                      <w:color w:val="auto"/>
                    </w:rPr>
                  </w:pPr>
                  <w:r>
                    <w:rPr>
                      <w:rFonts w:hint="eastAsia"/>
                      <w:color w:val="auto"/>
                    </w:rPr>
                    <w:t>2个</w:t>
                  </w:r>
                </w:p>
              </w:tc>
              <w:tc>
                <w:tcPr>
                  <w:tcW w:w="845" w:type="pct"/>
                  <w:tcBorders>
                    <w:tl2br w:val="nil"/>
                    <w:tr2bl w:val="nil"/>
                  </w:tcBorders>
                  <w:vAlign w:val="center"/>
                </w:tcPr>
                <w:p>
                  <w:pPr>
                    <w:pStyle w:val="15"/>
                    <w:adjustRightInd w:val="0"/>
                    <w:snapToGrid w:val="0"/>
                    <w:spacing w:after="0" w:line="240" w:lineRule="auto"/>
                    <w:ind w:left="0" w:leftChars="0"/>
                    <w:jc w:val="center"/>
                    <w:rPr>
                      <w:rFonts w:hint="default" w:eastAsia="宋体"/>
                      <w:color w:val="auto"/>
                      <w:lang w:val="en-US" w:eastAsia="zh-CN"/>
                    </w:rPr>
                  </w:pPr>
                  <w:r>
                    <w:rPr>
                      <w:rFonts w:hint="eastAsia"/>
                      <w:color w:val="auto"/>
                      <w:lang w:val="en-US" w:eastAsia="zh-CN"/>
                    </w:rPr>
                    <w:t>3266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 w:type="pct"/>
                  <w:tcBorders>
                    <w:tl2br w:val="nil"/>
                    <w:tr2bl w:val="nil"/>
                  </w:tcBorders>
                  <w:vAlign w:val="center"/>
                </w:tcPr>
                <w:p>
                  <w:pPr>
                    <w:pStyle w:val="15"/>
                    <w:adjustRightInd w:val="0"/>
                    <w:snapToGrid w:val="0"/>
                    <w:spacing w:after="0" w:line="240" w:lineRule="auto"/>
                    <w:ind w:left="0" w:leftChars="0"/>
                    <w:jc w:val="center"/>
                    <w:rPr>
                      <w:color w:val="auto"/>
                    </w:rPr>
                  </w:pPr>
                  <w:r>
                    <w:rPr>
                      <w:rFonts w:hint="eastAsia"/>
                      <w:color w:val="auto"/>
                    </w:rPr>
                    <w:t>2</w:t>
                  </w:r>
                </w:p>
              </w:tc>
              <w:tc>
                <w:tcPr>
                  <w:tcW w:w="581" w:type="pct"/>
                  <w:tcBorders>
                    <w:tl2br w:val="nil"/>
                    <w:tr2bl w:val="nil"/>
                  </w:tcBorders>
                  <w:vAlign w:val="center"/>
                </w:tcPr>
                <w:p>
                  <w:pPr>
                    <w:pStyle w:val="15"/>
                    <w:adjustRightInd w:val="0"/>
                    <w:snapToGrid w:val="0"/>
                    <w:spacing w:after="0" w:line="240" w:lineRule="auto"/>
                    <w:ind w:left="0" w:leftChars="0"/>
                    <w:jc w:val="center"/>
                    <w:rPr>
                      <w:color w:val="auto"/>
                    </w:rPr>
                  </w:pPr>
                  <w:r>
                    <w:rPr>
                      <w:rFonts w:hint="eastAsia"/>
                      <w:color w:val="auto"/>
                    </w:rPr>
                    <w:t>冷却</w:t>
                  </w:r>
                </w:p>
              </w:tc>
              <w:tc>
                <w:tcPr>
                  <w:tcW w:w="1440" w:type="dxa"/>
                  <w:tcBorders>
                    <w:tl2br w:val="nil"/>
                    <w:tr2bl w:val="nil"/>
                  </w:tcBorders>
                  <w:vAlign w:val="center"/>
                </w:tcPr>
                <w:p>
                  <w:pPr>
                    <w:pStyle w:val="15"/>
                    <w:adjustRightInd w:val="0"/>
                    <w:snapToGrid w:val="0"/>
                    <w:spacing w:after="0" w:line="240" w:lineRule="auto"/>
                    <w:ind w:left="0" w:leftChars="0"/>
                    <w:jc w:val="center"/>
                    <w:rPr>
                      <w:color w:val="auto"/>
                    </w:rPr>
                  </w:pPr>
                  <w:r>
                    <w:rPr>
                      <w:rFonts w:hint="eastAsia"/>
                      <w:color w:val="auto"/>
                    </w:rPr>
                    <w:t>1</w:t>
                  </w:r>
                  <w:r>
                    <w:rPr>
                      <w:rFonts w:hint="eastAsia"/>
                      <w:color w:val="auto"/>
                      <w:lang w:val="en-US" w:eastAsia="zh-CN"/>
                    </w:rPr>
                    <w:t>5</w:t>
                  </w:r>
                  <w:r>
                    <w:rPr>
                      <w:rFonts w:hint="eastAsia"/>
                      <w:color w:val="auto"/>
                    </w:rPr>
                    <w:t>00</w:t>
                  </w:r>
                  <w:r>
                    <w:rPr>
                      <w:color w:val="auto"/>
                    </w:rPr>
                    <w:t>×</w:t>
                  </w:r>
                  <w:r>
                    <w:rPr>
                      <w:rFonts w:hint="eastAsia"/>
                      <w:color w:val="auto"/>
                    </w:rPr>
                    <w:t>600</w:t>
                  </w:r>
                  <w:r>
                    <w:rPr>
                      <w:color w:val="auto"/>
                    </w:rPr>
                    <w:t>mm</w:t>
                  </w:r>
                </w:p>
              </w:tc>
              <w:tc>
                <w:tcPr>
                  <w:tcW w:w="1385" w:type="dxa"/>
                  <w:tcBorders>
                    <w:tl2br w:val="nil"/>
                    <w:tr2bl w:val="nil"/>
                  </w:tcBorders>
                  <w:vAlign w:val="center"/>
                </w:tcPr>
                <w:p>
                  <w:pPr>
                    <w:pStyle w:val="15"/>
                    <w:adjustRightInd w:val="0"/>
                    <w:snapToGrid w:val="0"/>
                    <w:spacing w:after="0" w:line="240" w:lineRule="auto"/>
                    <w:ind w:left="0" w:leftChars="0"/>
                    <w:jc w:val="center"/>
                    <w:rPr>
                      <w:color w:val="auto"/>
                    </w:rPr>
                  </w:pPr>
                  <w:r>
                    <w:rPr>
                      <w:rFonts w:hint="eastAsia"/>
                      <w:color w:val="auto"/>
                    </w:rPr>
                    <w:t>0.</w:t>
                  </w:r>
                  <w:r>
                    <w:rPr>
                      <w:rFonts w:hint="eastAsia"/>
                      <w:color w:val="auto"/>
                      <w:lang w:val="en-US" w:eastAsia="zh-CN"/>
                    </w:rPr>
                    <w:t>5</w:t>
                  </w:r>
                  <w:r>
                    <w:rPr>
                      <w:rFonts w:hint="eastAsia"/>
                      <w:color w:val="auto"/>
                    </w:rPr>
                    <w:t>m</w:t>
                  </w:r>
                </w:p>
              </w:tc>
              <w:tc>
                <w:tcPr>
                  <w:tcW w:w="1349" w:type="dxa"/>
                  <w:tcBorders>
                    <w:tl2br w:val="nil"/>
                    <w:tr2bl w:val="nil"/>
                  </w:tcBorders>
                  <w:vAlign w:val="center"/>
                </w:tcPr>
                <w:p>
                  <w:pPr>
                    <w:pStyle w:val="15"/>
                    <w:adjustRightInd w:val="0"/>
                    <w:snapToGrid w:val="0"/>
                    <w:spacing w:after="0" w:line="240" w:lineRule="auto"/>
                    <w:ind w:left="0" w:leftChars="0"/>
                    <w:jc w:val="center"/>
                    <w:rPr>
                      <w:color w:val="auto"/>
                    </w:rPr>
                  </w:pPr>
                  <w:r>
                    <w:rPr>
                      <w:color w:val="auto"/>
                    </w:rPr>
                    <w:t>0.3m/s</w:t>
                  </w:r>
                </w:p>
              </w:tc>
              <w:tc>
                <w:tcPr>
                  <w:tcW w:w="1162" w:type="dxa"/>
                  <w:tcBorders>
                    <w:tl2br w:val="nil"/>
                    <w:tr2bl w:val="nil"/>
                  </w:tcBorders>
                  <w:vAlign w:val="center"/>
                </w:tcPr>
                <w:p>
                  <w:pPr>
                    <w:pStyle w:val="15"/>
                    <w:adjustRightInd w:val="0"/>
                    <w:snapToGrid w:val="0"/>
                    <w:spacing w:after="0" w:line="240" w:lineRule="auto"/>
                    <w:ind w:left="0" w:leftChars="0"/>
                    <w:jc w:val="center"/>
                    <w:rPr>
                      <w:color w:val="auto"/>
                    </w:rPr>
                  </w:pPr>
                  <w:r>
                    <w:rPr>
                      <w:rFonts w:hint="eastAsia"/>
                      <w:color w:val="auto"/>
                    </w:rPr>
                    <w:t>2个</w:t>
                  </w:r>
                </w:p>
              </w:tc>
              <w:tc>
                <w:tcPr>
                  <w:tcW w:w="1380" w:type="dxa"/>
                  <w:tcBorders>
                    <w:tl2br w:val="nil"/>
                    <w:tr2bl w:val="nil"/>
                  </w:tcBorders>
                  <w:vAlign w:val="center"/>
                </w:tcPr>
                <w:p>
                  <w:pPr>
                    <w:pStyle w:val="15"/>
                    <w:adjustRightInd w:val="0"/>
                    <w:snapToGrid w:val="0"/>
                    <w:spacing w:after="0" w:line="240" w:lineRule="auto"/>
                    <w:ind w:left="0" w:leftChars="0"/>
                    <w:jc w:val="center"/>
                    <w:rPr>
                      <w:rFonts w:hint="default" w:eastAsia="宋体"/>
                      <w:color w:val="auto"/>
                      <w:lang w:val="en-US" w:eastAsia="zh-CN"/>
                    </w:rPr>
                  </w:pPr>
                  <w:r>
                    <w:rPr>
                      <w:rFonts w:hint="eastAsia"/>
                      <w:color w:val="auto"/>
                      <w:lang w:val="en-US" w:eastAsia="zh-CN"/>
                    </w:rPr>
                    <w:t>6350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7"/>
                  <w:tcBorders>
                    <w:tl2br w:val="nil"/>
                    <w:tr2bl w:val="nil"/>
                  </w:tcBorders>
                  <w:vAlign w:val="center"/>
                </w:tcPr>
                <w:p>
                  <w:pPr>
                    <w:pStyle w:val="15"/>
                    <w:adjustRightInd w:val="0"/>
                    <w:snapToGrid w:val="0"/>
                    <w:spacing w:after="0" w:line="240" w:lineRule="auto"/>
                    <w:ind w:left="0" w:leftChars="0"/>
                    <w:rPr>
                      <w:color w:val="auto"/>
                    </w:rPr>
                  </w:pPr>
                  <w:r>
                    <w:rPr>
                      <w:color w:val="auto"/>
                    </w:rPr>
                    <w:t>备注：Q=1.4·p·h·v·</w:t>
                  </w:r>
                  <w:r>
                    <w:rPr>
                      <w:rFonts w:hint="eastAsia"/>
                      <w:color w:val="auto"/>
                    </w:rPr>
                    <w:t>3600</w:t>
                  </w:r>
                  <w:r>
                    <w:rPr>
                      <w:color w:val="auto"/>
                    </w:rPr>
                    <w:t>；Q-最小风量，m</w:t>
                  </w:r>
                  <w:r>
                    <w:rPr>
                      <w:color w:val="auto"/>
                      <w:vertAlign w:val="superscript"/>
                    </w:rPr>
                    <w:t>3</w:t>
                  </w:r>
                  <w:r>
                    <w:rPr>
                      <w:color w:val="auto"/>
                    </w:rPr>
                    <w:t>/h，p-集气罩周长，m；h-</w:t>
                  </w:r>
                  <w:r>
                    <w:rPr>
                      <w:rFonts w:hint="eastAsia"/>
                      <w:color w:val="auto"/>
                    </w:rPr>
                    <w:t>控制点</w:t>
                  </w:r>
                  <w:r>
                    <w:rPr>
                      <w:color w:val="auto"/>
                    </w:rPr>
                    <w:t>距离，m，v-</w:t>
                  </w:r>
                  <w:r>
                    <w:rPr>
                      <w:rFonts w:hint="eastAsia"/>
                      <w:color w:val="auto"/>
                    </w:rPr>
                    <w:t>控制点收集</w:t>
                  </w:r>
                  <w:r>
                    <w:rPr>
                      <w:color w:val="auto"/>
                    </w:rPr>
                    <w:t>风速，m/s</w:t>
                  </w:r>
                </w:p>
              </w:tc>
            </w:tr>
          </w:tbl>
          <w:p>
            <w:pPr>
              <w:pStyle w:val="2"/>
              <w:ind w:firstLine="480" w:firstLineChars="200"/>
              <w:rPr>
                <w:rFonts w:ascii="Times New Roman" w:hAnsi="Times New Roman" w:cs="Times New Roman"/>
                <w:color w:val="auto"/>
              </w:rPr>
            </w:pPr>
            <w:r>
              <w:rPr>
                <w:rFonts w:ascii="Times New Roman" w:hAnsi="Times New Roman" w:cs="Times New Roman"/>
                <w:color w:val="auto"/>
              </w:rPr>
              <w:t>由表4.2可知：淋膜、冷却工序工序废气收集最小风量均为</w:t>
            </w:r>
            <w:r>
              <w:rPr>
                <w:rFonts w:hint="eastAsia" w:ascii="Times New Roman" w:hAnsi="Times New Roman" w:cs="Times New Roman"/>
                <w:color w:val="auto"/>
                <w:lang w:val="en-US" w:eastAsia="zh-CN"/>
              </w:rPr>
              <w:t>9616</w:t>
            </w:r>
            <w:r>
              <w:rPr>
                <w:rFonts w:ascii="Times New Roman" w:hAnsi="Times New Roman" w:cs="Times New Roman"/>
                <w:color w:val="auto"/>
              </w:rPr>
              <w:t>m</w:t>
            </w:r>
            <w:r>
              <w:rPr>
                <w:rFonts w:ascii="Times New Roman" w:hAnsi="Times New Roman" w:cs="Times New Roman"/>
                <w:color w:val="auto"/>
                <w:vertAlign w:val="superscript"/>
              </w:rPr>
              <w:t>3</w:t>
            </w:r>
            <w:r>
              <w:rPr>
                <w:rFonts w:ascii="Times New Roman" w:hAnsi="Times New Roman" w:cs="Times New Roman"/>
                <w:color w:val="auto"/>
              </w:rPr>
              <w:t>/h，风机风量均</w:t>
            </w:r>
            <w:r>
              <w:rPr>
                <w:rFonts w:ascii="Times New Roman" w:hAnsi="Times New Roman" w:cs="Times New Roman"/>
                <w:color w:val="auto"/>
                <w:highlight w:val="none"/>
              </w:rPr>
              <w:t>取1</w:t>
            </w:r>
            <w:r>
              <w:rPr>
                <w:rFonts w:hint="eastAsia" w:ascii="Times New Roman" w:hAnsi="Times New Roman" w:cs="Times New Roman"/>
                <w:color w:val="auto"/>
                <w:highlight w:val="none"/>
                <w:lang w:val="en-US" w:eastAsia="zh-CN"/>
              </w:rPr>
              <w:t>0</w:t>
            </w:r>
            <w:r>
              <w:rPr>
                <w:rFonts w:ascii="Times New Roman" w:hAnsi="Times New Roman" w:cs="Times New Roman"/>
                <w:color w:val="auto"/>
                <w:highlight w:val="none"/>
              </w:rPr>
              <w:t>000m</w:t>
            </w:r>
            <w:r>
              <w:rPr>
                <w:rFonts w:ascii="Times New Roman" w:hAnsi="Times New Roman" w:cs="Times New Roman"/>
                <w:color w:val="auto"/>
                <w:highlight w:val="none"/>
                <w:vertAlign w:val="superscript"/>
              </w:rPr>
              <w:t>3</w:t>
            </w:r>
            <w:r>
              <w:rPr>
                <w:rFonts w:ascii="Times New Roman" w:hAnsi="Times New Roman" w:cs="Times New Roman"/>
                <w:color w:val="auto"/>
                <w:highlight w:val="none"/>
              </w:rPr>
              <w:t>/h，收集效率取80%；非甲烷总烃经集气罩收集后采用</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UV光解</w:t>
            </w:r>
            <w:r>
              <w:rPr>
                <w:rFonts w:hint="default" w:ascii="Times New Roman" w:hAnsi="Times New Roman" w:cs="Times New Roman"/>
                <w:color w:val="auto"/>
                <w:highlight w:val="none"/>
                <w:lang w:val="en-US" w:eastAsia="zh-CN"/>
              </w:rPr>
              <w:t>+二级</w:t>
            </w:r>
            <w:r>
              <w:rPr>
                <w:rFonts w:hint="default" w:ascii="Times New Roman" w:hAnsi="Times New Roman" w:cs="Times New Roman"/>
                <w:color w:val="auto"/>
                <w:highlight w:val="none"/>
              </w:rPr>
              <w:t>活性炭吸附</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，最后引至15m高的4#排气筒排放，根据《第二次全国污染源普查产排污核算系数手册》中“</w:t>
            </w:r>
            <w:r>
              <w:rPr>
                <w:rFonts w:hint="default" w:ascii="Times New Roman" w:hAnsi="Times New Roman" w:cs="Times New Roman"/>
                <w:color w:val="auto"/>
                <w:highlight w:val="none"/>
                <w:lang w:bidi="ar"/>
              </w:rPr>
              <w:t>33金属制品业、34通用设备制造业、35专用设备制造业、36汽车制造业、37铁路、船舶、航空航天和其他运输设备制造业、431金属制品修理、432通用设备修理、433专用设备修理、434铁路、船舶、航空航天等运输设备修理（不包括电镀工艺）行业系数手册</w:t>
            </w:r>
            <w:r>
              <w:rPr>
                <w:rFonts w:hint="default" w:ascii="Times New Roman" w:hAnsi="Times New Roman" w:cs="Times New Roman"/>
                <w:color w:val="auto"/>
                <w:highlight w:val="none"/>
              </w:rPr>
              <w:t>—</w:t>
            </w:r>
            <w:r>
              <w:rPr>
                <w:rFonts w:hint="default" w:ascii="Times New Roman" w:hAnsi="Times New Roman" w:cs="Times New Roman"/>
                <w:color w:val="auto"/>
                <w:sz w:val="24"/>
                <w:highlight w:val="none"/>
                <w:lang w:eastAsia="zh-CN"/>
              </w:rPr>
              <w:t>光解的处理效率为</w:t>
            </w:r>
            <w:r>
              <w:rPr>
                <w:rFonts w:hint="default" w:ascii="Times New Roman" w:hAnsi="Times New Roman" w:cs="Times New Roman"/>
                <w:color w:val="auto"/>
                <w:sz w:val="24"/>
                <w:highlight w:val="none"/>
                <w:lang w:val="en-US" w:eastAsia="zh-CN"/>
              </w:rPr>
              <w:t>30%；</w:t>
            </w:r>
            <w:r>
              <w:rPr>
                <w:rFonts w:hint="default" w:ascii="Times New Roman" w:hAnsi="Times New Roman" w:cs="Times New Roman"/>
                <w:color w:val="auto"/>
                <w:highlight w:val="none"/>
              </w:rPr>
              <w:t>其它（吸附法）的处理效率为60%，</w:t>
            </w:r>
            <w:r>
              <w:rPr>
                <w:rFonts w:hint="default" w:ascii="Times New Roman" w:hAnsi="Times New Roman" w:cs="Times New Roman"/>
                <w:color w:val="auto"/>
                <w:sz w:val="24"/>
                <w:highlight w:val="none"/>
              </w:rPr>
              <w:t>由于非甲烷总烃经第</w:t>
            </w:r>
            <w:r>
              <w:rPr>
                <w:rFonts w:hint="default"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级活性炭处理后其浓度降低，导致第</w:t>
            </w:r>
            <w:r>
              <w:rPr>
                <w:rFonts w:hint="default"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级活性炭对非甲烷总烃的处理效率将降低，本评价取</w:t>
            </w:r>
            <w:r>
              <w:rPr>
                <w:rFonts w:hint="default" w:ascii="Times New Roman" w:hAnsi="Times New Roman" w:cs="Times New Roman"/>
                <w:color w:val="auto"/>
                <w:sz w:val="24"/>
                <w:highlight w:val="none"/>
                <w:lang w:val="en-US" w:eastAsia="zh-CN"/>
              </w:rPr>
              <w:t>30</w:t>
            </w:r>
            <w:r>
              <w:rPr>
                <w:rFonts w:hint="default" w:ascii="Times New Roman" w:hAnsi="Times New Roman" w:cs="Times New Roman"/>
                <w:color w:val="auto"/>
                <w:sz w:val="24"/>
                <w:highlight w:val="none"/>
              </w:rPr>
              <w:t>%，则</w:t>
            </w:r>
            <w:r>
              <w:rPr>
                <w:rFonts w:hint="default" w:ascii="Times New Roman" w:hAnsi="Times New Roman" w:cs="Times New Roman"/>
                <w:color w:val="auto"/>
                <w:sz w:val="24"/>
                <w:highlight w:val="none"/>
                <w:lang w:val="en-US" w:eastAsia="zh-CN"/>
              </w:rPr>
              <w:t>UV光解+</w:t>
            </w:r>
            <w:r>
              <w:rPr>
                <w:rFonts w:hint="default" w:ascii="Times New Roman" w:hAnsi="Times New Roman" w:cs="Times New Roman"/>
                <w:color w:val="auto"/>
                <w:sz w:val="24"/>
                <w:highlight w:val="none"/>
              </w:rPr>
              <w:t>二活性炭综合处理效率为</w:t>
            </w:r>
            <w:r>
              <w:rPr>
                <w:rFonts w:hint="default" w:ascii="Times New Roman" w:hAnsi="Times New Roman" w:cs="Times New Roman"/>
                <w:color w:val="auto"/>
                <w:sz w:val="24"/>
                <w:highlight w:val="none"/>
                <w:lang w:val="en-US" w:eastAsia="zh-CN"/>
              </w:rPr>
              <w:t>80</w:t>
            </w:r>
            <w:r>
              <w:rPr>
                <w:rFonts w:hint="default" w:ascii="Times New Roman" w:hAnsi="Times New Roman" w:cs="Times New Roman"/>
                <w:color w:val="auto"/>
                <w:sz w:val="24"/>
                <w:highlight w:val="none"/>
              </w:rPr>
              <w:t>%，则非甲烷总烃排放浓度为</w:t>
            </w:r>
            <w:r>
              <w:rPr>
                <w:rFonts w:hint="eastAsia" w:ascii="Times New Roman" w:hAnsi="Times New Roman" w:cs="Times New Roman"/>
                <w:color w:val="auto"/>
                <w:sz w:val="24"/>
                <w:highlight w:val="none"/>
                <w:lang w:val="en-US" w:eastAsia="zh-CN"/>
              </w:rPr>
              <w:t>1.250</w:t>
            </w:r>
            <w:r>
              <w:rPr>
                <w:rFonts w:hint="default" w:ascii="Times New Roman" w:hAnsi="Times New Roman" w:cs="Times New Roman"/>
                <w:color w:val="auto"/>
                <w:sz w:val="24"/>
                <w:highlight w:val="none"/>
              </w:rPr>
              <w:t>mg/m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,排放速率为0.</w:t>
            </w:r>
            <w:r>
              <w:rPr>
                <w:rFonts w:hint="eastAsia" w:ascii="Times New Roman" w:hAnsi="Times New Roman" w:cs="Times New Roman"/>
                <w:color w:val="auto"/>
                <w:sz w:val="24"/>
                <w:highlight w:val="none"/>
                <w:lang w:val="en-US" w:eastAsia="zh-CN"/>
              </w:rPr>
              <w:t>012</w:t>
            </w:r>
            <w:r>
              <w:rPr>
                <w:rFonts w:hint="default" w:ascii="Times New Roman" w:hAnsi="Times New Roman" w:cs="Times New Roman"/>
                <w:color w:val="auto"/>
                <w:sz w:val="24"/>
                <w:highlight w:val="none"/>
              </w:rPr>
              <w:t>kg/h，即0.</w:t>
            </w:r>
            <w:r>
              <w:rPr>
                <w:rFonts w:hint="eastAsia" w:ascii="Times New Roman" w:hAnsi="Times New Roman" w:cs="Times New Roman"/>
                <w:color w:val="auto"/>
                <w:sz w:val="24"/>
                <w:highlight w:val="none"/>
                <w:lang w:val="en-US" w:eastAsia="zh-CN"/>
              </w:rPr>
              <w:t>026</w:t>
            </w:r>
            <w:r>
              <w:rPr>
                <w:rFonts w:hint="default" w:ascii="Times New Roman" w:hAnsi="Times New Roman" w:cs="Times New Roman"/>
                <w:color w:val="auto"/>
                <w:sz w:val="24"/>
                <w:highlight w:val="none"/>
              </w:rPr>
              <w:t>t/a</w:t>
            </w:r>
            <w:r>
              <w:rPr>
                <w:rFonts w:hint="default" w:ascii="Times New Roman" w:hAnsi="Times New Roman" w:cs="Times New Roman"/>
                <w:color w:val="auto"/>
                <w:highlight w:val="none"/>
              </w:rPr>
              <w:t>；单位产品非甲烷总烃排放量为0.</w:t>
            </w:r>
            <w:r>
              <w:rPr>
                <w:rFonts w:hint="eastAsia" w:ascii="Times New Roman" w:hAnsi="Times New Roman" w:cs="Times New Roman"/>
                <w:color w:val="auto"/>
                <w:highlight w:val="none"/>
                <w:lang w:val="en-US" w:eastAsia="zh-CN"/>
              </w:rPr>
              <w:t>087</w:t>
            </w:r>
            <w:r>
              <w:rPr>
                <w:rFonts w:hint="default" w:ascii="Times New Roman" w:hAnsi="Times New Roman" w:cs="Times New Roman"/>
                <w:color w:val="auto"/>
                <w:highlight w:val="none"/>
              </w:rPr>
              <w:t>kg/t-产品，满足《合成树脂工业污染物</w:t>
            </w:r>
            <w:r>
              <w:rPr>
                <w:rFonts w:ascii="Times New Roman" w:hAnsi="Times New Roman" w:cs="Times New Roman"/>
                <w:color w:val="auto"/>
                <w:highlight w:val="none"/>
              </w:rPr>
              <w:t>排</w:t>
            </w:r>
            <w:r>
              <w:rPr>
                <w:rFonts w:ascii="Times New Roman" w:hAnsi="Times New Roman" w:cs="Times New Roman"/>
                <w:color w:val="auto"/>
              </w:rPr>
              <w:t>放标准》（GB31572-2015）特别排放限值要求。</w:t>
            </w:r>
          </w:p>
          <w:p>
            <w:pPr>
              <w:autoSpaceDE w:val="0"/>
              <w:autoSpaceDN w:val="0"/>
              <w:adjustRightInd w:val="0"/>
              <w:snapToGrid w:val="0"/>
              <w:spacing w:line="360" w:lineRule="auto"/>
              <w:ind w:firstLine="480" w:firstLineChars="200"/>
              <w:rPr>
                <w:color w:val="auto"/>
              </w:rPr>
            </w:pPr>
            <w:r>
              <w:rPr>
                <w:color w:val="auto"/>
                <w:sz w:val="24"/>
              </w:rPr>
              <w:t>由上述分析可知，由于</w:t>
            </w:r>
            <w:r>
              <w:rPr>
                <w:rFonts w:hint="eastAsia"/>
                <w:color w:val="auto"/>
                <w:sz w:val="24"/>
              </w:rPr>
              <w:t>淋膜、冷却各工位有少量废气无法被收集</w:t>
            </w:r>
            <w:r>
              <w:rPr>
                <w:color w:val="auto"/>
                <w:sz w:val="24"/>
              </w:rPr>
              <w:t>、处理，将以无组织形式排放</w:t>
            </w:r>
            <w:r>
              <w:rPr>
                <w:rFonts w:hint="eastAsia"/>
                <w:color w:val="auto"/>
                <w:sz w:val="24"/>
              </w:rPr>
              <w:t>。根据物料平衡计算，</w:t>
            </w:r>
            <w:r>
              <w:rPr>
                <w:color w:val="auto"/>
                <w:sz w:val="24"/>
              </w:rPr>
              <w:t>非甲烷总烃无组织排放量为</w:t>
            </w:r>
            <w:r>
              <w:rPr>
                <w:rFonts w:hint="eastAsia"/>
                <w:color w:val="auto"/>
                <w:sz w:val="24"/>
              </w:rPr>
              <w:t>0.03</w:t>
            </w:r>
            <w:r>
              <w:rPr>
                <w:rFonts w:hint="eastAsia"/>
                <w:color w:val="auto"/>
                <w:sz w:val="24"/>
                <w:lang w:val="en-US" w:eastAsia="zh-CN"/>
              </w:rPr>
              <w:t>3</w:t>
            </w:r>
            <w:r>
              <w:rPr>
                <w:color w:val="auto"/>
                <w:sz w:val="24"/>
              </w:rPr>
              <w:t>t/a。</w:t>
            </w:r>
          </w:p>
          <w:p>
            <w:pPr>
              <w:tabs>
                <w:tab w:val="left" w:pos="652"/>
              </w:tabs>
              <w:snapToGrid w:val="0"/>
              <w:spacing w:line="360" w:lineRule="auto"/>
              <w:ind w:firstLine="480" w:firstLineChars="200"/>
              <w:rPr>
                <w:color w:val="auto"/>
                <w:sz w:val="24"/>
              </w:rPr>
            </w:pPr>
            <w:r>
              <w:rPr>
                <w:rFonts w:hint="eastAsia"/>
                <w:color w:val="auto"/>
                <w:sz w:val="24"/>
                <w:lang w:eastAsia="zh-CN"/>
              </w:rPr>
              <w:t>扩建项目</w:t>
            </w:r>
            <w:r>
              <w:rPr>
                <w:color w:val="auto"/>
                <w:sz w:val="24"/>
              </w:rPr>
              <w:t>废气</w:t>
            </w:r>
            <w:r>
              <w:rPr>
                <w:rFonts w:hint="eastAsia"/>
                <w:color w:val="auto"/>
                <w:sz w:val="24"/>
              </w:rPr>
              <w:t>产排污节点、污染物及污染治理设施</w:t>
            </w:r>
            <w:r>
              <w:rPr>
                <w:color w:val="auto"/>
                <w:sz w:val="24"/>
              </w:rPr>
              <w:t>见表4.</w:t>
            </w:r>
            <w:r>
              <w:rPr>
                <w:rFonts w:hint="eastAsia"/>
                <w:color w:val="auto"/>
                <w:sz w:val="24"/>
              </w:rPr>
              <w:t>3、废气排放口基本信息见表4.4、废气产排情况见表4.5。</w:t>
            </w:r>
          </w:p>
          <w:p>
            <w:pPr>
              <w:pStyle w:val="2"/>
              <w:jc w:val="center"/>
              <w:rPr>
                <w:rFonts w:ascii="Times New Roman" w:cs="Times New Roman"/>
                <w:color w:val="auto"/>
                <w:sz w:val="21"/>
                <w:szCs w:val="21"/>
              </w:rPr>
            </w:pPr>
          </w:p>
          <w:p>
            <w:pPr>
              <w:pStyle w:val="2"/>
              <w:jc w:val="center"/>
              <w:rPr>
                <w:rFonts w:ascii="Times New Roman" w:cs="Times New Roman"/>
                <w:color w:val="auto"/>
                <w:sz w:val="21"/>
                <w:szCs w:val="21"/>
              </w:rPr>
            </w:pPr>
            <w:r>
              <w:rPr>
                <w:rFonts w:ascii="Times New Roman" w:cs="Times New Roman"/>
                <w:color w:val="auto"/>
                <w:sz w:val="21"/>
                <w:szCs w:val="21"/>
              </w:rPr>
              <w:t>表4.</w:t>
            </w:r>
            <w:r>
              <w:rPr>
                <w:rFonts w:hint="eastAsia" w:ascii="Times New Roman" w:cs="Times New Roman"/>
                <w:color w:val="auto"/>
                <w:sz w:val="21"/>
                <w:szCs w:val="21"/>
              </w:rPr>
              <w:t>3</w:t>
            </w:r>
            <w:r>
              <w:rPr>
                <w:rFonts w:ascii="Times New Roman" w:cs="Times New Roman"/>
                <w:color w:val="auto"/>
                <w:sz w:val="21"/>
                <w:szCs w:val="21"/>
              </w:rPr>
              <w:t xml:space="preserve"> 废气产排</w:t>
            </w:r>
            <w:r>
              <w:rPr>
                <w:rFonts w:hint="eastAsia" w:ascii="Times New Roman" w:cs="Times New Roman"/>
                <w:color w:val="auto"/>
                <w:sz w:val="21"/>
                <w:szCs w:val="21"/>
              </w:rPr>
              <w:t>节点、污染物及污染治理设施</w:t>
            </w:r>
            <w:r>
              <w:rPr>
                <w:rFonts w:ascii="Times New Roman" w:cs="Times New Roman"/>
                <w:color w:val="auto"/>
                <w:sz w:val="21"/>
                <w:szCs w:val="21"/>
              </w:rPr>
              <w:t>一览表</w:t>
            </w:r>
          </w:p>
          <w:tbl>
            <w:tblPr>
              <w:tblStyle w:val="23"/>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1433"/>
              <w:gridCol w:w="889"/>
              <w:gridCol w:w="1164"/>
              <w:gridCol w:w="1164"/>
              <w:gridCol w:w="1176"/>
              <w:gridCol w:w="116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9" w:type="pct"/>
                  <w:vMerge w:val="restar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产污环节</w:t>
                  </w:r>
                </w:p>
              </w:tc>
              <w:tc>
                <w:tcPr>
                  <w:tcW w:w="879" w:type="pct"/>
                  <w:vMerge w:val="restar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污染物</w:t>
                  </w:r>
                </w:p>
                <w:p>
                  <w:pPr>
                    <w:pStyle w:val="2"/>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种类</w:t>
                  </w:r>
                </w:p>
              </w:tc>
              <w:tc>
                <w:tcPr>
                  <w:tcW w:w="545" w:type="pct"/>
                  <w:vMerge w:val="restar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排放形式</w:t>
                  </w:r>
                </w:p>
              </w:tc>
              <w:tc>
                <w:tcPr>
                  <w:tcW w:w="2149" w:type="pct"/>
                  <w:gridSpan w:val="3"/>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污染治理设施</w:t>
                  </w:r>
                </w:p>
              </w:tc>
              <w:tc>
                <w:tcPr>
                  <w:tcW w:w="717" w:type="pct"/>
                  <w:vMerge w:val="restar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排放标准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9" w:type="pct"/>
                  <w:vMerge w:val="continue"/>
                  <w:tcBorders>
                    <w:tl2br w:val="nil"/>
                    <w:tr2bl w:val="nil"/>
                  </w:tcBorders>
                  <w:vAlign w:val="center"/>
                </w:tcPr>
                <w:p>
                  <w:pPr>
                    <w:pStyle w:val="2"/>
                    <w:snapToGrid w:val="0"/>
                    <w:spacing w:line="240" w:lineRule="auto"/>
                    <w:jc w:val="center"/>
                    <w:rPr>
                      <w:rFonts w:ascii="Times New Roman" w:cs="Times New Roman"/>
                      <w:color w:val="auto"/>
                      <w:sz w:val="21"/>
                      <w:szCs w:val="21"/>
                    </w:rPr>
                  </w:pPr>
                </w:p>
              </w:tc>
              <w:tc>
                <w:tcPr>
                  <w:tcW w:w="879" w:type="pct"/>
                  <w:vMerge w:val="continue"/>
                  <w:tcBorders>
                    <w:tl2br w:val="nil"/>
                    <w:tr2bl w:val="nil"/>
                  </w:tcBorders>
                  <w:vAlign w:val="center"/>
                </w:tcPr>
                <w:p>
                  <w:pPr>
                    <w:pStyle w:val="2"/>
                    <w:snapToGrid w:val="0"/>
                    <w:spacing w:line="240" w:lineRule="auto"/>
                    <w:jc w:val="center"/>
                    <w:rPr>
                      <w:rFonts w:ascii="Times New Roman" w:cs="Times New Roman"/>
                      <w:color w:val="auto"/>
                      <w:sz w:val="21"/>
                      <w:szCs w:val="21"/>
                    </w:rPr>
                  </w:pPr>
                </w:p>
              </w:tc>
              <w:tc>
                <w:tcPr>
                  <w:tcW w:w="545" w:type="pct"/>
                  <w:vMerge w:val="continue"/>
                  <w:tcBorders>
                    <w:tl2br w:val="nil"/>
                    <w:tr2bl w:val="nil"/>
                  </w:tcBorders>
                  <w:vAlign w:val="center"/>
                </w:tcPr>
                <w:p>
                  <w:pPr>
                    <w:pStyle w:val="2"/>
                    <w:snapToGrid w:val="0"/>
                    <w:spacing w:line="240" w:lineRule="auto"/>
                    <w:jc w:val="center"/>
                    <w:rPr>
                      <w:rFonts w:ascii="Times New Roman" w:cs="Times New Roman"/>
                      <w:color w:val="auto"/>
                      <w:sz w:val="21"/>
                      <w:szCs w:val="21"/>
                    </w:rPr>
                  </w:pPr>
                </w:p>
              </w:tc>
              <w:tc>
                <w:tcPr>
                  <w:tcW w:w="714" w:type="pc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治理工艺</w:t>
                  </w:r>
                </w:p>
              </w:tc>
              <w:tc>
                <w:tcPr>
                  <w:tcW w:w="714" w:type="pc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收集效率</w:t>
                  </w:r>
                </w:p>
              </w:tc>
              <w:tc>
                <w:tcPr>
                  <w:tcW w:w="721" w:type="pc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治理工艺去除率</w:t>
                  </w:r>
                </w:p>
              </w:tc>
              <w:tc>
                <w:tcPr>
                  <w:tcW w:w="717" w:type="pct"/>
                  <w:vMerge w:val="continue"/>
                  <w:tcBorders>
                    <w:tl2br w:val="nil"/>
                    <w:tr2bl w:val="nil"/>
                  </w:tcBorders>
                  <w:vAlign w:val="center"/>
                </w:tcPr>
                <w:p>
                  <w:pPr>
                    <w:pStyle w:val="2"/>
                    <w:snapToGrid w:val="0"/>
                    <w:spacing w:line="240" w:lineRule="auto"/>
                    <w:jc w:val="center"/>
                    <w:rPr>
                      <w:rFonts w:ascii="Times New Roman" w:cs="Times New Roman"/>
                      <w:color w:val="auto"/>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709" w:type="pct"/>
                  <w:tcBorders>
                    <w:tl2br w:val="nil"/>
                    <w:tr2bl w:val="nil"/>
                  </w:tcBorders>
                  <w:vAlign w:val="center"/>
                </w:tcPr>
                <w:p>
                  <w:pPr>
                    <w:pStyle w:val="3"/>
                    <w:adjustRightInd w:val="0"/>
                    <w:spacing w:line="240" w:lineRule="auto"/>
                    <w:jc w:val="center"/>
                    <w:rPr>
                      <w:color w:val="auto"/>
                    </w:rPr>
                  </w:pPr>
                  <w:r>
                    <w:rPr>
                      <w:rFonts w:hint="eastAsia"/>
                      <w:color w:val="auto"/>
                      <w:sz w:val="21"/>
                      <w:szCs w:val="21"/>
                    </w:rPr>
                    <w:t>涂胶、烘干</w:t>
                  </w:r>
                </w:p>
              </w:tc>
              <w:tc>
                <w:tcPr>
                  <w:tcW w:w="879" w:type="pc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非甲烷总烃</w:t>
                  </w:r>
                </w:p>
                <w:p>
                  <w:pPr>
                    <w:pStyle w:val="2"/>
                    <w:snapToGrid w:val="0"/>
                    <w:spacing w:line="240" w:lineRule="auto"/>
                    <w:jc w:val="center"/>
                    <w:rPr>
                      <w:rFonts w:ascii="Times New Roman" w:cs="Times New Roman"/>
                      <w:color w:val="auto"/>
                      <w:sz w:val="21"/>
                      <w:szCs w:val="21"/>
                      <w:vertAlign w:val="subscript"/>
                    </w:rPr>
                  </w:pPr>
                  <w:r>
                    <w:rPr>
                      <w:rFonts w:hint="eastAsia" w:ascii="Times New Roman" w:cs="Times New Roman"/>
                      <w:color w:val="auto"/>
                      <w:sz w:val="21"/>
                      <w:szCs w:val="21"/>
                    </w:rPr>
                    <w:t>SO</w:t>
                  </w:r>
                  <w:r>
                    <w:rPr>
                      <w:rFonts w:hint="eastAsia" w:ascii="Times New Roman" w:cs="Times New Roman"/>
                      <w:color w:val="auto"/>
                      <w:sz w:val="21"/>
                      <w:szCs w:val="21"/>
                      <w:vertAlign w:val="subscript"/>
                    </w:rPr>
                    <w:t>2</w:t>
                  </w:r>
                </w:p>
                <w:p>
                  <w:pPr>
                    <w:pStyle w:val="2"/>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NO</w:t>
                  </w:r>
                  <w:r>
                    <w:rPr>
                      <w:rFonts w:hint="eastAsia" w:ascii="Times New Roman" w:cs="Times New Roman"/>
                      <w:color w:val="auto"/>
                      <w:sz w:val="21"/>
                      <w:szCs w:val="21"/>
                      <w:vertAlign w:val="subscript"/>
                    </w:rPr>
                    <w:t>X</w:t>
                  </w:r>
                </w:p>
                <w:p>
                  <w:pPr>
                    <w:pStyle w:val="2"/>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颗粒物</w:t>
                  </w:r>
                </w:p>
              </w:tc>
              <w:tc>
                <w:tcPr>
                  <w:tcW w:w="545" w:type="pc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有组织</w:t>
                  </w:r>
                </w:p>
              </w:tc>
              <w:tc>
                <w:tcPr>
                  <w:tcW w:w="714" w:type="pct"/>
                  <w:vMerge w:val="restart"/>
                  <w:tcBorders>
                    <w:tl2br w:val="nil"/>
                    <w:tr2bl w:val="nil"/>
                  </w:tcBorders>
                  <w:vAlign w:val="center"/>
                </w:tcPr>
                <w:p>
                  <w:pPr>
                    <w:pStyle w:val="2"/>
                    <w:snapToGrid w:val="0"/>
                    <w:spacing w:line="240" w:lineRule="auto"/>
                    <w:jc w:val="center"/>
                    <w:rPr>
                      <w:rFonts w:ascii="Times New Roman" w:cs="Times New Roman"/>
                      <w:bCs/>
                      <w:color w:val="auto"/>
                      <w:sz w:val="21"/>
                      <w:szCs w:val="21"/>
                    </w:rPr>
                  </w:pPr>
                  <w:r>
                    <w:rPr>
                      <w:rFonts w:hint="eastAsia" w:ascii="Times New Roman" w:cs="Times New Roman"/>
                      <w:bCs/>
                      <w:color w:val="auto"/>
                      <w:sz w:val="21"/>
                      <w:szCs w:val="21"/>
                      <w:highlight w:val="none"/>
                      <w:lang w:val="en-US" w:eastAsia="zh-CN"/>
                    </w:rPr>
                    <w:t>UV光解+</w:t>
                  </w:r>
                  <w:r>
                    <w:rPr>
                      <w:rFonts w:hint="eastAsia" w:ascii="Times New Roman" w:cs="Times New Roman"/>
                      <w:bCs/>
                      <w:color w:val="auto"/>
                      <w:sz w:val="21"/>
                      <w:szCs w:val="21"/>
                      <w:highlight w:val="none"/>
                    </w:rPr>
                    <w:t>二级活性炭吸附</w:t>
                  </w:r>
                </w:p>
              </w:tc>
              <w:tc>
                <w:tcPr>
                  <w:tcW w:w="714" w:type="pc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80%</w:t>
                  </w:r>
                </w:p>
              </w:tc>
              <w:tc>
                <w:tcPr>
                  <w:tcW w:w="721" w:type="pc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非甲烷总烃：</w:t>
                  </w:r>
                  <w:r>
                    <w:rPr>
                      <w:rFonts w:hint="eastAsia" w:ascii="Times New Roman" w:cs="Times New Roman"/>
                      <w:color w:val="auto"/>
                      <w:sz w:val="21"/>
                      <w:szCs w:val="21"/>
                      <w:lang w:val="en-US" w:eastAsia="zh-CN"/>
                    </w:rPr>
                    <w:t>80</w:t>
                  </w:r>
                  <w:r>
                    <w:rPr>
                      <w:rFonts w:hint="eastAsia" w:ascii="Times New Roman" w:cs="Times New Roman"/>
                      <w:color w:val="auto"/>
                      <w:sz w:val="21"/>
                      <w:szCs w:val="21"/>
                    </w:rPr>
                    <w:t>%</w:t>
                  </w:r>
                </w:p>
              </w:tc>
              <w:tc>
                <w:tcPr>
                  <w:tcW w:w="717" w:type="pc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ascii="Times New Roman" w:cs="Times New Roman"/>
                      <w:color w:val="auto"/>
                      <w:sz w:val="21"/>
                      <w:szCs w:val="21"/>
                    </w:rPr>
                    <w:t>DB50/</w:t>
                  </w:r>
                  <w:r>
                    <w:rPr>
                      <w:rFonts w:hint="eastAsia" w:ascii="Times New Roman" w:cs="Times New Roman"/>
                      <w:color w:val="auto"/>
                      <w:sz w:val="21"/>
                      <w:szCs w:val="21"/>
                    </w:rPr>
                    <w:t>418</w:t>
                  </w:r>
                  <w:r>
                    <w:rPr>
                      <w:rFonts w:ascii="Times New Roman" w:cs="Times New Roman"/>
                      <w:color w:val="auto"/>
                      <w:sz w:val="21"/>
                      <w:szCs w:val="21"/>
                    </w:rPr>
                    <w:t>－2016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9" w:type="pct"/>
                  <w:tcBorders>
                    <w:tl2br w:val="nil"/>
                    <w:tr2bl w:val="nil"/>
                  </w:tcBorders>
                  <w:vAlign w:val="center"/>
                </w:tcPr>
                <w:p>
                  <w:pPr>
                    <w:pStyle w:val="3"/>
                    <w:adjustRightInd w:val="0"/>
                    <w:spacing w:line="240" w:lineRule="auto"/>
                    <w:jc w:val="center"/>
                    <w:rPr>
                      <w:rFonts w:ascii="宋体" w:hAnsi="宋体"/>
                      <w:color w:val="auto"/>
                      <w:szCs w:val="21"/>
                    </w:rPr>
                  </w:pPr>
                  <w:r>
                    <w:rPr>
                      <w:rFonts w:hint="eastAsia"/>
                      <w:color w:val="auto"/>
                      <w:sz w:val="21"/>
                      <w:szCs w:val="21"/>
                    </w:rPr>
                    <w:t>淋膜、冷却</w:t>
                  </w:r>
                </w:p>
              </w:tc>
              <w:tc>
                <w:tcPr>
                  <w:tcW w:w="879" w:type="pct"/>
                  <w:tcBorders>
                    <w:tl2br w:val="nil"/>
                    <w:tr2bl w:val="nil"/>
                  </w:tcBorders>
                  <w:vAlign w:val="center"/>
                </w:tcPr>
                <w:p>
                  <w:pPr>
                    <w:pStyle w:val="3"/>
                    <w:adjustRightInd w:val="0"/>
                    <w:spacing w:line="240" w:lineRule="auto"/>
                    <w:jc w:val="center"/>
                    <w:rPr>
                      <w:color w:val="auto"/>
                    </w:rPr>
                  </w:pPr>
                  <w:r>
                    <w:rPr>
                      <w:rFonts w:hint="eastAsia" w:ascii="Times New Roman" w:cs="Times New Roman"/>
                      <w:color w:val="auto"/>
                      <w:sz w:val="21"/>
                      <w:szCs w:val="21"/>
                    </w:rPr>
                    <w:t>非甲烷总烃</w:t>
                  </w:r>
                </w:p>
              </w:tc>
              <w:tc>
                <w:tcPr>
                  <w:tcW w:w="545" w:type="pc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有组织</w:t>
                  </w:r>
                </w:p>
              </w:tc>
              <w:tc>
                <w:tcPr>
                  <w:tcW w:w="714" w:type="pct"/>
                  <w:vMerge w:val="continue"/>
                  <w:tcBorders>
                    <w:tl2br w:val="nil"/>
                    <w:tr2bl w:val="nil"/>
                  </w:tcBorders>
                  <w:vAlign w:val="center"/>
                </w:tcPr>
                <w:p>
                  <w:pPr>
                    <w:pStyle w:val="2"/>
                    <w:snapToGrid w:val="0"/>
                    <w:spacing w:line="240" w:lineRule="auto"/>
                    <w:jc w:val="center"/>
                    <w:rPr>
                      <w:rFonts w:ascii="Times New Roman" w:cs="Times New Roman"/>
                      <w:bCs/>
                      <w:color w:val="auto"/>
                      <w:sz w:val="21"/>
                      <w:szCs w:val="21"/>
                    </w:rPr>
                  </w:pPr>
                </w:p>
              </w:tc>
              <w:tc>
                <w:tcPr>
                  <w:tcW w:w="714" w:type="pc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80%</w:t>
                  </w:r>
                </w:p>
              </w:tc>
              <w:tc>
                <w:tcPr>
                  <w:tcW w:w="721" w:type="pc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非甲烷总烃：</w:t>
                  </w:r>
                  <w:r>
                    <w:rPr>
                      <w:rFonts w:hint="eastAsia" w:ascii="Times New Roman" w:cs="Times New Roman"/>
                      <w:color w:val="auto"/>
                      <w:sz w:val="21"/>
                      <w:szCs w:val="21"/>
                      <w:lang w:val="en-US" w:eastAsia="zh-CN"/>
                    </w:rPr>
                    <w:t>80</w:t>
                  </w:r>
                  <w:r>
                    <w:rPr>
                      <w:rFonts w:hint="eastAsia" w:ascii="Times New Roman" w:cs="Times New Roman"/>
                      <w:color w:val="auto"/>
                      <w:sz w:val="21"/>
                      <w:szCs w:val="21"/>
                    </w:rPr>
                    <w:t>%</w:t>
                  </w:r>
                </w:p>
              </w:tc>
              <w:tc>
                <w:tcPr>
                  <w:tcW w:w="717" w:type="pct"/>
                  <w:tcBorders>
                    <w:tl2br w:val="nil"/>
                    <w:tr2bl w:val="nil"/>
                  </w:tcBorders>
                  <w:vAlign w:val="center"/>
                </w:tcPr>
                <w:p>
                  <w:pPr>
                    <w:pStyle w:val="2"/>
                    <w:spacing w:line="240" w:lineRule="auto"/>
                    <w:jc w:val="center"/>
                    <w:rPr>
                      <w:rFonts w:ascii="Times New Roman" w:cs="Times New Roman"/>
                      <w:color w:val="auto"/>
                      <w:sz w:val="21"/>
                      <w:szCs w:val="21"/>
                    </w:rPr>
                  </w:pPr>
                  <w:r>
                    <w:rPr>
                      <w:rFonts w:hint="eastAsia" w:ascii="Times New Roman" w:cs="Times New Roman"/>
                      <w:color w:val="auto"/>
                      <w:sz w:val="21"/>
                      <w:szCs w:val="21"/>
                    </w:rPr>
                    <w:t>GB31572</w:t>
                  </w:r>
                  <w:r>
                    <w:rPr>
                      <w:rFonts w:ascii="Times New Roman" w:cs="Times New Roman"/>
                      <w:color w:val="auto"/>
                      <w:sz w:val="21"/>
                      <w:szCs w:val="21"/>
                    </w:rPr>
                    <w:t>－201</w:t>
                  </w:r>
                  <w:r>
                    <w:rPr>
                      <w:rFonts w:hint="eastAsia" w:ascii="Times New Roman" w:cs="Times New Roman"/>
                      <w:color w:val="auto"/>
                      <w:sz w:val="21"/>
                      <w:szCs w:val="21"/>
                    </w:rPr>
                    <w:t>5</w:t>
                  </w:r>
                </w:p>
              </w:tc>
            </w:tr>
          </w:tbl>
          <w:p>
            <w:pPr>
              <w:pStyle w:val="2"/>
              <w:jc w:val="center"/>
              <w:rPr>
                <w:rFonts w:ascii="Times New Roman" w:cs="Times New Roman"/>
                <w:color w:val="auto"/>
                <w:sz w:val="21"/>
                <w:szCs w:val="21"/>
              </w:rPr>
            </w:pPr>
            <w:r>
              <w:rPr>
                <w:rFonts w:ascii="Times New Roman" w:cs="Times New Roman"/>
                <w:color w:val="auto"/>
                <w:sz w:val="21"/>
                <w:szCs w:val="21"/>
              </w:rPr>
              <w:t>表4.</w:t>
            </w:r>
            <w:r>
              <w:rPr>
                <w:rFonts w:hint="eastAsia" w:ascii="Times New Roman" w:cs="Times New Roman"/>
                <w:color w:val="auto"/>
                <w:sz w:val="21"/>
                <w:szCs w:val="21"/>
              </w:rPr>
              <w:t xml:space="preserve">4 </w:t>
            </w:r>
            <w:r>
              <w:rPr>
                <w:rFonts w:ascii="Times New Roman" w:cs="Times New Roman"/>
                <w:color w:val="auto"/>
                <w:sz w:val="21"/>
                <w:szCs w:val="21"/>
              </w:rPr>
              <w:t>废气</w:t>
            </w:r>
            <w:r>
              <w:rPr>
                <w:rFonts w:hint="eastAsia" w:ascii="Times New Roman" w:cs="Times New Roman"/>
                <w:color w:val="auto"/>
                <w:sz w:val="21"/>
                <w:szCs w:val="21"/>
              </w:rPr>
              <w:t>排放口基本信息</w:t>
            </w:r>
            <w:r>
              <w:rPr>
                <w:rFonts w:ascii="Times New Roman" w:cs="Times New Roman"/>
                <w:color w:val="auto"/>
                <w:sz w:val="21"/>
                <w:szCs w:val="21"/>
              </w:rPr>
              <w:t>一览表</w:t>
            </w:r>
          </w:p>
          <w:tbl>
            <w:tblPr>
              <w:tblStyle w:val="23"/>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700"/>
              <w:gridCol w:w="1315"/>
              <w:gridCol w:w="1595"/>
              <w:gridCol w:w="1499"/>
              <w:gridCol w:w="739"/>
              <w:gridCol w:w="656"/>
              <w:gridCol w:w="71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1" w:type="pct"/>
                  <w:vMerge w:val="restart"/>
                  <w:tcBorders>
                    <w:tl2br w:val="nil"/>
                    <w:tr2bl w:val="nil"/>
                  </w:tcBorders>
                  <w:vAlign w:val="center"/>
                </w:tcPr>
                <w:p>
                  <w:pPr>
                    <w:pStyle w:val="2"/>
                    <w:spacing w:line="240" w:lineRule="auto"/>
                    <w:jc w:val="center"/>
                    <w:rPr>
                      <w:rFonts w:ascii="Times New Roman" w:cs="Times New Roman"/>
                      <w:color w:val="auto"/>
                      <w:sz w:val="21"/>
                      <w:szCs w:val="21"/>
                    </w:rPr>
                  </w:pPr>
                  <w:r>
                    <w:rPr>
                      <w:rFonts w:hint="eastAsia" w:ascii="Times New Roman" w:cs="Times New Roman"/>
                      <w:color w:val="auto"/>
                      <w:sz w:val="21"/>
                      <w:szCs w:val="21"/>
                    </w:rPr>
                    <w:t>产污</w:t>
                  </w:r>
                </w:p>
                <w:p>
                  <w:pPr>
                    <w:pStyle w:val="2"/>
                    <w:spacing w:line="240" w:lineRule="auto"/>
                    <w:jc w:val="center"/>
                    <w:rPr>
                      <w:rFonts w:ascii="Times New Roman" w:cs="Times New Roman"/>
                      <w:color w:val="auto"/>
                      <w:sz w:val="21"/>
                      <w:szCs w:val="21"/>
                    </w:rPr>
                  </w:pPr>
                  <w:r>
                    <w:rPr>
                      <w:rFonts w:hint="eastAsia" w:ascii="Times New Roman" w:cs="Times New Roman"/>
                      <w:color w:val="auto"/>
                      <w:sz w:val="21"/>
                      <w:szCs w:val="21"/>
                    </w:rPr>
                    <w:t>环节</w:t>
                  </w:r>
                </w:p>
              </w:tc>
              <w:tc>
                <w:tcPr>
                  <w:tcW w:w="429" w:type="pct"/>
                  <w:vMerge w:val="restart"/>
                  <w:tcBorders>
                    <w:tl2br w:val="nil"/>
                    <w:tr2bl w:val="nil"/>
                  </w:tcBorders>
                  <w:vAlign w:val="center"/>
                </w:tcPr>
                <w:p>
                  <w:pPr>
                    <w:pStyle w:val="2"/>
                    <w:spacing w:line="240" w:lineRule="auto"/>
                    <w:jc w:val="center"/>
                    <w:rPr>
                      <w:rFonts w:ascii="Times New Roman" w:cs="Times New Roman"/>
                      <w:color w:val="auto"/>
                      <w:sz w:val="21"/>
                      <w:szCs w:val="21"/>
                    </w:rPr>
                  </w:pPr>
                  <w:r>
                    <w:rPr>
                      <w:rFonts w:hint="eastAsia" w:ascii="Times New Roman" w:cs="Times New Roman"/>
                      <w:color w:val="auto"/>
                      <w:sz w:val="21"/>
                      <w:szCs w:val="21"/>
                    </w:rPr>
                    <w:t>排放口</w:t>
                  </w:r>
                </w:p>
                <w:p>
                  <w:pPr>
                    <w:pStyle w:val="2"/>
                    <w:spacing w:line="240" w:lineRule="auto"/>
                    <w:jc w:val="center"/>
                    <w:rPr>
                      <w:rFonts w:ascii="Times New Roman" w:cs="Times New Roman"/>
                      <w:color w:val="auto"/>
                      <w:sz w:val="21"/>
                      <w:szCs w:val="21"/>
                    </w:rPr>
                  </w:pPr>
                  <w:r>
                    <w:rPr>
                      <w:rFonts w:hint="eastAsia" w:ascii="Times New Roman" w:cs="Times New Roman"/>
                      <w:color w:val="auto"/>
                      <w:sz w:val="21"/>
                      <w:szCs w:val="21"/>
                    </w:rPr>
                    <w:t>名称</w:t>
                  </w:r>
                </w:p>
              </w:tc>
              <w:tc>
                <w:tcPr>
                  <w:tcW w:w="806" w:type="pct"/>
                  <w:vMerge w:val="restart"/>
                  <w:tcBorders>
                    <w:tl2br w:val="nil"/>
                    <w:tr2bl w:val="nil"/>
                  </w:tcBorders>
                  <w:vAlign w:val="center"/>
                </w:tcPr>
                <w:p>
                  <w:pPr>
                    <w:pStyle w:val="2"/>
                    <w:spacing w:line="240" w:lineRule="auto"/>
                    <w:jc w:val="center"/>
                    <w:rPr>
                      <w:rFonts w:ascii="Times New Roman" w:cs="Times New Roman"/>
                      <w:color w:val="auto"/>
                      <w:sz w:val="21"/>
                      <w:szCs w:val="21"/>
                    </w:rPr>
                  </w:pPr>
                  <w:r>
                    <w:rPr>
                      <w:rFonts w:hint="eastAsia" w:ascii="Times New Roman" w:cs="Times New Roman"/>
                      <w:color w:val="auto"/>
                      <w:sz w:val="21"/>
                      <w:szCs w:val="21"/>
                    </w:rPr>
                    <w:t>污染物</w:t>
                  </w:r>
                </w:p>
                <w:p>
                  <w:pPr>
                    <w:pStyle w:val="2"/>
                    <w:spacing w:line="240" w:lineRule="auto"/>
                    <w:jc w:val="center"/>
                    <w:rPr>
                      <w:rFonts w:ascii="Times New Roman" w:cs="Times New Roman"/>
                      <w:color w:val="auto"/>
                      <w:sz w:val="21"/>
                      <w:szCs w:val="21"/>
                    </w:rPr>
                  </w:pPr>
                  <w:r>
                    <w:rPr>
                      <w:rFonts w:hint="eastAsia" w:ascii="Times New Roman" w:cs="Times New Roman"/>
                      <w:color w:val="auto"/>
                      <w:sz w:val="21"/>
                      <w:szCs w:val="21"/>
                    </w:rPr>
                    <w:t>种类</w:t>
                  </w:r>
                </w:p>
              </w:tc>
              <w:tc>
                <w:tcPr>
                  <w:tcW w:w="1897" w:type="pct"/>
                  <w:gridSpan w:val="2"/>
                  <w:tcBorders>
                    <w:tl2br w:val="nil"/>
                    <w:tr2bl w:val="nil"/>
                  </w:tcBorders>
                  <w:vAlign w:val="center"/>
                </w:tcPr>
                <w:p>
                  <w:pPr>
                    <w:pStyle w:val="2"/>
                    <w:spacing w:line="240" w:lineRule="auto"/>
                    <w:jc w:val="center"/>
                    <w:rPr>
                      <w:rFonts w:ascii="Times New Roman" w:cs="Times New Roman"/>
                      <w:color w:val="auto"/>
                      <w:sz w:val="21"/>
                      <w:szCs w:val="21"/>
                    </w:rPr>
                  </w:pPr>
                  <w:r>
                    <w:rPr>
                      <w:rFonts w:hint="eastAsia" w:ascii="Times New Roman" w:cs="Times New Roman"/>
                      <w:color w:val="auto"/>
                      <w:sz w:val="21"/>
                      <w:szCs w:val="21"/>
                    </w:rPr>
                    <w:t>地理坐标</w:t>
                  </w:r>
                </w:p>
              </w:tc>
              <w:tc>
                <w:tcPr>
                  <w:tcW w:w="1294" w:type="pct"/>
                  <w:gridSpan w:val="3"/>
                  <w:tcBorders>
                    <w:tl2br w:val="nil"/>
                    <w:tr2bl w:val="nil"/>
                  </w:tcBorders>
                  <w:vAlign w:val="center"/>
                </w:tcPr>
                <w:p>
                  <w:pPr>
                    <w:pStyle w:val="2"/>
                    <w:spacing w:line="240" w:lineRule="auto"/>
                    <w:jc w:val="center"/>
                    <w:rPr>
                      <w:rFonts w:ascii="Times New Roman" w:cs="Times New Roman"/>
                      <w:color w:val="auto"/>
                      <w:sz w:val="21"/>
                      <w:szCs w:val="21"/>
                    </w:rPr>
                  </w:pPr>
                  <w:r>
                    <w:rPr>
                      <w:rFonts w:hint="eastAsia" w:ascii="Times New Roman" w:cs="Times New Roman"/>
                      <w:color w:val="auto"/>
                      <w:sz w:val="21"/>
                      <w:szCs w:val="21"/>
                    </w:rPr>
                    <w:t>排气筒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71" w:type="pct"/>
                  <w:vMerge w:val="continue"/>
                  <w:tcBorders>
                    <w:tl2br w:val="nil"/>
                    <w:tr2bl w:val="nil"/>
                  </w:tcBorders>
                  <w:vAlign w:val="center"/>
                </w:tcPr>
                <w:p>
                  <w:pPr>
                    <w:pStyle w:val="2"/>
                    <w:spacing w:line="240" w:lineRule="auto"/>
                    <w:jc w:val="center"/>
                    <w:rPr>
                      <w:rFonts w:ascii="Times New Roman" w:cs="Times New Roman"/>
                      <w:color w:val="auto"/>
                      <w:sz w:val="21"/>
                      <w:szCs w:val="21"/>
                    </w:rPr>
                  </w:pPr>
                </w:p>
              </w:tc>
              <w:tc>
                <w:tcPr>
                  <w:tcW w:w="429" w:type="pct"/>
                  <w:vMerge w:val="continue"/>
                  <w:tcBorders>
                    <w:tl2br w:val="nil"/>
                    <w:tr2bl w:val="nil"/>
                  </w:tcBorders>
                  <w:vAlign w:val="center"/>
                </w:tcPr>
                <w:p>
                  <w:pPr>
                    <w:pStyle w:val="2"/>
                    <w:spacing w:line="240" w:lineRule="auto"/>
                    <w:jc w:val="center"/>
                    <w:rPr>
                      <w:rFonts w:ascii="Times New Roman" w:cs="Times New Roman"/>
                      <w:color w:val="auto"/>
                      <w:sz w:val="21"/>
                      <w:szCs w:val="21"/>
                    </w:rPr>
                  </w:pPr>
                </w:p>
              </w:tc>
              <w:tc>
                <w:tcPr>
                  <w:tcW w:w="806" w:type="pct"/>
                  <w:vMerge w:val="continue"/>
                  <w:tcBorders>
                    <w:tl2br w:val="nil"/>
                    <w:tr2bl w:val="nil"/>
                  </w:tcBorders>
                  <w:vAlign w:val="center"/>
                </w:tcPr>
                <w:p>
                  <w:pPr>
                    <w:pStyle w:val="2"/>
                    <w:spacing w:line="240" w:lineRule="auto"/>
                    <w:jc w:val="center"/>
                    <w:rPr>
                      <w:rFonts w:ascii="Times New Roman" w:cs="Times New Roman"/>
                      <w:color w:val="auto"/>
                      <w:sz w:val="21"/>
                      <w:szCs w:val="21"/>
                    </w:rPr>
                  </w:pPr>
                </w:p>
              </w:tc>
              <w:tc>
                <w:tcPr>
                  <w:tcW w:w="978" w:type="pct"/>
                  <w:tcBorders>
                    <w:tl2br w:val="nil"/>
                    <w:tr2bl w:val="nil"/>
                  </w:tcBorders>
                  <w:vAlign w:val="center"/>
                </w:tcPr>
                <w:p>
                  <w:pPr>
                    <w:pStyle w:val="2"/>
                    <w:spacing w:line="240" w:lineRule="auto"/>
                    <w:jc w:val="center"/>
                    <w:rPr>
                      <w:rFonts w:ascii="Times New Roman" w:cs="Times New Roman"/>
                      <w:color w:val="auto"/>
                      <w:sz w:val="21"/>
                      <w:szCs w:val="21"/>
                    </w:rPr>
                  </w:pPr>
                  <w:r>
                    <w:rPr>
                      <w:rFonts w:hint="eastAsia" w:ascii="Times New Roman" w:cs="Times New Roman"/>
                      <w:color w:val="auto"/>
                      <w:sz w:val="21"/>
                      <w:szCs w:val="21"/>
                    </w:rPr>
                    <w:t>经度</w:t>
                  </w:r>
                </w:p>
              </w:tc>
              <w:tc>
                <w:tcPr>
                  <w:tcW w:w="919" w:type="pct"/>
                  <w:tcBorders>
                    <w:tl2br w:val="nil"/>
                    <w:tr2bl w:val="nil"/>
                  </w:tcBorders>
                  <w:vAlign w:val="center"/>
                </w:tcPr>
                <w:p>
                  <w:pPr>
                    <w:pStyle w:val="2"/>
                    <w:spacing w:line="240" w:lineRule="auto"/>
                    <w:jc w:val="center"/>
                    <w:rPr>
                      <w:rFonts w:ascii="Times New Roman" w:cs="Times New Roman"/>
                      <w:color w:val="auto"/>
                      <w:sz w:val="21"/>
                      <w:szCs w:val="21"/>
                    </w:rPr>
                  </w:pPr>
                  <w:r>
                    <w:rPr>
                      <w:rFonts w:hint="eastAsia" w:ascii="Times New Roman" w:cs="Times New Roman"/>
                      <w:color w:val="auto"/>
                      <w:sz w:val="21"/>
                      <w:szCs w:val="21"/>
                    </w:rPr>
                    <w:t>纬度</w:t>
                  </w:r>
                </w:p>
              </w:tc>
              <w:tc>
                <w:tcPr>
                  <w:tcW w:w="453" w:type="pct"/>
                  <w:tcBorders>
                    <w:tl2br w:val="nil"/>
                    <w:tr2bl w:val="nil"/>
                  </w:tcBorders>
                  <w:vAlign w:val="center"/>
                </w:tcPr>
                <w:p>
                  <w:pPr>
                    <w:pStyle w:val="2"/>
                    <w:spacing w:line="240" w:lineRule="auto"/>
                    <w:jc w:val="center"/>
                    <w:rPr>
                      <w:rFonts w:ascii="Times New Roman" w:cs="Times New Roman"/>
                      <w:color w:val="auto"/>
                      <w:sz w:val="21"/>
                      <w:szCs w:val="21"/>
                    </w:rPr>
                  </w:pPr>
                  <w:r>
                    <w:rPr>
                      <w:rFonts w:hint="eastAsia" w:ascii="Times New Roman" w:cs="Times New Roman"/>
                      <w:color w:val="auto"/>
                      <w:sz w:val="21"/>
                      <w:szCs w:val="21"/>
                    </w:rPr>
                    <w:t>高度m</w:t>
                  </w:r>
                </w:p>
              </w:tc>
              <w:tc>
                <w:tcPr>
                  <w:tcW w:w="402" w:type="pct"/>
                  <w:tcBorders>
                    <w:tl2br w:val="nil"/>
                    <w:tr2bl w:val="nil"/>
                  </w:tcBorders>
                  <w:vAlign w:val="center"/>
                </w:tcPr>
                <w:p>
                  <w:pPr>
                    <w:pStyle w:val="2"/>
                    <w:spacing w:line="240" w:lineRule="auto"/>
                    <w:jc w:val="center"/>
                    <w:rPr>
                      <w:rFonts w:ascii="Times New Roman" w:cs="Times New Roman"/>
                      <w:color w:val="auto"/>
                      <w:sz w:val="21"/>
                      <w:szCs w:val="21"/>
                    </w:rPr>
                  </w:pPr>
                  <w:r>
                    <w:rPr>
                      <w:rFonts w:hint="eastAsia" w:ascii="Times New Roman" w:cs="Times New Roman"/>
                      <w:color w:val="auto"/>
                      <w:sz w:val="21"/>
                      <w:szCs w:val="21"/>
                    </w:rPr>
                    <w:t>内径m</w:t>
                  </w:r>
                </w:p>
              </w:tc>
              <w:tc>
                <w:tcPr>
                  <w:tcW w:w="439" w:type="pct"/>
                  <w:tcBorders>
                    <w:tl2br w:val="nil"/>
                    <w:tr2bl w:val="nil"/>
                  </w:tcBorders>
                  <w:vAlign w:val="center"/>
                </w:tcPr>
                <w:p>
                  <w:pPr>
                    <w:pStyle w:val="2"/>
                    <w:spacing w:line="240" w:lineRule="auto"/>
                    <w:jc w:val="center"/>
                    <w:rPr>
                      <w:rFonts w:ascii="Times New Roman" w:cs="Times New Roman"/>
                      <w:color w:val="auto"/>
                      <w:sz w:val="21"/>
                      <w:szCs w:val="21"/>
                    </w:rPr>
                  </w:pPr>
                  <w:r>
                    <w:rPr>
                      <w:rFonts w:hint="eastAsia" w:ascii="Times New Roman" w:cs="Times New Roman"/>
                      <w:color w:val="auto"/>
                      <w:sz w:val="21"/>
                      <w:szCs w:val="21"/>
                    </w:rPr>
                    <w:t>温度</w:t>
                  </w:r>
                </w:p>
                <w:p>
                  <w:pPr>
                    <w:pStyle w:val="2"/>
                    <w:spacing w:line="240" w:lineRule="auto"/>
                    <w:jc w:val="center"/>
                    <w:rPr>
                      <w:rFonts w:ascii="Times New Roman" w:cs="Times New Roman"/>
                      <w:color w:val="auto"/>
                      <w:sz w:val="21"/>
                      <w:szCs w:val="21"/>
                    </w:rPr>
                  </w:pPr>
                  <w:r>
                    <w:rPr>
                      <w:rFonts w:ascii="Times New Roman" w:cs="Times New Roman"/>
                      <w:color w:val="auto"/>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71" w:type="pct"/>
                  <w:tcBorders>
                    <w:tl2br w:val="nil"/>
                    <w:tr2bl w:val="nil"/>
                  </w:tcBorders>
                  <w:vAlign w:val="center"/>
                </w:tcPr>
                <w:p>
                  <w:pPr>
                    <w:pStyle w:val="3"/>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涂胶</w:t>
                  </w:r>
                </w:p>
                <w:p>
                  <w:pPr>
                    <w:jc w:val="center"/>
                    <w:rPr>
                      <w:color w:val="auto"/>
                      <w:szCs w:val="21"/>
                    </w:rPr>
                  </w:pPr>
                  <w:r>
                    <w:rPr>
                      <w:color w:val="auto"/>
                      <w:szCs w:val="21"/>
                    </w:rPr>
                    <w:t>烘干</w:t>
                  </w:r>
                </w:p>
              </w:tc>
              <w:tc>
                <w:tcPr>
                  <w:tcW w:w="429" w:type="pct"/>
                  <w:tcBorders>
                    <w:tl2br w:val="nil"/>
                    <w:tr2bl w:val="nil"/>
                  </w:tcBorders>
                  <w:vAlign w:val="center"/>
                </w:tcPr>
                <w:p>
                  <w:pPr>
                    <w:pStyle w:val="2"/>
                    <w:spacing w:line="240" w:lineRule="auto"/>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3</w:t>
                  </w:r>
                  <w:r>
                    <w:rPr>
                      <w:rFonts w:ascii="Times New Roman" w:hAnsi="Times New Roman" w:cs="Times New Roman"/>
                      <w:color w:val="auto"/>
                      <w:sz w:val="21"/>
                      <w:szCs w:val="21"/>
                    </w:rPr>
                    <w:t>#排放口</w:t>
                  </w:r>
                </w:p>
              </w:tc>
              <w:tc>
                <w:tcPr>
                  <w:tcW w:w="806" w:type="pct"/>
                  <w:tcBorders>
                    <w:tl2br w:val="nil"/>
                    <w:tr2bl w:val="nil"/>
                  </w:tcBorders>
                  <w:vAlign w:val="center"/>
                </w:tcPr>
                <w:p>
                  <w:pPr>
                    <w:pStyle w:val="2"/>
                    <w:spacing w:line="240" w:lineRule="auto"/>
                    <w:jc w:val="center"/>
                    <w:rPr>
                      <w:rFonts w:ascii="Times New Roman" w:cs="Times New Roman"/>
                      <w:color w:val="auto"/>
                      <w:sz w:val="21"/>
                      <w:szCs w:val="21"/>
                    </w:rPr>
                  </w:pPr>
                  <w:r>
                    <w:rPr>
                      <w:rFonts w:hint="eastAsia" w:ascii="Times New Roman" w:cs="Times New Roman"/>
                      <w:color w:val="auto"/>
                      <w:sz w:val="21"/>
                      <w:szCs w:val="21"/>
                    </w:rPr>
                    <w:t>非甲烷总烃</w:t>
                  </w:r>
                </w:p>
                <w:p>
                  <w:pPr>
                    <w:pStyle w:val="2"/>
                    <w:spacing w:line="240" w:lineRule="auto"/>
                    <w:jc w:val="center"/>
                    <w:rPr>
                      <w:rFonts w:ascii="Times New Roman" w:cs="Times New Roman"/>
                      <w:color w:val="auto"/>
                      <w:sz w:val="21"/>
                      <w:szCs w:val="21"/>
                      <w:vertAlign w:val="subscript"/>
                    </w:rPr>
                  </w:pPr>
                  <w:r>
                    <w:rPr>
                      <w:rFonts w:hint="eastAsia" w:ascii="Times New Roman" w:cs="Times New Roman"/>
                      <w:color w:val="auto"/>
                      <w:sz w:val="21"/>
                      <w:szCs w:val="21"/>
                    </w:rPr>
                    <w:t>SO</w:t>
                  </w:r>
                  <w:r>
                    <w:rPr>
                      <w:rFonts w:hint="eastAsia" w:ascii="Times New Roman" w:cs="Times New Roman"/>
                      <w:color w:val="auto"/>
                      <w:sz w:val="21"/>
                      <w:szCs w:val="21"/>
                      <w:vertAlign w:val="subscript"/>
                    </w:rPr>
                    <w:t>2</w:t>
                  </w:r>
                </w:p>
                <w:p>
                  <w:pPr>
                    <w:pStyle w:val="2"/>
                    <w:spacing w:line="240" w:lineRule="auto"/>
                    <w:jc w:val="center"/>
                    <w:rPr>
                      <w:rFonts w:ascii="Times New Roman" w:cs="Times New Roman"/>
                      <w:color w:val="auto"/>
                      <w:sz w:val="21"/>
                      <w:szCs w:val="21"/>
                    </w:rPr>
                  </w:pPr>
                  <w:r>
                    <w:rPr>
                      <w:rFonts w:hint="eastAsia" w:ascii="Times New Roman" w:cs="Times New Roman"/>
                      <w:color w:val="auto"/>
                      <w:sz w:val="21"/>
                      <w:szCs w:val="21"/>
                    </w:rPr>
                    <w:t>NO</w:t>
                  </w:r>
                  <w:r>
                    <w:rPr>
                      <w:rFonts w:hint="eastAsia" w:ascii="Times New Roman" w:cs="Times New Roman"/>
                      <w:color w:val="auto"/>
                      <w:sz w:val="21"/>
                      <w:szCs w:val="21"/>
                      <w:vertAlign w:val="subscript"/>
                    </w:rPr>
                    <w:t>X</w:t>
                  </w:r>
                </w:p>
                <w:p>
                  <w:pPr>
                    <w:pStyle w:val="2"/>
                    <w:spacing w:line="240" w:lineRule="auto"/>
                    <w:jc w:val="center"/>
                    <w:rPr>
                      <w:rFonts w:ascii="Times New Roman" w:cs="Times New Roman"/>
                      <w:color w:val="auto"/>
                      <w:sz w:val="21"/>
                      <w:szCs w:val="21"/>
                    </w:rPr>
                  </w:pPr>
                  <w:r>
                    <w:rPr>
                      <w:rFonts w:hint="eastAsia" w:ascii="Times New Roman" w:cs="Times New Roman"/>
                      <w:color w:val="auto"/>
                      <w:sz w:val="21"/>
                      <w:szCs w:val="21"/>
                    </w:rPr>
                    <w:t>颗粒物</w:t>
                  </w:r>
                </w:p>
              </w:tc>
              <w:tc>
                <w:tcPr>
                  <w:tcW w:w="978" w:type="pct"/>
                  <w:tcBorders>
                    <w:tl2br w:val="nil"/>
                    <w:tr2bl w:val="nil"/>
                  </w:tcBorders>
                  <w:vAlign w:val="center"/>
                </w:tcPr>
                <w:p>
                  <w:pPr>
                    <w:tabs>
                      <w:tab w:val="left" w:pos="600"/>
                    </w:tabs>
                    <w:adjustRightInd w:val="0"/>
                    <w:snapToGrid w:val="0"/>
                    <w:jc w:val="center"/>
                    <w:rPr>
                      <w:color w:val="auto"/>
                      <w:szCs w:val="21"/>
                    </w:rPr>
                  </w:pPr>
                  <w:r>
                    <w:rPr>
                      <w:rFonts w:hint="eastAsia"/>
                      <w:color w:val="auto"/>
                      <w:szCs w:val="21"/>
                    </w:rPr>
                    <w:t>106</w:t>
                  </w:r>
                  <w:r>
                    <w:rPr>
                      <w:color w:val="auto"/>
                      <w:szCs w:val="21"/>
                    </w:rPr>
                    <w:t>°</w:t>
                  </w:r>
                  <w:r>
                    <w:rPr>
                      <w:rFonts w:hint="eastAsia"/>
                      <w:color w:val="auto"/>
                      <w:szCs w:val="21"/>
                    </w:rPr>
                    <w:t>7</w:t>
                  </w:r>
                  <w:r>
                    <w:rPr>
                      <w:color w:val="auto"/>
                      <w:szCs w:val="21"/>
                    </w:rPr>
                    <w:t>ʹ</w:t>
                  </w:r>
                  <w:r>
                    <w:rPr>
                      <w:rFonts w:hint="eastAsia"/>
                      <w:color w:val="auto"/>
                      <w:szCs w:val="21"/>
                    </w:rPr>
                    <w:t>10.494</w:t>
                  </w:r>
                  <w:r>
                    <w:rPr>
                      <w:color w:val="auto"/>
                      <w:szCs w:val="21"/>
                    </w:rPr>
                    <w:t>ʺ</w:t>
                  </w:r>
                </w:p>
              </w:tc>
              <w:tc>
                <w:tcPr>
                  <w:tcW w:w="919" w:type="pct"/>
                  <w:tcBorders>
                    <w:tl2br w:val="nil"/>
                    <w:tr2bl w:val="nil"/>
                  </w:tcBorders>
                  <w:vAlign w:val="center"/>
                </w:tcPr>
                <w:p>
                  <w:pPr>
                    <w:tabs>
                      <w:tab w:val="left" w:pos="600"/>
                    </w:tabs>
                    <w:adjustRightInd w:val="0"/>
                    <w:snapToGrid w:val="0"/>
                    <w:jc w:val="center"/>
                    <w:rPr>
                      <w:color w:val="auto"/>
                      <w:szCs w:val="21"/>
                    </w:rPr>
                  </w:pPr>
                  <w:r>
                    <w:rPr>
                      <w:rFonts w:hint="eastAsia"/>
                      <w:color w:val="auto"/>
                      <w:szCs w:val="21"/>
                    </w:rPr>
                    <w:t>29</w:t>
                  </w:r>
                  <w:r>
                    <w:rPr>
                      <w:color w:val="auto"/>
                      <w:szCs w:val="21"/>
                    </w:rPr>
                    <w:t>°</w:t>
                  </w:r>
                  <w:r>
                    <w:rPr>
                      <w:rFonts w:hint="eastAsia"/>
                      <w:color w:val="auto"/>
                      <w:szCs w:val="21"/>
                    </w:rPr>
                    <w:t>50</w:t>
                  </w:r>
                  <w:r>
                    <w:rPr>
                      <w:color w:val="auto"/>
                      <w:szCs w:val="21"/>
                    </w:rPr>
                    <w:t>ʹ</w:t>
                  </w:r>
                  <w:r>
                    <w:rPr>
                      <w:rFonts w:hint="eastAsia"/>
                      <w:color w:val="auto"/>
                      <w:szCs w:val="21"/>
                    </w:rPr>
                    <w:t>38.430</w:t>
                  </w:r>
                  <w:r>
                    <w:rPr>
                      <w:color w:val="auto"/>
                      <w:szCs w:val="21"/>
                    </w:rPr>
                    <w:t>ʺ</w:t>
                  </w:r>
                </w:p>
              </w:tc>
              <w:tc>
                <w:tcPr>
                  <w:tcW w:w="453" w:type="pct"/>
                  <w:tcBorders>
                    <w:tl2br w:val="nil"/>
                    <w:tr2bl w:val="nil"/>
                  </w:tcBorders>
                  <w:vAlign w:val="center"/>
                </w:tcPr>
                <w:p>
                  <w:pPr>
                    <w:adjustRightInd w:val="0"/>
                    <w:snapToGrid w:val="0"/>
                    <w:jc w:val="center"/>
                    <w:rPr>
                      <w:color w:val="auto"/>
                      <w:szCs w:val="21"/>
                    </w:rPr>
                  </w:pPr>
                  <w:r>
                    <w:rPr>
                      <w:rFonts w:hint="eastAsia"/>
                      <w:color w:val="auto"/>
                      <w:szCs w:val="21"/>
                    </w:rPr>
                    <w:t>15</w:t>
                  </w:r>
                </w:p>
              </w:tc>
              <w:tc>
                <w:tcPr>
                  <w:tcW w:w="402" w:type="pct"/>
                  <w:tcBorders>
                    <w:tl2br w:val="nil"/>
                    <w:tr2bl w:val="nil"/>
                  </w:tcBorders>
                  <w:vAlign w:val="center"/>
                </w:tcPr>
                <w:p>
                  <w:pPr>
                    <w:adjustRightInd w:val="0"/>
                    <w:snapToGrid w:val="0"/>
                    <w:jc w:val="center"/>
                    <w:rPr>
                      <w:color w:val="auto"/>
                      <w:szCs w:val="21"/>
                    </w:rPr>
                  </w:pPr>
                  <w:r>
                    <w:rPr>
                      <w:rFonts w:hint="eastAsia"/>
                      <w:color w:val="auto"/>
                      <w:szCs w:val="21"/>
                    </w:rPr>
                    <w:t>0.6</w:t>
                  </w:r>
                </w:p>
              </w:tc>
              <w:tc>
                <w:tcPr>
                  <w:tcW w:w="439" w:type="pct"/>
                  <w:tcBorders>
                    <w:tl2br w:val="nil"/>
                    <w:tr2bl w:val="nil"/>
                  </w:tcBorders>
                  <w:vAlign w:val="center"/>
                </w:tcPr>
                <w:p>
                  <w:pPr>
                    <w:adjustRightInd w:val="0"/>
                    <w:snapToGrid w:val="0"/>
                    <w:jc w:val="center"/>
                    <w:rPr>
                      <w:color w:val="auto"/>
                      <w:szCs w:val="21"/>
                    </w:rPr>
                  </w:pPr>
                  <w:r>
                    <w:rPr>
                      <w:rFonts w:hint="eastAsia"/>
                      <w:color w:val="auto"/>
                      <w:szCs w:val="21"/>
                    </w:rPr>
                    <w:t>30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71" w:type="pct"/>
                  <w:tcBorders>
                    <w:tl2br w:val="nil"/>
                    <w:tr2bl w:val="nil"/>
                  </w:tcBorders>
                  <w:vAlign w:val="center"/>
                </w:tcPr>
                <w:p>
                  <w:pPr>
                    <w:pStyle w:val="3"/>
                    <w:spacing w:line="240" w:lineRule="auto"/>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淋膜</w:t>
                  </w:r>
                </w:p>
                <w:p>
                  <w:pPr>
                    <w:pStyle w:val="3"/>
                    <w:spacing w:line="240" w:lineRule="auto"/>
                    <w:jc w:val="center"/>
                    <w:rPr>
                      <w:rFonts w:ascii="宋体" w:hAnsi="宋体"/>
                      <w:color w:val="auto"/>
                      <w:szCs w:val="21"/>
                    </w:rPr>
                  </w:pPr>
                  <w:r>
                    <w:rPr>
                      <w:rFonts w:hint="eastAsia" w:ascii="宋体" w:hAnsi="宋体"/>
                      <w:color w:val="auto"/>
                      <w:sz w:val="21"/>
                      <w:szCs w:val="21"/>
                    </w:rPr>
                    <w:t>冷却</w:t>
                  </w:r>
                </w:p>
              </w:tc>
              <w:tc>
                <w:tcPr>
                  <w:tcW w:w="429" w:type="pct"/>
                  <w:tcBorders>
                    <w:tl2br w:val="nil"/>
                    <w:tr2bl w:val="nil"/>
                  </w:tcBorders>
                  <w:vAlign w:val="center"/>
                </w:tcPr>
                <w:p>
                  <w:pPr>
                    <w:pStyle w:val="2"/>
                    <w:spacing w:line="240" w:lineRule="auto"/>
                    <w:jc w:val="center"/>
                    <w:rPr>
                      <w:rFonts w:ascii="Times New Roman" w:cs="Times New Roman"/>
                      <w:color w:val="auto"/>
                      <w:sz w:val="21"/>
                      <w:szCs w:val="21"/>
                    </w:rPr>
                  </w:pPr>
                  <w:r>
                    <w:rPr>
                      <w:rFonts w:hint="eastAsia" w:ascii="Times New Roman" w:hAnsi="Times New Roman" w:cs="Times New Roman"/>
                      <w:color w:val="auto"/>
                      <w:sz w:val="21"/>
                      <w:szCs w:val="21"/>
                    </w:rPr>
                    <w:t>4</w:t>
                  </w:r>
                  <w:r>
                    <w:rPr>
                      <w:rFonts w:ascii="Times New Roman" w:hAnsi="Times New Roman" w:cs="Times New Roman"/>
                      <w:color w:val="auto"/>
                      <w:sz w:val="21"/>
                      <w:szCs w:val="21"/>
                    </w:rPr>
                    <w:t>#排放口</w:t>
                  </w:r>
                </w:p>
              </w:tc>
              <w:tc>
                <w:tcPr>
                  <w:tcW w:w="806" w:type="pct"/>
                  <w:tcBorders>
                    <w:tl2br w:val="nil"/>
                    <w:tr2bl w:val="nil"/>
                  </w:tcBorders>
                  <w:vAlign w:val="center"/>
                </w:tcPr>
                <w:p>
                  <w:pPr>
                    <w:pStyle w:val="2"/>
                    <w:spacing w:line="240" w:lineRule="auto"/>
                    <w:jc w:val="center"/>
                    <w:rPr>
                      <w:rFonts w:ascii="Times New Roman" w:cs="Times New Roman"/>
                      <w:color w:val="auto"/>
                      <w:sz w:val="21"/>
                      <w:szCs w:val="21"/>
                    </w:rPr>
                  </w:pPr>
                  <w:r>
                    <w:rPr>
                      <w:rFonts w:hint="eastAsia" w:ascii="Times New Roman" w:cs="Times New Roman"/>
                      <w:color w:val="auto"/>
                      <w:sz w:val="21"/>
                      <w:szCs w:val="21"/>
                    </w:rPr>
                    <w:t>非甲烷总烃</w:t>
                  </w:r>
                </w:p>
              </w:tc>
              <w:tc>
                <w:tcPr>
                  <w:tcW w:w="1595" w:type="dxa"/>
                  <w:tcBorders>
                    <w:tl2br w:val="nil"/>
                    <w:tr2bl w:val="nil"/>
                  </w:tcBorders>
                  <w:vAlign w:val="center"/>
                </w:tcPr>
                <w:p>
                  <w:pPr>
                    <w:tabs>
                      <w:tab w:val="left" w:pos="600"/>
                    </w:tabs>
                    <w:adjustRightInd w:val="0"/>
                    <w:snapToGrid w:val="0"/>
                    <w:jc w:val="center"/>
                    <w:rPr>
                      <w:color w:val="auto"/>
                      <w:szCs w:val="21"/>
                    </w:rPr>
                  </w:pPr>
                  <w:r>
                    <w:rPr>
                      <w:rFonts w:hint="eastAsia"/>
                      <w:color w:val="auto"/>
                      <w:szCs w:val="21"/>
                    </w:rPr>
                    <w:t>106</w:t>
                  </w:r>
                  <w:r>
                    <w:rPr>
                      <w:color w:val="auto"/>
                      <w:szCs w:val="21"/>
                    </w:rPr>
                    <w:t>°</w:t>
                  </w:r>
                  <w:r>
                    <w:rPr>
                      <w:rFonts w:hint="eastAsia"/>
                      <w:color w:val="auto"/>
                      <w:szCs w:val="21"/>
                    </w:rPr>
                    <w:t>7</w:t>
                  </w:r>
                  <w:r>
                    <w:rPr>
                      <w:color w:val="auto"/>
                      <w:szCs w:val="21"/>
                    </w:rPr>
                    <w:t>ʹ</w:t>
                  </w:r>
                  <w:r>
                    <w:rPr>
                      <w:rFonts w:hint="eastAsia"/>
                      <w:color w:val="auto"/>
                      <w:szCs w:val="21"/>
                    </w:rPr>
                    <w:t>11.324</w:t>
                  </w:r>
                  <w:r>
                    <w:rPr>
                      <w:color w:val="auto"/>
                      <w:szCs w:val="21"/>
                    </w:rPr>
                    <w:t>ʺ</w:t>
                  </w:r>
                </w:p>
              </w:tc>
              <w:tc>
                <w:tcPr>
                  <w:tcW w:w="1499" w:type="dxa"/>
                  <w:tcBorders>
                    <w:tl2br w:val="nil"/>
                    <w:tr2bl w:val="nil"/>
                  </w:tcBorders>
                  <w:vAlign w:val="center"/>
                </w:tcPr>
                <w:p>
                  <w:pPr>
                    <w:tabs>
                      <w:tab w:val="left" w:pos="600"/>
                    </w:tabs>
                    <w:adjustRightInd w:val="0"/>
                    <w:snapToGrid w:val="0"/>
                    <w:jc w:val="center"/>
                    <w:rPr>
                      <w:color w:val="auto"/>
                      <w:szCs w:val="21"/>
                    </w:rPr>
                  </w:pPr>
                  <w:r>
                    <w:rPr>
                      <w:rFonts w:hint="eastAsia"/>
                      <w:color w:val="auto"/>
                      <w:szCs w:val="21"/>
                    </w:rPr>
                    <w:t>29</w:t>
                  </w:r>
                  <w:r>
                    <w:rPr>
                      <w:color w:val="auto"/>
                      <w:szCs w:val="21"/>
                    </w:rPr>
                    <w:t>°</w:t>
                  </w:r>
                  <w:r>
                    <w:rPr>
                      <w:rFonts w:hint="eastAsia"/>
                      <w:color w:val="auto"/>
                      <w:szCs w:val="21"/>
                    </w:rPr>
                    <w:t>50</w:t>
                  </w:r>
                  <w:r>
                    <w:rPr>
                      <w:color w:val="auto"/>
                      <w:szCs w:val="21"/>
                    </w:rPr>
                    <w:t>ʹ</w:t>
                  </w:r>
                  <w:r>
                    <w:rPr>
                      <w:rFonts w:hint="eastAsia"/>
                      <w:color w:val="auto"/>
                      <w:szCs w:val="21"/>
                    </w:rPr>
                    <w:t>38.961</w:t>
                  </w:r>
                  <w:r>
                    <w:rPr>
                      <w:color w:val="auto"/>
                      <w:szCs w:val="21"/>
                    </w:rPr>
                    <w:t>ʺ</w:t>
                  </w:r>
                </w:p>
              </w:tc>
              <w:tc>
                <w:tcPr>
                  <w:tcW w:w="453" w:type="pct"/>
                  <w:tcBorders>
                    <w:tl2br w:val="nil"/>
                    <w:tr2bl w:val="nil"/>
                  </w:tcBorders>
                  <w:vAlign w:val="center"/>
                </w:tcPr>
                <w:p>
                  <w:pPr>
                    <w:adjustRightInd w:val="0"/>
                    <w:snapToGrid w:val="0"/>
                    <w:jc w:val="center"/>
                    <w:rPr>
                      <w:color w:val="auto"/>
                      <w:szCs w:val="21"/>
                    </w:rPr>
                  </w:pPr>
                  <w:r>
                    <w:rPr>
                      <w:rFonts w:hint="eastAsia"/>
                      <w:color w:val="auto"/>
                      <w:szCs w:val="21"/>
                    </w:rPr>
                    <w:t>15</w:t>
                  </w:r>
                </w:p>
              </w:tc>
              <w:tc>
                <w:tcPr>
                  <w:tcW w:w="402" w:type="pct"/>
                  <w:tcBorders>
                    <w:tl2br w:val="nil"/>
                    <w:tr2bl w:val="nil"/>
                  </w:tcBorders>
                  <w:vAlign w:val="center"/>
                </w:tcPr>
                <w:p>
                  <w:pPr>
                    <w:adjustRightInd w:val="0"/>
                    <w:snapToGrid w:val="0"/>
                    <w:jc w:val="center"/>
                    <w:rPr>
                      <w:color w:val="auto"/>
                      <w:szCs w:val="21"/>
                    </w:rPr>
                  </w:pPr>
                  <w:r>
                    <w:rPr>
                      <w:rFonts w:hint="eastAsia"/>
                      <w:color w:val="auto"/>
                      <w:szCs w:val="21"/>
                    </w:rPr>
                    <w:t>0.6</w:t>
                  </w:r>
                </w:p>
              </w:tc>
              <w:tc>
                <w:tcPr>
                  <w:tcW w:w="439" w:type="pct"/>
                  <w:tcBorders>
                    <w:tl2br w:val="nil"/>
                    <w:tr2bl w:val="nil"/>
                  </w:tcBorders>
                  <w:vAlign w:val="center"/>
                </w:tcPr>
                <w:p>
                  <w:pPr>
                    <w:adjustRightInd w:val="0"/>
                    <w:snapToGrid w:val="0"/>
                    <w:jc w:val="center"/>
                    <w:rPr>
                      <w:color w:val="auto"/>
                      <w:szCs w:val="21"/>
                    </w:rPr>
                  </w:pPr>
                  <w:r>
                    <w:rPr>
                      <w:rFonts w:hint="eastAsia"/>
                      <w:color w:val="auto"/>
                      <w:szCs w:val="21"/>
                    </w:rPr>
                    <w:t>25</w:t>
                  </w:r>
                </w:p>
              </w:tc>
            </w:tr>
          </w:tbl>
          <w:p>
            <w:pPr>
              <w:pStyle w:val="2"/>
              <w:jc w:val="center"/>
              <w:rPr>
                <w:rFonts w:ascii="Times New Roman" w:cs="Times New Roman"/>
                <w:color w:val="auto"/>
                <w:sz w:val="21"/>
                <w:szCs w:val="21"/>
              </w:rPr>
            </w:pPr>
            <w:r>
              <w:rPr>
                <w:rFonts w:ascii="Times New Roman" w:cs="Times New Roman"/>
                <w:color w:val="auto"/>
                <w:sz w:val="21"/>
                <w:szCs w:val="21"/>
              </w:rPr>
              <w:t>表4.</w:t>
            </w:r>
            <w:r>
              <w:rPr>
                <w:rFonts w:hint="eastAsia" w:ascii="Times New Roman" w:cs="Times New Roman"/>
                <w:color w:val="auto"/>
                <w:sz w:val="21"/>
                <w:szCs w:val="21"/>
              </w:rPr>
              <w:t>5</w:t>
            </w:r>
            <w:r>
              <w:rPr>
                <w:rFonts w:ascii="Times New Roman" w:cs="Times New Roman"/>
                <w:color w:val="auto"/>
                <w:sz w:val="21"/>
                <w:szCs w:val="21"/>
              </w:rPr>
              <w:t xml:space="preserve"> 废气产排情况一览表</w:t>
            </w:r>
          </w:p>
          <w:tbl>
            <w:tblPr>
              <w:tblStyle w:val="22"/>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129"/>
              <w:gridCol w:w="786"/>
              <w:gridCol w:w="993"/>
              <w:gridCol w:w="708"/>
              <w:gridCol w:w="872"/>
              <w:gridCol w:w="856"/>
              <w:gridCol w:w="1153"/>
              <w:gridCol w:w="93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44" w:type="pct"/>
                  <w:vMerge w:val="restart"/>
                  <w:tcBorders>
                    <w:tl2br w:val="nil"/>
                    <w:tr2bl w:val="nil"/>
                  </w:tcBorders>
                  <w:vAlign w:val="center"/>
                </w:tcPr>
                <w:p>
                  <w:pPr>
                    <w:adjustRightInd w:val="0"/>
                    <w:snapToGrid w:val="0"/>
                    <w:jc w:val="center"/>
                    <w:rPr>
                      <w:color w:val="auto"/>
                      <w:szCs w:val="21"/>
                    </w:rPr>
                  </w:pPr>
                  <w:r>
                    <w:rPr>
                      <w:color w:val="auto"/>
                      <w:szCs w:val="21"/>
                    </w:rPr>
                    <w:t>污染源</w:t>
                  </w:r>
                </w:p>
              </w:tc>
              <w:tc>
                <w:tcPr>
                  <w:tcW w:w="693" w:type="pct"/>
                  <w:vMerge w:val="restart"/>
                  <w:tcBorders>
                    <w:tl2br w:val="nil"/>
                    <w:tr2bl w:val="nil"/>
                  </w:tcBorders>
                  <w:vAlign w:val="center"/>
                </w:tcPr>
                <w:p>
                  <w:pPr>
                    <w:adjustRightInd w:val="0"/>
                    <w:snapToGrid w:val="0"/>
                    <w:jc w:val="center"/>
                    <w:rPr>
                      <w:color w:val="auto"/>
                      <w:szCs w:val="21"/>
                    </w:rPr>
                  </w:pPr>
                  <w:r>
                    <w:rPr>
                      <w:color w:val="auto"/>
                      <w:szCs w:val="21"/>
                    </w:rPr>
                    <w:t>污染物</w:t>
                  </w:r>
                </w:p>
              </w:tc>
              <w:tc>
                <w:tcPr>
                  <w:tcW w:w="482" w:type="pct"/>
                  <w:vMerge w:val="restart"/>
                  <w:tcBorders>
                    <w:tl2br w:val="nil"/>
                    <w:tr2bl w:val="nil"/>
                  </w:tcBorders>
                  <w:vAlign w:val="center"/>
                </w:tcPr>
                <w:p>
                  <w:pPr>
                    <w:adjustRightInd w:val="0"/>
                    <w:snapToGrid w:val="0"/>
                    <w:jc w:val="center"/>
                    <w:rPr>
                      <w:color w:val="auto"/>
                      <w:szCs w:val="21"/>
                    </w:rPr>
                  </w:pPr>
                  <w:r>
                    <w:rPr>
                      <w:color w:val="auto"/>
                      <w:szCs w:val="21"/>
                    </w:rPr>
                    <w:t>废气量m</w:t>
                  </w:r>
                  <w:r>
                    <w:rPr>
                      <w:color w:val="auto"/>
                      <w:szCs w:val="21"/>
                      <w:vertAlign w:val="superscript"/>
                    </w:rPr>
                    <w:t>3</w:t>
                  </w:r>
                  <w:r>
                    <w:rPr>
                      <w:color w:val="auto"/>
                      <w:szCs w:val="21"/>
                    </w:rPr>
                    <w:t>/h</w:t>
                  </w:r>
                </w:p>
              </w:tc>
              <w:tc>
                <w:tcPr>
                  <w:tcW w:w="609" w:type="pct"/>
                  <w:vMerge w:val="restart"/>
                  <w:tcBorders>
                    <w:tl2br w:val="nil"/>
                    <w:tr2bl w:val="nil"/>
                  </w:tcBorders>
                  <w:vAlign w:val="center"/>
                </w:tcPr>
                <w:p>
                  <w:pPr>
                    <w:adjustRightInd w:val="0"/>
                    <w:snapToGrid w:val="0"/>
                    <w:jc w:val="center"/>
                    <w:rPr>
                      <w:color w:val="auto"/>
                      <w:szCs w:val="21"/>
                    </w:rPr>
                  </w:pPr>
                  <w:r>
                    <w:rPr>
                      <w:color w:val="auto"/>
                      <w:szCs w:val="21"/>
                    </w:rPr>
                    <w:t>产生</w:t>
                  </w:r>
                </w:p>
                <w:p>
                  <w:pPr>
                    <w:adjustRightInd w:val="0"/>
                    <w:snapToGrid w:val="0"/>
                    <w:jc w:val="center"/>
                    <w:rPr>
                      <w:color w:val="auto"/>
                      <w:szCs w:val="21"/>
                    </w:rPr>
                  </w:pPr>
                  <w:r>
                    <w:rPr>
                      <w:color w:val="auto"/>
                      <w:szCs w:val="21"/>
                    </w:rPr>
                    <w:t>浓度mg/m</w:t>
                  </w:r>
                  <w:r>
                    <w:rPr>
                      <w:color w:val="auto"/>
                      <w:szCs w:val="21"/>
                      <w:vertAlign w:val="superscript"/>
                    </w:rPr>
                    <w:t>3</w:t>
                  </w:r>
                </w:p>
              </w:tc>
              <w:tc>
                <w:tcPr>
                  <w:tcW w:w="969" w:type="pct"/>
                  <w:gridSpan w:val="2"/>
                  <w:vMerge w:val="restart"/>
                  <w:tcBorders>
                    <w:tl2br w:val="nil"/>
                    <w:tr2bl w:val="nil"/>
                  </w:tcBorders>
                  <w:vAlign w:val="center"/>
                </w:tcPr>
                <w:p>
                  <w:pPr>
                    <w:adjustRightInd w:val="0"/>
                    <w:snapToGrid w:val="0"/>
                    <w:jc w:val="center"/>
                    <w:rPr>
                      <w:color w:val="auto"/>
                      <w:szCs w:val="21"/>
                    </w:rPr>
                  </w:pPr>
                  <w:r>
                    <w:rPr>
                      <w:color w:val="auto"/>
                      <w:szCs w:val="21"/>
                    </w:rPr>
                    <w:t>产生量</w:t>
                  </w:r>
                </w:p>
              </w:tc>
              <w:tc>
                <w:tcPr>
                  <w:tcW w:w="525" w:type="pct"/>
                  <w:vMerge w:val="restart"/>
                  <w:tcBorders>
                    <w:tl2br w:val="nil"/>
                    <w:tr2bl w:val="nil"/>
                  </w:tcBorders>
                  <w:vAlign w:val="center"/>
                </w:tcPr>
                <w:p>
                  <w:pPr>
                    <w:adjustRightInd w:val="0"/>
                    <w:snapToGrid w:val="0"/>
                    <w:jc w:val="center"/>
                    <w:rPr>
                      <w:color w:val="auto"/>
                      <w:szCs w:val="21"/>
                    </w:rPr>
                  </w:pPr>
                  <w:r>
                    <w:rPr>
                      <w:color w:val="auto"/>
                      <w:szCs w:val="21"/>
                    </w:rPr>
                    <w:t>排放</w:t>
                  </w:r>
                </w:p>
                <w:p>
                  <w:pPr>
                    <w:adjustRightInd w:val="0"/>
                    <w:snapToGrid w:val="0"/>
                    <w:jc w:val="center"/>
                    <w:rPr>
                      <w:color w:val="auto"/>
                      <w:szCs w:val="21"/>
                    </w:rPr>
                  </w:pPr>
                  <w:r>
                    <w:rPr>
                      <w:color w:val="auto"/>
                      <w:szCs w:val="21"/>
                    </w:rPr>
                    <w:t>浓度mg/m</w:t>
                  </w:r>
                  <w:r>
                    <w:rPr>
                      <w:color w:val="auto"/>
                      <w:szCs w:val="21"/>
                      <w:vertAlign w:val="superscript"/>
                    </w:rPr>
                    <w:t>3</w:t>
                  </w:r>
                </w:p>
              </w:tc>
              <w:tc>
                <w:tcPr>
                  <w:tcW w:w="1277" w:type="pct"/>
                  <w:gridSpan w:val="2"/>
                  <w:vMerge w:val="restart"/>
                  <w:tcBorders>
                    <w:tl2br w:val="nil"/>
                    <w:tr2bl w:val="nil"/>
                  </w:tcBorders>
                  <w:vAlign w:val="center"/>
                </w:tcPr>
                <w:p>
                  <w:pPr>
                    <w:adjustRightInd w:val="0"/>
                    <w:snapToGrid w:val="0"/>
                    <w:jc w:val="center"/>
                    <w:rPr>
                      <w:color w:val="auto"/>
                      <w:szCs w:val="21"/>
                    </w:rPr>
                  </w:pPr>
                  <w:r>
                    <w:rPr>
                      <w:color w:val="auto"/>
                      <w:szCs w:val="21"/>
                    </w:rPr>
                    <w:t>排放量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44" w:type="pct"/>
                  <w:vMerge w:val="continue"/>
                  <w:tcBorders>
                    <w:tl2br w:val="nil"/>
                    <w:tr2bl w:val="nil"/>
                  </w:tcBorders>
                  <w:vAlign w:val="center"/>
                </w:tcPr>
                <w:p>
                  <w:pPr>
                    <w:widowControl/>
                    <w:adjustRightInd w:val="0"/>
                    <w:snapToGrid w:val="0"/>
                    <w:jc w:val="left"/>
                    <w:rPr>
                      <w:color w:val="auto"/>
                      <w:szCs w:val="21"/>
                    </w:rPr>
                  </w:pPr>
                </w:p>
              </w:tc>
              <w:tc>
                <w:tcPr>
                  <w:tcW w:w="693" w:type="pct"/>
                  <w:vMerge w:val="continue"/>
                  <w:tcBorders>
                    <w:tl2br w:val="nil"/>
                    <w:tr2bl w:val="nil"/>
                  </w:tcBorders>
                  <w:vAlign w:val="center"/>
                </w:tcPr>
                <w:p>
                  <w:pPr>
                    <w:widowControl/>
                    <w:adjustRightInd w:val="0"/>
                    <w:snapToGrid w:val="0"/>
                    <w:jc w:val="left"/>
                    <w:rPr>
                      <w:color w:val="auto"/>
                      <w:szCs w:val="21"/>
                    </w:rPr>
                  </w:pPr>
                </w:p>
              </w:tc>
              <w:tc>
                <w:tcPr>
                  <w:tcW w:w="482" w:type="pct"/>
                  <w:vMerge w:val="continue"/>
                  <w:tcBorders>
                    <w:tl2br w:val="nil"/>
                    <w:tr2bl w:val="nil"/>
                  </w:tcBorders>
                  <w:vAlign w:val="center"/>
                </w:tcPr>
                <w:p>
                  <w:pPr>
                    <w:widowControl/>
                    <w:adjustRightInd w:val="0"/>
                    <w:snapToGrid w:val="0"/>
                    <w:jc w:val="left"/>
                    <w:rPr>
                      <w:color w:val="auto"/>
                      <w:szCs w:val="21"/>
                    </w:rPr>
                  </w:pPr>
                </w:p>
              </w:tc>
              <w:tc>
                <w:tcPr>
                  <w:tcW w:w="609" w:type="pct"/>
                  <w:vMerge w:val="continue"/>
                  <w:tcBorders>
                    <w:tl2br w:val="nil"/>
                    <w:tr2bl w:val="nil"/>
                  </w:tcBorders>
                  <w:vAlign w:val="center"/>
                </w:tcPr>
                <w:p>
                  <w:pPr>
                    <w:widowControl/>
                    <w:adjustRightInd w:val="0"/>
                    <w:snapToGrid w:val="0"/>
                    <w:jc w:val="left"/>
                    <w:rPr>
                      <w:color w:val="auto"/>
                      <w:szCs w:val="21"/>
                    </w:rPr>
                  </w:pPr>
                </w:p>
              </w:tc>
              <w:tc>
                <w:tcPr>
                  <w:tcW w:w="969" w:type="pct"/>
                  <w:gridSpan w:val="2"/>
                  <w:vMerge w:val="continue"/>
                  <w:tcBorders>
                    <w:tl2br w:val="nil"/>
                    <w:tr2bl w:val="nil"/>
                  </w:tcBorders>
                  <w:vAlign w:val="center"/>
                </w:tcPr>
                <w:p>
                  <w:pPr>
                    <w:widowControl/>
                    <w:adjustRightInd w:val="0"/>
                    <w:snapToGrid w:val="0"/>
                    <w:jc w:val="left"/>
                    <w:rPr>
                      <w:color w:val="auto"/>
                      <w:szCs w:val="21"/>
                    </w:rPr>
                  </w:pPr>
                </w:p>
              </w:tc>
              <w:tc>
                <w:tcPr>
                  <w:tcW w:w="525" w:type="pct"/>
                  <w:vMerge w:val="continue"/>
                  <w:tcBorders>
                    <w:tl2br w:val="nil"/>
                    <w:tr2bl w:val="nil"/>
                  </w:tcBorders>
                  <w:vAlign w:val="center"/>
                </w:tcPr>
                <w:p>
                  <w:pPr>
                    <w:widowControl/>
                    <w:adjustRightInd w:val="0"/>
                    <w:snapToGrid w:val="0"/>
                    <w:jc w:val="left"/>
                    <w:rPr>
                      <w:color w:val="auto"/>
                      <w:szCs w:val="21"/>
                    </w:rPr>
                  </w:pPr>
                </w:p>
              </w:tc>
              <w:tc>
                <w:tcPr>
                  <w:tcW w:w="1277" w:type="pct"/>
                  <w:gridSpan w:val="2"/>
                  <w:vMerge w:val="continue"/>
                  <w:tcBorders>
                    <w:tl2br w:val="nil"/>
                    <w:tr2bl w:val="nil"/>
                  </w:tcBorders>
                  <w:vAlign w:val="center"/>
                </w:tcPr>
                <w:p>
                  <w:pPr>
                    <w:widowControl/>
                    <w:adjustRightInd w:val="0"/>
                    <w:snapToGrid w:val="0"/>
                    <w:jc w:val="left"/>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444" w:type="pct"/>
                  <w:vMerge w:val="continue"/>
                  <w:tcBorders>
                    <w:tl2br w:val="nil"/>
                    <w:tr2bl w:val="nil"/>
                  </w:tcBorders>
                  <w:vAlign w:val="center"/>
                </w:tcPr>
                <w:p>
                  <w:pPr>
                    <w:widowControl/>
                    <w:adjustRightInd w:val="0"/>
                    <w:snapToGrid w:val="0"/>
                    <w:jc w:val="left"/>
                    <w:rPr>
                      <w:color w:val="auto"/>
                      <w:szCs w:val="21"/>
                    </w:rPr>
                  </w:pPr>
                </w:p>
              </w:tc>
              <w:tc>
                <w:tcPr>
                  <w:tcW w:w="693" w:type="pct"/>
                  <w:vMerge w:val="continue"/>
                  <w:tcBorders>
                    <w:tl2br w:val="nil"/>
                    <w:tr2bl w:val="nil"/>
                  </w:tcBorders>
                  <w:vAlign w:val="center"/>
                </w:tcPr>
                <w:p>
                  <w:pPr>
                    <w:widowControl/>
                    <w:adjustRightInd w:val="0"/>
                    <w:snapToGrid w:val="0"/>
                    <w:jc w:val="left"/>
                    <w:rPr>
                      <w:color w:val="auto"/>
                      <w:szCs w:val="21"/>
                    </w:rPr>
                  </w:pPr>
                </w:p>
              </w:tc>
              <w:tc>
                <w:tcPr>
                  <w:tcW w:w="482" w:type="pct"/>
                  <w:vMerge w:val="continue"/>
                  <w:tcBorders>
                    <w:tl2br w:val="nil"/>
                    <w:tr2bl w:val="nil"/>
                  </w:tcBorders>
                  <w:vAlign w:val="center"/>
                </w:tcPr>
                <w:p>
                  <w:pPr>
                    <w:widowControl/>
                    <w:adjustRightInd w:val="0"/>
                    <w:snapToGrid w:val="0"/>
                    <w:jc w:val="left"/>
                    <w:rPr>
                      <w:color w:val="auto"/>
                      <w:szCs w:val="21"/>
                    </w:rPr>
                  </w:pPr>
                </w:p>
              </w:tc>
              <w:tc>
                <w:tcPr>
                  <w:tcW w:w="609" w:type="pct"/>
                  <w:vMerge w:val="continue"/>
                  <w:tcBorders>
                    <w:tl2br w:val="nil"/>
                    <w:tr2bl w:val="nil"/>
                  </w:tcBorders>
                  <w:vAlign w:val="center"/>
                </w:tcPr>
                <w:p>
                  <w:pPr>
                    <w:widowControl/>
                    <w:adjustRightInd w:val="0"/>
                    <w:snapToGrid w:val="0"/>
                    <w:jc w:val="left"/>
                    <w:rPr>
                      <w:color w:val="auto"/>
                      <w:szCs w:val="21"/>
                    </w:rPr>
                  </w:pPr>
                </w:p>
              </w:tc>
              <w:tc>
                <w:tcPr>
                  <w:tcW w:w="434" w:type="pct"/>
                  <w:tcBorders>
                    <w:tl2br w:val="nil"/>
                    <w:tr2bl w:val="nil"/>
                  </w:tcBorders>
                  <w:vAlign w:val="center"/>
                </w:tcPr>
                <w:p>
                  <w:pPr>
                    <w:adjustRightInd w:val="0"/>
                    <w:snapToGrid w:val="0"/>
                    <w:jc w:val="center"/>
                    <w:rPr>
                      <w:color w:val="auto"/>
                      <w:szCs w:val="21"/>
                    </w:rPr>
                  </w:pPr>
                  <w:r>
                    <w:rPr>
                      <w:color w:val="auto"/>
                      <w:szCs w:val="21"/>
                    </w:rPr>
                    <w:t>kg/h</w:t>
                  </w:r>
                </w:p>
              </w:tc>
              <w:tc>
                <w:tcPr>
                  <w:tcW w:w="534" w:type="pct"/>
                  <w:tcBorders>
                    <w:tl2br w:val="nil"/>
                    <w:tr2bl w:val="nil"/>
                  </w:tcBorders>
                  <w:vAlign w:val="center"/>
                </w:tcPr>
                <w:p>
                  <w:pPr>
                    <w:adjustRightInd w:val="0"/>
                    <w:snapToGrid w:val="0"/>
                    <w:jc w:val="center"/>
                    <w:rPr>
                      <w:color w:val="auto"/>
                      <w:szCs w:val="21"/>
                    </w:rPr>
                  </w:pPr>
                  <w:r>
                    <w:rPr>
                      <w:color w:val="auto"/>
                      <w:szCs w:val="21"/>
                    </w:rPr>
                    <w:t>t/a</w:t>
                  </w:r>
                </w:p>
              </w:tc>
              <w:tc>
                <w:tcPr>
                  <w:tcW w:w="525" w:type="pct"/>
                  <w:vMerge w:val="continue"/>
                  <w:tcBorders>
                    <w:tl2br w:val="nil"/>
                    <w:tr2bl w:val="nil"/>
                  </w:tcBorders>
                  <w:vAlign w:val="center"/>
                </w:tcPr>
                <w:p>
                  <w:pPr>
                    <w:widowControl/>
                    <w:adjustRightInd w:val="0"/>
                    <w:snapToGrid w:val="0"/>
                    <w:jc w:val="left"/>
                    <w:rPr>
                      <w:color w:val="auto"/>
                      <w:szCs w:val="21"/>
                    </w:rPr>
                  </w:pPr>
                </w:p>
              </w:tc>
              <w:tc>
                <w:tcPr>
                  <w:tcW w:w="707" w:type="pct"/>
                  <w:tcBorders>
                    <w:tl2br w:val="nil"/>
                    <w:tr2bl w:val="nil"/>
                  </w:tcBorders>
                  <w:vAlign w:val="center"/>
                </w:tcPr>
                <w:p>
                  <w:pPr>
                    <w:adjustRightInd w:val="0"/>
                    <w:snapToGrid w:val="0"/>
                    <w:jc w:val="center"/>
                    <w:rPr>
                      <w:color w:val="auto"/>
                      <w:szCs w:val="21"/>
                    </w:rPr>
                  </w:pPr>
                  <w:r>
                    <w:rPr>
                      <w:color w:val="auto"/>
                      <w:szCs w:val="21"/>
                    </w:rPr>
                    <w:t>kg/h</w:t>
                  </w:r>
                </w:p>
              </w:tc>
              <w:tc>
                <w:tcPr>
                  <w:tcW w:w="569" w:type="pct"/>
                  <w:tcBorders>
                    <w:tl2br w:val="nil"/>
                    <w:tr2bl w:val="nil"/>
                  </w:tcBorders>
                  <w:vAlign w:val="center"/>
                </w:tcPr>
                <w:p>
                  <w:pPr>
                    <w:adjustRightInd w:val="0"/>
                    <w:snapToGrid w:val="0"/>
                    <w:jc w:val="center"/>
                    <w:rPr>
                      <w:color w:val="auto"/>
                      <w:szCs w:val="21"/>
                    </w:rPr>
                  </w:pPr>
                  <w:r>
                    <w:rPr>
                      <w:color w:val="auto"/>
                      <w:szCs w:val="21"/>
                    </w:rPr>
                    <w:t>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9"/>
                  <w:tcBorders>
                    <w:tl2br w:val="nil"/>
                    <w:tr2bl w:val="nil"/>
                  </w:tcBorders>
                  <w:vAlign w:val="center"/>
                </w:tcPr>
                <w:p>
                  <w:pPr>
                    <w:adjustRightInd w:val="0"/>
                    <w:snapToGrid w:val="0"/>
                    <w:jc w:val="center"/>
                    <w:rPr>
                      <w:color w:val="auto"/>
                      <w:szCs w:val="21"/>
                    </w:rPr>
                  </w:pPr>
                  <w:r>
                    <w:rPr>
                      <w:color w:val="auto"/>
                      <w:szCs w:val="21"/>
                    </w:rPr>
                    <w:t>有组织排放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4" w:type="pct"/>
                  <w:vMerge w:val="restart"/>
                  <w:tcBorders>
                    <w:tl2br w:val="nil"/>
                    <w:tr2bl w:val="nil"/>
                  </w:tcBorders>
                  <w:vAlign w:val="center"/>
                </w:tcPr>
                <w:p>
                  <w:pPr>
                    <w:adjustRightInd w:val="0"/>
                    <w:snapToGrid w:val="0"/>
                    <w:jc w:val="center"/>
                    <w:rPr>
                      <w:color w:val="auto"/>
                      <w:szCs w:val="21"/>
                    </w:rPr>
                  </w:pPr>
                  <w:r>
                    <w:rPr>
                      <w:rFonts w:hint="eastAsia"/>
                      <w:color w:val="auto"/>
                      <w:szCs w:val="21"/>
                    </w:rPr>
                    <w:t>3#排气筒</w:t>
                  </w:r>
                </w:p>
              </w:tc>
              <w:tc>
                <w:tcPr>
                  <w:tcW w:w="693" w:type="pct"/>
                  <w:tcBorders>
                    <w:tl2br w:val="nil"/>
                    <w:tr2bl w:val="nil"/>
                  </w:tcBorders>
                  <w:vAlign w:val="center"/>
                </w:tcPr>
                <w:p>
                  <w:pPr>
                    <w:adjustRightInd w:val="0"/>
                    <w:snapToGrid w:val="0"/>
                    <w:spacing w:line="216" w:lineRule="auto"/>
                    <w:jc w:val="center"/>
                    <w:rPr>
                      <w:color w:val="auto"/>
                      <w:kern w:val="0"/>
                      <w:szCs w:val="21"/>
                      <w:lang w:bidi="ar"/>
                    </w:rPr>
                  </w:pPr>
                  <w:r>
                    <w:rPr>
                      <w:color w:val="auto"/>
                      <w:kern w:val="0"/>
                      <w:szCs w:val="21"/>
                      <w:lang w:bidi="ar"/>
                    </w:rPr>
                    <w:t>非甲烷</w:t>
                  </w:r>
                </w:p>
                <w:p>
                  <w:pPr>
                    <w:adjustRightInd w:val="0"/>
                    <w:snapToGrid w:val="0"/>
                    <w:spacing w:line="216" w:lineRule="auto"/>
                    <w:jc w:val="center"/>
                    <w:rPr>
                      <w:color w:val="auto"/>
                      <w:kern w:val="0"/>
                      <w:szCs w:val="21"/>
                      <w:lang w:bidi="ar"/>
                    </w:rPr>
                  </w:pPr>
                  <w:r>
                    <w:rPr>
                      <w:color w:val="auto"/>
                      <w:kern w:val="0"/>
                      <w:szCs w:val="21"/>
                      <w:lang w:bidi="ar"/>
                    </w:rPr>
                    <w:t>总烃</w:t>
                  </w:r>
                </w:p>
              </w:tc>
              <w:tc>
                <w:tcPr>
                  <w:tcW w:w="482" w:type="pct"/>
                  <w:vMerge w:val="restart"/>
                  <w:tcBorders>
                    <w:tl2br w:val="nil"/>
                    <w:tr2bl w:val="nil"/>
                  </w:tcBorders>
                  <w:vAlign w:val="center"/>
                </w:tcPr>
                <w:p>
                  <w:pPr>
                    <w:adjustRightInd w:val="0"/>
                    <w:snapToGrid w:val="0"/>
                    <w:jc w:val="center"/>
                    <w:rPr>
                      <w:color w:val="auto"/>
                      <w:szCs w:val="21"/>
                    </w:rPr>
                  </w:pPr>
                  <w:r>
                    <w:rPr>
                      <w:rFonts w:hint="eastAsia"/>
                      <w:color w:val="auto"/>
                      <w:szCs w:val="21"/>
                    </w:rPr>
                    <w:t>10000</w:t>
                  </w:r>
                </w:p>
              </w:tc>
              <w:tc>
                <w:tcPr>
                  <w:tcW w:w="99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66.857</w:t>
                  </w:r>
                </w:p>
              </w:tc>
              <w:tc>
                <w:tcPr>
                  <w:tcW w:w="70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0.669</w:t>
                  </w:r>
                </w:p>
              </w:tc>
              <w:tc>
                <w:tcPr>
                  <w:tcW w:w="87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1.404</w:t>
                  </w:r>
                </w:p>
              </w:tc>
              <w:tc>
                <w:tcPr>
                  <w:tcW w:w="8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13.371</w:t>
                  </w:r>
                </w:p>
              </w:tc>
              <w:tc>
                <w:tcPr>
                  <w:tcW w:w="115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0.134</w:t>
                  </w:r>
                </w:p>
              </w:tc>
              <w:tc>
                <w:tcPr>
                  <w:tcW w:w="931"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0.281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4" w:type="pct"/>
                  <w:vMerge w:val="continue"/>
                  <w:tcBorders>
                    <w:tl2br w:val="nil"/>
                    <w:tr2bl w:val="nil"/>
                  </w:tcBorders>
                  <w:vAlign w:val="center"/>
                </w:tcPr>
                <w:p>
                  <w:pPr>
                    <w:adjustRightInd w:val="0"/>
                    <w:snapToGrid w:val="0"/>
                    <w:jc w:val="center"/>
                    <w:rPr>
                      <w:color w:val="auto"/>
                      <w:szCs w:val="21"/>
                    </w:rPr>
                  </w:pPr>
                </w:p>
              </w:tc>
              <w:tc>
                <w:tcPr>
                  <w:tcW w:w="1129" w:type="dxa"/>
                  <w:tcBorders>
                    <w:tl2br w:val="nil"/>
                    <w:tr2bl w:val="nil"/>
                  </w:tcBorders>
                  <w:vAlign w:val="center"/>
                </w:tcPr>
                <w:p>
                  <w:pPr>
                    <w:adjustRightInd w:val="0"/>
                    <w:snapToGrid w:val="0"/>
                    <w:spacing w:line="216" w:lineRule="auto"/>
                    <w:jc w:val="center"/>
                    <w:rPr>
                      <w:color w:val="auto"/>
                      <w:kern w:val="0"/>
                      <w:szCs w:val="21"/>
                      <w:lang w:bidi="ar"/>
                    </w:rPr>
                  </w:pPr>
                  <w:r>
                    <w:rPr>
                      <w:color w:val="auto"/>
                      <w:szCs w:val="21"/>
                    </w:rPr>
                    <w:t>SO</w:t>
                  </w:r>
                  <w:r>
                    <w:rPr>
                      <w:color w:val="auto"/>
                      <w:szCs w:val="21"/>
                      <w:vertAlign w:val="subscript"/>
                    </w:rPr>
                    <w:t>2</w:t>
                  </w:r>
                </w:p>
              </w:tc>
              <w:tc>
                <w:tcPr>
                  <w:tcW w:w="482" w:type="pct"/>
                  <w:vMerge w:val="continue"/>
                  <w:tcBorders>
                    <w:tl2br w:val="nil"/>
                    <w:tr2bl w:val="nil"/>
                  </w:tcBorders>
                  <w:vAlign w:val="center"/>
                </w:tcPr>
                <w:p>
                  <w:pPr>
                    <w:adjustRightInd w:val="0"/>
                    <w:snapToGrid w:val="0"/>
                    <w:jc w:val="center"/>
                    <w:rPr>
                      <w:color w:val="auto"/>
                      <w:szCs w:val="21"/>
                    </w:rPr>
                  </w:pPr>
                </w:p>
              </w:tc>
              <w:tc>
                <w:tcPr>
                  <w:tcW w:w="993" w:type="dxa"/>
                  <w:tcBorders>
                    <w:tl2br w:val="nil"/>
                    <w:tr2bl w:val="nil"/>
                  </w:tcBorders>
                  <w:vAlign w:val="center"/>
                </w:tcPr>
                <w:p>
                  <w:pPr>
                    <w:widowControl/>
                    <w:adjustRightInd w:val="0"/>
                    <w:snapToGrid w:val="0"/>
                    <w:jc w:val="center"/>
                    <w:textAlignment w:val="center"/>
                    <w:rPr>
                      <w:color w:val="auto"/>
                      <w:kern w:val="0"/>
                      <w:szCs w:val="21"/>
                      <w:lang w:bidi="ar"/>
                    </w:rPr>
                  </w:pPr>
                  <w:r>
                    <w:rPr>
                      <w:color w:val="auto"/>
                      <w:kern w:val="0"/>
                      <w:szCs w:val="21"/>
                      <w:lang w:bidi="ar"/>
                    </w:rPr>
                    <w:t>2.080</w:t>
                  </w:r>
                </w:p>
              </w:tc>
              <w:tc>
                <w:tcPr>
                  <w:tcW w:w="708" w:type="dxa"/>
                  <w:tcBorders>
                    <w:tl2br w:val="nil"/>
                    <w:tr2bl w:val="nil"/>
                  </w:tcBorders>
                  <w:vAlign w:val="center"/>
                </w:tcPr>
                <w:p>
                  <w:pPr>
                    <w:widowControl/>
                    <w:adjustRightInd w:val="0"/>
                    <w:snapToGrid w:val="0"/>
                    <w:jc w:val="center"/>
                    <w:textAlignment w:val="center"/>
                    <w:rPr>
                      <w:color w:val="auto"/>
                      <w:kern w:val="0"/>
                      <w:szCs w:val="21"/>
                      <w:lang w:bidi="ar"/>
                    </w:rPr>
                  </w:pPr>
                  <w:r>
                    <w:rPr>
                      <w:color w:val="auto"/>
                      <w:kern w:val="0"/>
                      <w:szCs w:val="21"/>
                      <w:lang w:bidi="ar"/>
                    </w:rPr>
                    <w:t>0.021</w:t>
                  </w:r>
                </w:p>
              </w:tc>
              <w:tc>
                <w:tcPr>
                  <w:tcW w:w="872" w:type="dxa"/>
                  <w:tcBorders>
                    <w:tl2br w:val="nil"/>
                    <w:tr2bl w:val="nil"/>
                  </w:tcBorders>
                  <w:vAlign w:val="center"/>
                </w:tcPr>
                <w:p>
                  <w:pPr>
                    <w:widowControl/>
                    <w:adjustRightInd w:val="0"/>
                    <w:snapToGrid w:val="0"/>
                    <w:jc w:val="center"/>
                    <w:textAlignment w:val="center"/>
                    <w:rPr>
                      <w:color w:val="auto"/>
                      <w:kern w:val="0"/>
                      <w:szCs w:val="21"/>
                      <w:lang w:bidi="ar"/>
                    </w:rPr>
                  </w:pPr>
                  <w:r>
                    <w:rPr>
                      <w:color w:val="auto"/>
                      <w:kern w:val="0"/>
                      <w:szCs w:val="21"/>
                      <w:lang w:bidi="ar"/>
                    </w:rPr>
                    <w:t>0.044</w:t>
                  </w:r>
                </w:p>
              </w:tc>
              <w:tc>
                <w:tcPr>
                  <w:tcW w:w="856"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2.080</w:t>
                  </w:r>
                </w:p>
              </w:tc>
              <w:tc>
                <w:tcPr>
                  <w:tcW w:w="1153"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0.021</w:t>
                  </w:r>
                </w:p>
              </w:tc>
              <w:tc>
                <w:tcPr>
                  <w:tcW w:w="931"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0.044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4" w:type="pct"/>
                  <w:vMerge w:val="continue"/>
                  <w:tcBorders>
                    <w:tl2br w:val="nil"/>
                    <w:tr2bl w:val="nil"/>
                  </w:tcBorders>
                  <w:vAlign w:val="center"/>
                </w:tcPr>
                <w:p>
                  <w:pPr>
                    <w:adjustRightInd w:val="0"/>
                    <w:snapToGrid w:val="0"/>
                    <w:jc w:val="center"/>
                    <w:rPr>
                      <w:color w:val="auto"/>
                      <w:szCs w:val="21"/>
                    </w:rPr>
                  </w:pPr>
                </w:p>
              </w:tc>
              <w:tc>
                <w:tcPr>
                  <w:tcW w:w="1129" w:type="dxa"/>
                  <w:tcBorders>
                    <w:tl2br w:val="nil"/>
                    <w:tr2bl w:val="nil"/>
                  </w:tcBorders>
                  <w:vAlign w:val="center"/>
                </w:tcPr>
                <w:p>
                  <w:pPr>
                    <w:adjustRightInd w:val="0"/>
                    <w:snapToGrid w:val="0"/>
                    <w:spacing w:line="216" w:lineRule="auto"/>
                    <w:jc w:val="center"/>
                    <w:rPr>
                      <w:color w:val="auto"/>
                      <w:kern w:val="0"/>
                      <w:szCs w:val="21"/>
                      <w:lang w:bidi="ar"/>
                    </w:rPr>
                  </w:pPr>
                  <w:r>
                    <w:rPr>
                      <w:color w:val="auto"/>
                      <w:szCs w:val="21"/>
                    </w:rPr>
                    <w:t>NO</w:t>
                  </w:r>
                  <w:r>
                    <w:rPr>
                      <w:color w:val="auto"/>
                      <w:szCs w:val="21"/>
                      <w:vertAlign w:val="subscript"/>
                    </w:rPr>
                    <w:t>X</w:t>
                  </w:r>
                </w:p>
              </w:tc>
              <w:tc>
                <w:tcPr>
                  <w:tcW w:w="482" w:type="pct"/>
                  <w:vMerge w:val="continue"/>
                  <w:tcBorders>
                    <w:tl2br w:val="nil"/>
                    <w:tr2bl w:val="nil"/>
                  </w:tcBorders>
                  <w:vAlign w:val="center"/>
                </w:tcPr>
                <w:p>
                  <w:pPr>
                    <w:adjustRightInd w:val="0"/>
                    <w:snapToGrid w:val="0"/>
                    <w:jc w:val="center"/>
                    <w:rPr>
                      <w:color w:val="auto"/>
                      <w:szCs w:val="21"/>
                    </w:rPr>
                  </w:pPr>
                </w:p>
              </w:tc>
              <w:tc>
                <w:tcPr>
                  <w:tcW w:w="993" w:type="dxa"/>
                  <w:tcBorders>
                    <w:tl2br w:val="nil"/>
                    <w:tr2bl w:val="nil"/>
                  </w:tcBorders>
                  <w:vAlign w:val="center"/>
                </w:tcPr>
                <w:p>
                  <w:pPr>
                    <w:widowControl/>
                    <w:adjustRightInd w:val="0"/>
                    <w:snapToGrid w:val="0"/>
                    <w:jc w:val="center"/>
                    <w:textAlignment w:val="center"/>
                    <w:rPr>
                      <w:color w:val="auto"/>
                      <w:kern w:val="0"/>
                      <w:szCs w:val="21"/>
                      <w:lang w:bidi="ar"/>
                    </w:rPr>
                  </w:pPr>
                  <w:r>
                    <w:rPr>
                      <w:color w:val="auto"/>
                      <w:kern w:val="0"/>
                      <w:szCs w:val="21"/>
                      <w:lang w:bidi="ar"/>
                    </w:rPr>
                    <w:t>19.448</w:t>
                  </w:r>
                </w:p>
              </w:tc>
              <w:tc>
                <w:tcPr>
                  <w:tcW w:w="708" w:type="dxa"/>
                  <w:tcBorders>
                    <w:tl2br w:val="nil"/>
                    <w:tr2bl w:val="nil"/>
                  </w:tcBorders>
                  <w:vAlign w:val="center"/>
                </w:tcPr>
                <w:p>
                  <w:pPr>
                    <w:widowControl/>
                    <w:adjustRightInd w:val="0"/>
                    <w:snapToGrid w:val="0"/>
                    <w:jc w:val="center"/>
                    <w:textAlignment w:val="center"/>
                    <w:rPr>
                      <w:color w:val="auto"/>
                      <w:kern w:val="0"/>
                      <w:szCs w:val="21"/>
                      <w:lang w:bidi="ar"/>
                    </w:rPr>
                  </w:pPr>
                  <w:r>
                    <w:rPr>
                      <w:color w:val="auto"/>
                      <w:kern w:val="0"/>
                      <w:szCs w:val="21"/>
                      <w:lang w:bidi="ar"/>
                    </w:rPr>
                    <w:t>0.194</w:t>
                  </w:r>
                </w:p>
              </w:tc>
              <w:tc>
                <w:tcPr>
                  <w:tcW w:w="872" w:type="dxa"/>
                  <w:tcBorders>
                    <w:tl2br w:val="nil"/>
                    <w:tr2bl w:val="nil"/>
                  </w:tcBorders>
                  <w:vAlign w:val="center"/>
                </w:tcPr>
                <w:p>
                  <w:pPr>
                    <w:widowControl/>
                    <w:adjustRightInd w:val="0"/>
                    <w:snapToGrid w:val="0"/>
                    <w:jc w:val="center"/>
                    <w:textAlignment w:val="center"/>
                    <w:rPr>
                      <w:color w:val="auto"/>
                      <w:kern w:val="0"/>
                      <w:szCs w:val="21"/>
                      <w:lang w:bidi="ar"/>
                    </w:rPr>
                  </w:pPr>
                  <w:r>
                    <w:rPr>
                      <w:color w:val="auto"/>
                      <w:kern w:val="0"/>
                      <w:szCs w:val="21"/>
                      <w:lang w:bidi="ar"/>
                    </w:rPr>
                    <w:t>0.408</w:t>
                  </w:r>
                </w:p>
              </w:tc>
              <w:tc>
                <w:tcPr>
                  <w:tcW w:w="856"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19.448</w:t>
                  </w:r>
                </w:p>
              </w:tc>
              <w:tc>
                <w:tcPr>
                  <w:tcW w:w="1153"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0.194</w:t>
                  </w:r>
                </w:p>
              </w:tc>
              <w:tc>
                <w:tcPr>
                  <w:tcW w:w="931"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0.408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4" w:type="pct"/>
                  <w:vMerge w:val="continue"/>
                  <w:tcBorders>
                    <w:tl2br w:val="nil"/>
                    <w:tr2bl w:val="nil"/>
                  </w:tcBorders>
                  <w:vAlign w:val="center"/>
                </w:tcPr>
                <w:p>
                  <w:pPr>
                    <w:adjustRightInd w:val="0"/>
                    <w:snapToGrid w:val="0"/>
                    <w:jc w:val="center"/>
                    <w:rPr>
                      <w:color w:val="auto"/>
                      <w:szCs w:val="21"/>
                    </w:rPr>
                  </w:pPr>
                </w:p>
              </w:tc>
              <w:tc>
                <w:tcPr>
                  <w:tcW w:w="1129" w:type="dxa"/>
                  <w:tcBorders>
                    <w:tl2br w:val="nil"/>
                    <w:tr2bl w:val="nil"/>
                  </w:tcBorders>
                  <w:vAlign w:val="center"/>
                </w:tcPr>
                <w:p>
                  <w:pPr>
                    <w:adjustRightInd w:val="0"/>
                    <w:snapToGrid w:val="0"/>
                    <w:spacing w:line="216" w:lineRule="auto"/>
                    <w:jc w:val="center"/>
                    <w:rPr>
                      <w:color w:val="auto"/>
                      <w:kern w:val="0"/>
                      <w:szCs w:val="21"/>
                      <w:lang w:bidi="ar"/>
                    </w:rPr>
                  </w:pPr>
                  <w:r>
                    <w:rPr>
                      <w:color w:val="auto"/>
                      <w:szCs w:val="21"/>
                    </w:rPr>
                    <w:t>颗粒物</w:t>
                  </w:r>
                </w:p>
              </w:tc>
              <w:tc>
                <w:tcPr>
                  <w:tcW w:w="482" w:type="pct"/>
                  <w:vMerge w:val="continue"/>
                  <w:tcBorders>
                    <w:tl2br w:val="nil"/>
                    <w:tr2bl w:val="nil"/>
                  </w:tcBorders>
                  <w:vAlign w:val="center"/>
                </w:tcPr>
                <w:p>
                  <w:pPr>
                    <w:adjustRightInd w:val="0"/>
                    <w:snapToGrid w:val="0"/>
                    <w:jc w:val="center"/>
                    <w:rPr>
                      <w:color w:val="auto"/>
                      <w:szCs w:val="21"/>
                    </w:rPr>
                  </w:pPr>
                </w:p>
              </w:tc>
              <w:tc>
                <w:tcPr>
                  <w:tcW w:w="993" w:type="dxa"/>
                  <w:tcBorders>
                    <w:tl2br w:val="nil"/>
                    <w:tr2bl w:val="nil"/>
                  </w:tcBorders>
                  <w:vAlign w:val="center"/>
                </w:tcPr>
                <w:p>
                  <w:pPr>
                    <w:widowControl/>
                    <w:adjustRightInd w:val="0"/>
                    <w:snapToGrid w:val="0"/>
                    <w:jc w:val="center"/>
                    <w:textAlignment w:val="center"/>
                    <w:rPr>
                      <w:color w:val="auto"/>
                      <w:kern w:val="0"/>
                      <w:szCs w:val="21"/>
                      <w:lang w:bidi="ar"/>
                    </w:rPr>
                  </w:pPr>
                  <w:r>
                    <w:rPr>
                      <w:color w:val="auto"/>
                      <w:kern w:val="0"/>
                      <w:szCs w:val="21"/>
                      <w:lang w:bidi="ar"/>
                    </w:rPr>
                    <w:t>2.974</w:t>
                  </w:r>
                </w:p>
              </w:tc>
              <w:tc>
                <w:tcPr>
                  <w:tcW w:w="708" w:type="dxa"/>
                  <w:tcBorders>
                    <w:tl2br w:val="nil"/>
                    <w:tr2bl w:val="nil"/>
                  </w:tcBorders>
                  <w:vAlign w:val="center"/>
                </w:tcPr>
                <w:p>
                  <w:pPr>
                    <w:widowControl/>
                    <w:adjustRightInd w:val="0"/>
                    <w:snapToGrid w:val="0"/>
                    <w:jc w:val="center"/>
                    <w:textAlignment w:val="center"/>
                    <w:rPr>
                      <w:color w:val="auto"/>
                      <w:kern w:val="0"/>
                      <w:szCs w:val="21"/>
                      <w:lang w:bidi="ar"/>
                    </w:rPr>
                  </w:pPr>
                  <w:r>
                    <w:rPr>
                      <w:color w:val="auto"/>
                      <w:kern w:val="0"/>
                      <w:szCs w:val="21"/>
                      <w:lang w:bidi="ar"/>
                    </w:rPr>
                    <w:t>0.030</w:t>
                  </w:r>
                </w:p>
              </w:tc>
              <w:tc>
                <w:tcPr>
                  <w:tcW w:w="872" w:type="dxa"/>
                  <w:tcBorders>
                    <w:tl2br w:val="nil"/>
                    <w:tr2bl w:val="nil"/>
                  </w:tcBorders>
                  <w:vAlign w:val="center"/>
                </w:tcPr>
                <w:p>
                  <w:pPr>
                    <w:widowControl/>
                    <w:adjustRightInd w:val="0"/>
                    <w:snapToGrid w:val="0"/>
                    <w:jc w:val="center"/>
                    <w:textAlignment w:val="center"/>
                    <w:rPr>
                      <w:color w:val="auto"/>
                      <w:kern w:val="0"/>
                      <w:szCs w:val="21"/>
                      <w:lang w:bidi="ar"/>
                    </w:rPr>
                  </w:pPr>
                  <w:r>
                    <w:rPr>
                      <w:color w:val="auto"/>
                      <w:kern w:val="0"/>
                      <w:szCs w:val="21"/>
                      <w:lang w:bidi="ar"/>
                    </w:rPr>
                    <w:t>0.062</w:t>
                  </w:r>
                </w:p>
              </w:tc>
              <w:tc>
                <w:tcPr>
                  <w:tcW w:w="856"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2.974</w:t>
                  </w:r>
                </w:p>
              </w:tc>
              <w:tc>
                <w:tcPr>
                  <w:tcW w:w="1153"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0.030</w:t>
                  </w:r>
                </w:p>
              </w:tc>
              <w:tc>
                <w:tcPr>
                  <w:tcW w:w="931"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color w:val="auto"/>
                      <w:kern w:val="0"/>
                      <w:sz w:val="21"/>
                      <w:szCs w:val="21"/>
                      <w:lang w:bidi="ar"/>
                    </w:rPr>
                    <w:t>0.062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4" w:type="pct"/>
                  <w:tcBorders>
                    <w:tl2br w:val="nil"/>
                    <w:tr2bl w:val="nil"/>
                  </w:tcBorders>
                  <w:vAlign w:val="center"/>
                </w:tcPr>
                <w:p>
                  <w:pPr>
                    <w:adjustRightInd w:val="0"/>
                    <w:snapToGrid w:val="0"/>
                    <w:jc w:val="center"/>
                    <w:rPr>
                      <w:color w:val="auto"/>
                      <w:szCs w:val="21"/>
                    </w:rPr>
                  </w:pPr>
                  <w:r>
                    <w:rPr>
                      <w:rFonts w:hint="eastAsia"/>
                      <w:color w:val="auto"/>
                      <w:szCs w:val="21"/>
                    </w:rPr>
                    <w:t>4</w:t>
                  </w:r>
                  <w:r>
                    <w:rPr>
                      <w:color w:val="auto"/>
                      <w:szCs w:val="21"/>
                    </w:rPr>
                    <w:t>#排气筒</w:t>
                  </w:r>
                </w:p>
              </w:tc>
              <w:tc>
                <w:tcPr>
                  <w:tcW w:w="693" w:type="pct"/>
                  <w:tcBorders>
                    <w:tl2br w:val="nil"/>
                    <w:tr2bl w:val="nil"/>
                  </w:tcBorders>
                  <w:vAlign w:val="center"/>
                </w:tcPr>
                <w:p>
                  <w:pPr>
                    <w:adjustRightInd w:val="0"/>
                    <w:snapToGrid w:val="0"/>
                    <w:spacing w:line="216" w:lineRule="auto"/>
                    <w:jc w:val="center"/>
                    <w:rPr>
                      <w:color w:val="auto"/>
                      <w:kern w:val="0"/>
                      <w:szCs w:val="21"/>
                      <w:lang w:bidi="ar"/>
                    </w:rPr>
                  </w:pPr>
                  <w:r>
                    <w:rPr>
                      <w:color w:val="auto"/>
                      <w:kern w:val="0"/>
                      <w:szCs w:val="21"/>
                      <w:lang w:bidi="ar"/>
                    </w:rPr>
                    <w:t>非甲烷</w:t>
                  </w:r>
                </w:p>
                <w:p>
                  <w:pPr>
                    <w:adjustRightInd w:val="0"/>
                    <w:snapToGrid w:val="0"/>
                    <w:spacing w:line="216" w:lineRule="auto"/>
                    <w:jc w:val="center"/>
                    <w:rPr>
                      <w:color w:val="auto"/>
                      <w:szCs w:val="21"/>
                    </w:rPr>
                  </w:pPr>
                  <w:r>
                    <w:rPr>
                      <w:color w:val="auto"/>
                      <w:kern w:val="0"/>
                      <w:szCs w:val="21"/>
                      <w:lang w:bidi="ar"/>
                    </w:rPr>
                    <w:t>总烃</w:t>
                  </w:r>
                </w:p>
              </w:tc>
              <w:tc>
                <w:tcPr>
                  <w:tcW w:w="482" w:type="pct"/>
                  <w:tcBorders>
                    <w:tl2br w:val="nil"/>
                    <w:tr2bl w:val="nil"/>
                  </w:tcBorders>
                  <w:vAlign w:val="center"/>
                </w:tcPr>
                <w:p>
                  <w:pPr>
                    <w:adjustRightInd w:val="0"/>
                    <w:snapToGrid w:val="0"/>
                    <w:jc w:val="center"/>
                    <w:rPr>
                      <w:color w:val="auto"/>
                      <w:szCs w:val="21"/>
                    </w:rPr>
                  </w:pPr>
                  <w:r>
                    <w:rPr>
                      <w:rFonts w:hint="eastAsia"/>
                      <w:color w:val="auto"/>
                      <w:szCs w:val="21"/>
                    </w:rPr>
                    <w:t>1</w:t>
                  </w:r>
                  <w:r>
                    <w:rPr>
                      <w:rFonts w:hint="eastAsia"/>
                      <w:color w:val="auto"/>
                      <w:szCs w:val="21"/>
                      <w:lang w:val="en-US" w:eastAsia="zh-CN"/>
                    </w:rPr>
                    <w:t>0</w:t>
                  </w:r>
                  <w:r>
                    <w:rPr>
                      <w:rFonts w:hint="eastAsia"/>
                      <w:color w:val="auto"/>
                      <w:szCs w:val="21"/>
                    </w:rPr>
                    <w:t>000</w:t>
                  </w:r>
                </w:p>
              </w:tc>
              <w:tc>
                <w:tcPr>
                  <w:tcW w:w="99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lang w:val="en-US" w:bidi="ar"/>
                    </w:rPr>
                  </w:pPr>
                  <w:r>
                    <w:rPr>
                      <w:rFonts w:hint="eastAsia" w:cs="Times New Roman"/>
                      <w:i w:val="0"/>
                      <w:iCs w:val="0"/>
                      <w:color w:val="auto"/>
                      <w:kern w:val="0"/>
                      <w:sz w:val="21"/>
                      <w:szCs w:val="21"/>
                      <w:u w:val="none"/>
                      <w:lang w:val="en-US" w:eastAsia="zh-CN" w:bidi="ar"/>
                    </w:rPr>
                    <w:t>6.249</w:t>
                  </w:r>
                </w:p>
              </w:tc>
              <w:tc>
                <w:tcPr>
                  <w:tcW w:w="70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0.062</w:t>
                  </w:r>
                </w:p>
              </w:tc>
              <w:tc>
                <w:tcPr>
                  <w:tcW w:w="87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0.131</w:t>
                  </w:r>
                </w:p>
              </w:tc>
              <w:tc>
                <w:tcPr>
                  <w:tcW w:w="856"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1.250</w:t>
                  </w:r>
                </w:p>
              </w:tc>
              <w:tc>
                <w:tcPr>
                  <w:tcW w:w="1153"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0.012</w:t>
                  </w:r>
                </w:p>
              </w:tc>
              <w:tc>
                <w:tcPr>
                  <w:tcW w:w="931"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0.026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9"/>
                  <w:tcBorders>
                    <w:tl2br w:val="nil"/>
                    <w:tr2bl w:val="nil"/>
                  </w:tcBorders>
                  <w:vAlign w:val="center"/>
                </w:tcPr>
                <w:p>
                  <w:pPr>
                    <w:adjustRightInd w:val="0"/>
                    <w:snapToGrid w:val="0"/>
                    <w:spacing w:line="216" w:lineRule="auto"/>
                    <w:jc w:val="center"/>
                    <w:rPr>
                      <w:color w:val="auto"/>
                      <w:szCs w:val="21"/>
                    </w:rPr>
                  </w:pPr>
                  <w:r>
                    <w:rPr>
                      <w:color w:val="auto"/>
                      <w:szCs w:val="21"/>
                    </w:rPr>
                    <w:t>无组织排放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4" w:type="pct"/>
                  <w:vMerge w:val="restart"/>
                  <w:tcBorders>
                    <w:tl2br w:val="nil"/>
                    <w:tr2bl w:val="nil"/>
                  </w:tcBorders>
                  <w:vAlign w:val="center"/>
                </w:tcPr>
                <w:p>
                  <w:pPr>
                    <w:widowControl/>
                    <w:adjustRightInd w:val="0"/>
                    <w:snapToGrid w:val="0"/>
                    <w:jc w:val="center"/>
                    <w:rPr>
                      <w:color w:val="auto"/>
                      <w:szCs w:val="21"/>
                    </w:rPr>
                  </w:pPr>
                  <w:r>
                    <w:rPr>
                      <w:rFonts w:hint="eastAsia"/>
                      <w:color w:val="auto"/>
                      <w:szCs w:val="21"/>
                    </w:rPr>
                    <w:t>厂区</w:t>
                  </w:r>
                </w:p>
              </w:tc>
              <w:tc>
                <w:tcPr>
                  <w:tcW w:w="693" w:type="pct"/>
                  <w:tcBorders>
                    <w:tl2br w:val="nil"/>
                    <w:tr2bl w:val="nil"/>
                  </w:tcBorders>
                  <w:vAlign w:val="center"/>
                </w:tcPr>
                <w:p>
                  <w:pPr>
                    <w:widowControl/>
                    <w:jc w:val="center"/>
                    <w:textAlignment w:val="center"/>
                    <w:rPr>
                      <w:color w:val="auto"/>
                      <w:kern w:val="0"/>
                      <w:szCs w:val="21"/>
                      <w:lang w:bidi="ar"/>
                    </w:rPr>
                  </w:pPr>
                  <w:r>
                    <w:rPr>
                      <w:color w:val="auto"/>
                      <w:kern w:val="0"/>
                      <w:szCs w:val="21"/>
                      <w:lang w:bidi="ar"/>
                    </w:rPr>
                    <w:t>非甲烷</w:t>
                  </w:r>
                </w:p>
                <w:p>
                  <w:pPr>
                    <w:widowControl/>
                    <w:jc w:val="center"/>
                    <w:textAlignment w:val="center"/>
                    <w:rPr>
                      <w:color w:val="auto"/>
                      <w:szCs w:val="21"/>
                    </w:rPr>
                  </w:pPr>
                  <w:r>
                    <w:rPr>
                      <w:color w:val="auto"/>
                      <w:kern w:val="0"/>
                      <w:szCs w:val="21"/>
                      <w:lang w:bidi="ar"/>
                    </w:rPr>
                    <w:t>总烃</w:t>
                  </w:r>
                </w:p>
              </w:tc>
              <w:tc>
                <w:tcPr>
                  <w:tcW w:w="482" w:type="pct"/>
                  <w:tcBorders>
                    <w:tl2br w:val="nil"/>
                    <w:tr2bl w:val="nil"/>
                  </w:tcBorders>
                  <w:vAlign w:val="center"/>
                </w:tcPr>
                <w:p>
                  <w:pPr>
                    <w:widowControl/>
                    <w:adjustRightInd w:val="0"/>
                    <w:snapToGrid w:val="0"/>
                    <w:spacing w:line="216" w:lineRule="auto"/>
                    <w:jc w:val="center"/>
                    <w:rPr>
                      <w:color w:val="auto"/>
                      <w:szCs w:val="21"/>
                    </w:rPr>
                  </w:pPr>
                  <w:r>
                    <w:rPr>
                      <w:color w:val="auto"/>
                      <w:szCs w:val="21"/>
                    </w:rPr>
                    <w:t>/</w:t>
                  </w:r>
                </w:p>
              </w:tc>
              <w:tc>
                <w:tcPr>
                  <w:tcW w:w="609" w:type="pct"/>
                  <w:tcBorders>
                    <w:tl2br w:val="nil"/>
                    <w:tr2bl w:val="nil"/>
                  </w:tcBorders>
                  <w:vAlign w:val="center"/>
                </w:tcPr>
                <w:p>
                  <w:pPr>
                    <w:adjustRightInd w:val="0"/>
                    <w:snapToGrid w:val="0"/>
                    <w:spacing w:line="216" w:lineRule="auto"/>
                    <w:jc w:val="center"/>
                    <w:rPr>
                      <w:color w:val="auto"/>
                      <w:szCs w:val="21"/>
                    </w:rPr>
                  </w:pPr>
                  <w:r>
                    <w:rPr>
                      <w:color w:val="auto"/>
                      <w:szCs w:val="21"/>
                    </w:rPr>
                    <w:t>/</w:t>
                  </w:r>
                </w:p>
              </w:tc>
              <w:tc>
                <w:tcPr>
                  <w:tcW w:w="70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183</w:t>
                  </w:r>
                </w:p>
              </w:tc>
              <w:tc>
                <w:tcPr>
                  <w:tcW w:w="872"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384</w:t>
                  </w:r>
                </w:p>
              </w:tc>
              <w:tc>
                <w:tcPr>
                  <w:tcW w:w="525" w:type="pct"/>
                  <w:tcBorders>
                    <w:tl2br w:val="nil"/>
                    <w:tr2bl w:val="nil"/>
                  </w:tcBorders>
                  <w:vAlign w:val="center"/>
                </w:tcPr>
                <w:p>
                  <w:pPr>
                    <w:widowControl/>
                    <w:adjustRightInd w:val="0"/>
                    <w:snapToGrid w:val="0"/>
                    <w:spacing w:line="216" w:lineRule="auto"/>
                    <w:jc w:val="center"/>
                    <w:rPr>
                      <w:color w:val="auto"/>
                      <w:szCs w:val="21"/>
                    </w:rPr>
                  </w:pPr>
                  <w:r>
                    <w:rPr>
                      <w:color w:val="auto"/>
                      <w:szCs w:val="21"/>
                    </w:rPr>
                    <w:t>/</w:t>
                  </w:r>
                </w:p>
              </w:tc>
              <w:tc>
                <w:tcPr>
                  <w:tcW w:w="1153" w:type="dxa"/>
                  <w:tcBorders>
                    <w:tl2br w:val="nil"/>
                    <w:tr2bl w:val="nil"/>
                  </w:tcBorders>
                  <w:vAlign w:val="center"/>
                </w:tcPr>
                <w:p>
                  <w:pPr>
                    <w:keepNext w:val="0"/>
                    <w:keepLines w:val="0"/>
                    <w:widowControl/>
                    <w:suppressLineNumbers w:val="0"/>
                    <w:jc w:val="center"/>
                    <w:textAlignment w:val="center"/>
                    <w:rPr>
                      <w:color w:val="auto"/>
                      <w:szCs w:val="21"/>
                      <w:highlight w:val="red"/>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183</w:t>
                  </w:r>
                </w:p>
              </w:tc>
              <w:tc>
                <w:tcPr>
                  <w:tcW w:w="931" w:type="dxa"/>
                  <w:tcBorders>
                    <w:tl2br w:val="nil"/>
                    <w:tr2bl w:val="nil"/>
                  </w:tcBorders>
                  <w:vAlign w:val="center"/>
                </w:tcPr>
                <w:p>
                  <w:pPr>
                    <w:keepNext w:val="0"/>
                    <w:keepLines w:val="0"/>
                    <w:widowControl/>
                    <w:suppressLineNumbers w:val="0"/>
                    <w:jc w:val="center"/>
                    <w:textAlignment w:val="center"/>
                    <w:rPr>
                      <w:color w:val="auto"/>
                      <w:szCs w:val="21"/>
                      <w:highlight w:val="red"/>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cs="Times New Roman"/>
                      <w:i w:val="0"/>
                      <w:iCs w:val="0"/>
                      <w:color w:val="auto"/>
                      <w:kern w:val="0"/>
                      <w:sz w:val="21"/>
                      <w:szCs w:val="21"/>
                      <w:u w:val="none"/>
                      <w:lang w:val="en-US" w:eastAsia="zh-CN" w:bidi="ar"/>
                    </w:rPr>
                    <w:t>384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444" w:type="pct"/>
                  <w:vMerge w:val="continue"/>
                  <w:tcBorders>
                    <w:tl2br w:val="nil"/>
                    <w:tr2bl w:val="nil"/>
                  </w:tcBorders>
                  <w:vAlign w:val="center"/>
                </w:tcPr>
                <w:p>
                  <w:pPr>
                    <w:widowControl/>
                    <w:adjustRightInd w:val="0"/>
                    <w:snapToGrid w:val="0"/>
                    <w:jc w:val="center"/>
                    <w:rPr>
                      <w:color w:val="auto"/>
                      <w:szCs w:val="21"/>
                    </w:rPr>
                  </w:pPr>
                </w:p>
              </w:tc>
              <w:tc>
                <w:tcPr>
                  <w:tcW w:w="693" w:type="pct"/>
                  <w:tcBorders>
                    <w:tl2br w:val="nil"/>
                    <w:tr2bl w:val="nil"/>
                  </w:tcBorders>
                  <w:vAlign w:val="center"/>
                </w:tcPr>
                <w:p>
                  <w:pPr>
                    <w:widowControl/>
                    <w:jc w:val="center"/>
                    <w:textAlignment w:val="center"/>
                    <w:rPr>
                      <w:color w:val="auto"/>
                      <w:szCs w:val="21"/>
                    </w:rPr>
                  </w:pPr>
                  <w:r>
                    <w:rPr>
                      <w:color w:val="auto"/>
                      <w:kern w:val="0"/>
                      <w:szCs w:val="21"/>
                      <w:lang w:bidi="ar"/>
                    </w:rPr>
                    <w:t>SO</w:t>
                  </w:r>
                  <w:r>
                    <w:rPr>
                      <w:color w:val="auto"/>
                      <w:kern w:val="0"/>
                      <w:szCs w:val="21"/>
                      <w:vertAlign w:val="subscript"/>
                      <w:lang w:bidi="ar"/>
                    </w:rPr>
                    <w:t>2</w:t>
                  </w:r>
                </w:p>
              </w:tc>
              <w:tc>
                <w:tcPr>
                  <w:tcW w:w="482" w:type="pct"/>
                  <w:tcBorders>
                    <w:tl2br w:val="nil"/>
                    <w:tr2bl w:val="nil"/>
                  </w:tcBorders>
                  <w:vAlign w:val="center"/>
                </w:tcPr>
                <w:p>
                  <w:pPr>
                    <w:widowControl/>
                    <w:adjustRightInd w:val="0"/>
                    <w:snapToGrid w:val="0"/>
                    <w:spacing w:line="216" w:lineRule="auto"/>
                    <w:jc w:val="center"/>
                    <w:rPr>
                      <w:color w:val="auto"/>
                      <w:szCs w:val="21"/>
                    </w:rPr>
                  </w:pPr>
                  <w:r>
                    <w:rPr>
                      <w:color w:val="auto"/>
                      <w:szCs w:val="21"/>
                    </w:rPr>
                    <w:t>/</w:t>
                  </w:r>
                </w:p>
              </w:tc>
              <w:tc>
                <w:tcPr>
                  <w:tcW w:w="609" w:type="pct"/>
                  <w:tcBorders>
                    <w:tl2br w:val="nil"/>
                    <w:tr2bl w:val="nil"/>
                  </w:tcBorders>
                  <w:vAlign w:val="center"/>
                </w:tcPr>
                <w:p>
                  <w:pPr>
                    <w:adjustRightInd w:val="0"/>
                    <w:snapToGrid w:val="0"/>
                    <w:spacing w:line="216" w:lineRule="auto"/>
                    <w:jc w:val="center"/>
                    <w:rPr>
                      <w:color w:val="auto"/>
                      <w:szCs w:val="21"/>
                    </w:rPr>
                  </w:pPr>
                  <w:r>
                    <w:rPr>
                      <w:color w:val="auto"/>
                      <w:szCs w:val="21"/>
                    </w:rPr>
                    <w:t>/</w:t>
                  </w:r>
                </w:p>
              </w:tc>
              <w:tc>
                <w:tcPr>
                  <w:tcW w:w="708" w:type="dxa"/>
                  <w:tcBorders>
                    <w:tl2br w:val="nil"/>
                    <w:tr2bl w:val="nil"/>
                  </w:tcBorders>
                  <w:vAlign w:val="center"/>
                </w:tcPr>
                <w:p>
                  <w:pPr>
                    <w:widowControl/>
                    <w:jc w:val="center"/>
                    <w:textAlignment w:val="center"/>
                    <w:rPr>
                      <w:color w:val="auto"/>
                      <w:szCs w:val="21"/>
                    </w:rPr>
                  </w:pPr>
                  <w:r>
                    <w:rPr>
                      <w:color w:val="auto"/>
                      <w:kern w:val="0"/>
                      <w:szCs w:val="21"/>
                      <w:lang w:bidi="ar"/>
                    </w:rPr>
                    <w:t>0.005</w:t>
                  </w:r>
                </w:p>
              </w:tc>
              <w:tc>
                <w:tcPr>
                  <w:tcW w:w="872" w:type="dxa"/>
                  <w:tcBorders>
                    <w:tl2br w:val="nil"/>
                    <w:tr2bl w:val="nil"/>
                  </w:tcBorders>
                  <w:vAlign w:val="center"/>
                </w:tcPr>
                <w:p>
                  <w:pPr>
                    <w:widowControl/>
                    <w:jc w:val="center"/>
                    <w:textAlignment w:val="center"/>
                    <w:rPr>
                      <w:color w:val="auto"/>
                      <w:szCs w:val="21"/>
                    </w:rPr>
                  </w:pPr>
                  <w:r>
                    <w:rPr>
                      <w:color w:val="auto"/>
                      <w:kern w:val="0"/>
                      <w:szCs w:val="21"/>
                      <w:lang w:bidi="ar"/>
                    </w:rPr>
                    <w:t>0.011</w:t>
                  </w:r>
                </w:p>
              </w:tc>
              <w:tc>
                <w:tcPr>
                  <w:tcW w:w="525" w:type="pct"/>
                  <w:tcBorders>
                    <w:tl2br w:val="nil"/>
                    <w:tr2bl w:val="nil"/>
                  </w:tcBorders>
                  <w:vAlign w:val="center"/>
                </w:tcPr>
                <w:p>
                  <w:pPr>
                    <w:widowControl/>
                    <w:adjustRightInd w:val="0"/>
                    <w:snapToGrid w:val="0"/>
                    <w:spacing w:line="216" w:lineRule="auto"/>
                    <w:jc w:val="center"/>
                    <w:rPr>
                      <w:color w:val="auto"/>
                      <w:szCs w:val="21"/>
                    </w:rPr>
                  </w:pPr>
                  <w:r>
                    <w:rPr>
                      <w:color w:val="auto"/>
                      <w:szCs w:val="21"/>
                    </w:rPr>
                    <w:t>/</w:t>
                  </w:r>
                </w:p>
              </w:tc>
              <w:tc>
                <w:tcPr>
                  <w:tcW w:w="1153" w:type="dxa"/>
                  <w:tcBorders>
                    <w:tl2br w:val="nil"/>
                    <w:tr2bl w:val="nil"/>
                  </w:tcBorders>
                  <w:vAlign w:val="center"/>
                </w:tcPr>
                <w:p>
                  <w:pPr>
                    <w:widowControl/>
                    <w:jc w:val="center"/>
                    <w:textAlignment w:val="center"/>
                    <w:rPr>
                      <w:color w:val="auto"/>
                      <w:szCs w:val="21"/>
                    </w:rPr>
                  </w:pPr>
                  <w:r>
                    <w:rPr>
                      <w:color w:val="auto"/>
                      <w:kern w:val="0"/>
                      <w:szCs w:val="21"/>
                      <w:lang w:bidi="ar"/>
                    </w:rPr>
                    <w:t>0.005</w:t>
                  </w:r>
                </w:p>
              </w:tc>
              <w:tc>
                <w:tcPr>
                  <w:tcW w:w="931" w:type="dxa"/>
                  <w:tcBorders>
                    <w:tl2br w:val="nil"/>
                    <w:tr2bl w:val="nil"/>
                  </w:tcBorders>
                  <w:vAlign w:val="center"/>
                </w:tcPr>
                <w:p>
                  <w:pPr>
                    <w:widowControl/>
                    <w:jc w:val="center"/>
                    <w:textAlignment w:val="center"/>
                    <w:rPr>
                      <w:color w:val="auto"/>
                      <w:szCs w:val="21"/>
                    </w:rPr>
                  </w:pPr>
                  <w:r>
                    <w:rPr>
                      <w:color w:val="auto"/>
                      <w:kern w:val="0"/>
                      <w:szCs w:val="21"/>
                      <w:lang w:bidi="ar"/>
                    </w:rPr>
                    <w:t>0.011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444" w:type="pct"/>
                  <w:vMerge w:val="continue"/>
                  <w:tcBorders>
                    <w:tl2br w:val="nil"/>
                    <w:tr2bl w:val="nil"/>
                  </w:tcBorders>
                  <w:vAlign w:val="center"/>
                </w:tcPr>
                <w:p>
                  <w:pPr>
                    <w:widowControl/>
                    <w:adjustRightInd w:val="0"/>
                    <w:snapToGrid w:val="0"/>
                    <w:jc w:val="center"/>
                    <w:rPr>
                      <w:color w:val="auto"/>
                      <w:szCs w:val="21"/>
                    </w:rPr>
                  </w:pPr>
                </w:p>
              </w:tc>
              <w:tc>
                <w:tcPr>
                  <w:tcW w:w="693" w:type="pct"/>
                  <w:tcBorders>
                    <w:tl2br w:val="nil"/>
                    <w:tr2bl w:val="nil"/>
                  </w:tcBorders>
                  <w:vAlign w:val="center"/>
                </w:tcPr>
                <w:p>
                  <w:pPr>
                    <w:widowControl/>
                    <w:jc w:val="center"/>
                    <w:textAlignment w:val="center"/>
                    <w:rPr>
                      <w:color w:val="auto"/>
                      <w:szCs w:val="21"/>
                    </w:rPr>
                  </w:pPr>
                  <w:r>
                    <w:rPr>
                      <w:color w:val="auto"/>
                      <w:kern w:val="0"/>
                      <w:szCs w:val="21"/>
                      <w:lang w:bidi="ar"/>
                    </w:rPr>
                    <w:t>NO</w:t>
                  </w:r>
                  <w:r>
                    <w:rPr>
                      <w:color w:val="auto"/>
                      <w:kern w:val="0"/>
                      <w:szCs w:val="21"/>
                      <w:vertAlign w:val="subscript"/>
                      <w:lang w:bidi="ar"/>
                    </w:rPr>
                    <w:t>X</w:t>
                  </w:r>
                </w:p>
              </w:tc>
              <w:tc>
                <w:tcPr>
                  <w:tcW w:w="482" w:type="pct"/>
                  <w:tcBorders>
                    <w:tl2br w:val="nil"/>
                    <w:tr2bl w:val="nil"/>
                  </w:tcBorders>
                  <w:vAlign w:val="center"/>
                </w:tcPr>
                <w:p>
                  <w:pPr>
                    <w:widowControl/>
                    <w:adjustRightInd w:val="0"/>
                    <w:snapToGrid w:val="0"/>
                    <w:spacing w:line="216" w:lineRule="auto"/>
                    <w:jc w:val="center"/>
                    <w:rPr>
                      <w:color w:val="auto"/>
                      <w:szCs w:val="21"/>
                    </w:rPr>
                  </w:pPr>
                  <w:r>
                    <w:rPr>
                      <w:color w:val="auto"/>
                      <w:szCs w:val="21"/>
                    </w:rPr>
                    <w:t>/</w:t>
                  </w:r>
                </w:p>
              </w:tc>
              <w:tc>
                <w:tcPr>
                  <w:tcW w:w="609" w:type="pct"/>
                  <w:tcBorders>
                    <w:tl2br w:val="nil"/>
                    <w:tr2bl w:val="nil"/>
                  </w:tcBorders>
                  <w:vAlign w:val="center"/>
                </w:tcPr>
                <w:p>
                  <w:pPr>
                    <w:adjustRightInd w:val="0"/>
                    <w:snapToGrid w:val="0"/>
                    <w:spacing w:line="216" w:lineRule="auto"/>
                    <w:jc w:val="center"/>
                    <w:rPr>
                      <w:color w:val="auto"/>
                      <w:szCs w:val="21"/>
                    </w:rPr>
                  </w:pPr>
                  <w:r>
                    <w:rPr>
                      <w:color w:val="auto"/>
                      <w:szCs w:val="21"/>
                    </w:rPr>
                    <w:t>/</w:t>
                  </w:r>
                </w:p>
              </w:tc>
              <w:tc>
                <w:tcPr>
                  <w:tcW w:w="708" w:type="dxa"/>
                  <w:tcBorders>
                    <w:tl2br w:val="nil"/>
                    <w:tr2bl w:val="nil"/>
                  </w:tcBorders>
                  <w:vAlign w:val="center"/>
                </w:tcPr>
                <w:p>
                  <w:pPr>
                    <w:widowControl/>
                    <w:jc w:val="center"/>
                    <w:textAlignment w:val="center"/>
                    <w:rPr>
                      <w:color w:val="auto"/>
                      <w:szCs w:val="21"/>
                    </w:rPr>
                  </w:pPr>
                  <w:r>
                    <w:rPr>
                      <w:color w:val="auto"/>
                      <w:kern w:val="0"/>
                      <w:szCs w:val="21"/>
                      <w:lang w:bidi="ar"/>
                    </w:rPr>
                    <w:t>0.049</w:t>
                  </w:r>
                </w:p>
              </w:tc>
              <w:tc>
                <w:tcPr>
                  <w:tcW w:w="872" w:type="dxa"/>
                  <w:tcBorders>
                    <w:tl2br w:val="nil"/>
                    <w:tr2bl w:val="nil"/>
                  </w:tcBorders>
                  <w:vAlign w:val="center"/>
                </w:tcPr>
                <w:p>
                  <w:pPr>
                    <w:widowControl/>
                    <w:jc w:val="center"/>
                    <w:textAlignment w:val="center"/>
                    <w:rPr>
                      <w:color w:val="auto"/>
                      <w:szCs w:val="21"/>
                    </w:rPr>
                  </w:pPr>
                  <w:r>
                    <w:rPr>
                      <w:color w:val="auto"/>
                      <w:kern w:val="0"/>
                      <w:szCs w:val="21"/>
                      <w:lang w:bidi="ar"/>
                    </w:rPr>
                    <w:t>0.102</w:t>
                  </w:r>
                </w:p>
              </w:tc>
              <w:tc>
                <w:tcPr>
                  <w:tcW w:w="525" w:type="pct"/>
                  <w:tcBorders>
                    <w:tl2br w:val="nil"/>
                    <w:tr2bl w:val="nil"/>
                  </w:tcBorders>
                  <w:vAlign w:val="center"/>
                </w:tcPr>
                <w:p>
                  <w:pPr>
                    <w:widowControl/>
                    <w:adjustRightInd w:val="0"/>
                    <w:snapToGrid w:val="0"/>
                    <w:spacing w:line="216" w:lineRule="auto"/>
                    <w:jc w:val="center"/>
                    <w:rPr>
                      <w:color w:val="auto"/>
                      <w:szCs w:val="21"/>
                    </w:rPr>
                  </w:pPr>
                  <w:r>
                    <w:rPr>
                      <w:color w:val="auto"/>
                      <w:szCs w:val="21"/>
                    </w:rPr>
                    <w:t>/</w:t>
                  </w:r>
                </w:p>
              </w:tc>
              <w:tc>
                <w:tcPr>
                  <w:tcW w:w="1153" w:type="dxa"/>
                  <w:tcBorders>
                    <w:tl2br w:val="nil"/>
                    <w:tr2bl w:val="nil"/>
                  </w:tcBorders>
                  <w:vAlign w:val="center"/>
                </w:tcPr>
                <w:p>
                  <w:pPr>
                    <w:widowControl/>
                    <w:jc w:val="center"/>
                    <w:textAlignment w:val="center"/>
                    <w:rPr>
                      <w:color w:val="auto"/>
                      <w:szCs w:val="21"/>
                    </w:rPr>
                  </w:pPr>
                  <w:r>
                    <w:rPr>
                      <w:color w:val="auto"/>
                      <w:kern w:val="0"/>
                      <w:szCs w:val="21"/>
                      <w:lang w:bidi="ar"/>
                    </w:rPr>
                    <w:t>0.049</w:t>
                  </w:r>
                </w:p>
              </w:tc>
              <w:tc>
                <w:tcPr>
                  <w:tcW w:w="931" w:type="dxa"/>
                  <w:tcBorders>
                    <w:tl2br w:val="nil"/>
                    <w:tr2bl w:val="nil"/>
                  </w:tcBorders>
                  <w:vAlign w:val="center"/>
                </w:tcPr>
                <w:p>
                  <w:pPr>
                    <w:widowControl/>
                    <w:jc w:val="center"/>
                    <w:textAlignment w:val="center"/>
                    <w:rPr>
                      <w:color w:val="auto"/>
                      <w:szCs w:val="21"/>
                    </w:rPr>
                  </w:pPr>
                  <w:r>
                    <w:rPr>
                      <w:color w:val="auto"/>
                      <w:kern w:val="0"/>
                      <w:szCs w:val="21"/>
                      <w:lang w:bidi="ar"/>
                    </w:rPr>
                    <w:t>0.102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444" w:type="pct"/>
                  <w:vMerge w:val="continue"/>
                  <w:tcBorders>
                    <w:tl2br w:val="nil"/>
                    <w:tr2bl w:val="nil"/>
                  </w:tcBorders>
                  <w:vAlign w:val="center"/>
                </w:tcPr>
                <w:p>
                  <w:pPr>
                    <w:widowControl/>
                    <w:adjustRightInd w:val="0"/>
                    <w:snapToGrid w:val="0"/>
                    <w:jc w:val="center"/>
                    <w:rPr>
                      <w:color w:val="auto"/>
                      <w:szCs w:val="21"/>
                    </w:rPr>
                  </w:pPr>
                </w:p>
              </w:tc>
              <w:tc>
                <w:tcPr>
                  <w:tcW w:w="693" w:type="pct"/>
                  <w:tcBorders>
                    <w:tl2br w:val="nil"/>
                    <w:tr2bl w:val="nil"/>
                  </w:tcBorders>
                  <w:vAlign w:val="center"/>
                </w:tcPr>
                <w:p>
                  <w:pPr>
                    <w:widowControl/>
                    <w:jc w:val="center"/>
                    <w:textAlignment w:val="center"/>
                    <w:rPr>
                      <w:color w:val="auto"/>
                      <w:szCs w:val="21"/>
                    </w:rPr>
                  </w:pPr>
                  <w:r>
                    <w:rPr>
                      <w:rFonts w:hint="eastAsia"/>
                      <w:color w:val="auto"/>
                      <w:szCs w:val="21"/>
                    </w:rPr>
                    <w:t>颗粒物</w:t>
                  </w:r>
                </w:p>
              </w:tc>
              <w:tc>
                <w:tcPr>
                  <w:tcW w:w="482" w:type="pct"/>
                  <w:tcBorders>
                    <w:tl2br w:val="nil"/>
                    <w:tr2bl w:val="nil"/>
                  </w:tcBorders>
                  <w:vAlign w:val="center"/>
                </w:tcPr>
                <w:p>
                  <w:pPr>
                    <w:widowControl/>
                    <w:adjustRightInd w:val="0"/>
                    <w:snapToGrid w:val="0"/>
                    <w:spacing w:line="216" w:lineRule="auto"/>
                    <w:jc w:val="center"/>
                    <w:rPr>
                      <w:color w:val="auto"/>
                      <w:szCs w:val="21"/>
                    </w:rPr>
                  </w:pPr>
                  <w:r>
                    <w:rPr>
                      <w:color w:val="auto"/>
                      <w:szCs w:val="21"/>
                    </w:rPr>
                    <w:t>/</w:t>
                  </w:r>
                </w:p>
              </w:tc>
              <w:tc>
                <w:tcPr>
                  <w:tcW w:w="609" w:type="pct"/>
                  <w:tcBorders>
                    <w:tl2br w:val="nil"/>
                    <w:tr2bl w:val="nil"/>
                  </w:tcBorders>
                  <w:vAlign w:val="center"/>
                </w:tcPr>
                <w:p>
                  <w:pPr>
                    <w:adjustRightInd w:val="0"/>
                    <w:snapToGrid w:val="0"/>
                    <w:spacing w:line="216" w:lineRule="auto"/>
                    <w:jc w:val="center"/>
                    <w:rPr>
                      <w:color w:val="auto"/>
                      <w:szCs w:val="21"/>
                    </w:rPr>
                  </w:pPr>
                  <w:r>
                    <w:rPr>
                      <w:color w:val="auto"/>
                      <w:szCs w:val="21"/>
                    </w:rPr>
                    <w:t>/</w:t>
                  </w:r>
                </w:p>
              </w:tc>
              <w:tc>
                <w:tcPr>
                  <w:tcW w:w="708" w:type="dxa"/>
                  <w:tcBorders>
                    <w:tl2br w:val="nil"/>
                    <w:tr2bl w:val="nil"/>
                  </w:tcBorders>
                  <w:vAlign w:val="center"/>
                </w:tcPr>
                <w:p>
                  <w:pPr>
                    <w:widowControl/>
                    <w:jc w:val="center"/>
                    <w:textAlignment w:val="center"/>
                    <w:rPr>
                      <w:color w:val="auto"/>
                      <w:szCs w:val="21"/>
                    </w:rPr>
                  </w:pPr>
                  <w:r>
                    <w:rPr>
                      <w:color w:val="auto"/>
                      <w:kern w:val="0"/>
                      <w:szCs w:val="21"/>
                      <w:lang w:bidi="ar"/>
                    </w:rPr>
                    <w:t>0.007</w:t>
                  </w:r>
                </w:p>
              </w:tc>
              <w:tc>
                <w:tcPr>
                  <w:tcW w:w="872" w:type="dxa"/>
                  <w:tcBorders>
                    <w:tl2br w:val="nil"/>
                    <w:tr2bl w:val="nil"/>
                  </w:tcBorders>
                  <w:vAlign w:val="center"/>
                </w:tcPr>
                <w:p>
                  <w:pPr>
                    <w:widowControl/>
                    <w:jc w:val="center"/>
                    <w:textAlignment w:val="center"/>
                    <w:rPr>
                      <w:color w:val="auto"/>
                      <w:szCs w:val="21"/>
                    </w:rPr>
                  </w:pPr>
                  <w:r>
                    <w:rPr>
                      <w:color w:val="auto"/>
                      <w:kern w:val="0"/>
                      <w:szCs w:val="21"/>
                      <w:lang w:bidi="ar"/>
                    </w:rPr>
                    <w:t>0.016</w:t>
                  </w:r>
                </w:p>
              </w:tc>
              <w:tc>
                <w:tcPr>
                  <w:tcW w:w="525" w:type="pct"/>
                  <w:tcBorders>
                    <w:tl2br w:val="nil"/>
                    <w:tr2bl w:val="nil"/>
                  </w:tcBorders>
                  <w:vAlign w:val="center"/>
                </w:tcPr>
                <w:p>
                  <w:pPr>
                    <w:widowControl/>
                    <w:adjustRightInd w:val="0"/>
                    <w:snapToGrid w:val="0"/>
                    <w:spacing w:line="216" w:lineRule="auto"/>
                    <w:jc w:val="center"/>
                    <w:rPr>
                      <w:color w:val="auto"/>
                      <w:szCs w:val="21"/>
                    </w:rPr>
                  </w:pPr>
                  <w:r>
                    <w:rPr>
                      <w:color w:val="auto"/>
                      <w:szCs w:val="21"/>
                    </w:rPr>
                    <w:t>/</w:t>
                  </w:r>
                </w:p>
              </w:tc>
              <w:tc>
                <w:tcPr>
                  <w:tcW w:w="1153" w:type="dxa"/>
                  <w:tcBorders>
                    <w:tl2br w:val="nil"/>
                    <w:tr2bl w:val="nil"/>
                  </w:tcBorders>
                  <w:vAlign w:val="center"/>
                </w:tcPr>
                <w:p>
                  <w:pPr>
                    <w:widowControl/>
                    <w:jc w:val="center"/>
                    <w:textAlignment w:val="center"/>
                    <w:rPr>
                      <w:color w:val="auto"/>
                      <w:szCs w:val="21"/>
                    </w:rPr>
                  </w:pPr>
                  <w:r>
                    <w:rPr>
                      <w:color w:val="auto"/>
                      <w:kern w:val="0"/>
                      <w:szCs w:val="21"/>
                      <w:lang w:bidi="ar"/>
                    </w:rPr>
                    <w:t>0.007</w:t>
                  </w:r>
                </w:p>
              </w:tc>
              <w:tc>
                <w:tcPr>
                  <w:tcW w:w="931" w:type="dxa"/>
                  <w:tcBorders>
                    <w:tl2br w:val="nil"/>
                    <w:tr2bl w:val="nil"/>
                  </w:tcBorders>
                  <w:vAlign w:val="center"/>
                </w:tcPr>
                <w:p>
                  <w:pPr>
                    <w:widowControl/>
                    <w:jc w:val="center"/>
                    <w:textAlignment w:val="center"/>
                    <w:rPr>
                      <w:color w:val="auto"/>
                      <w:szCs w:val="21"/>
                    </w:rPr>
                  </w:pPr>
                  <w:r>
                    <w:rPr>
                      <w:color w:val="auto"/>
                      <w:kern w:val="0"/>
                      <w:szCs w:val="21"/>
                      <w:lang w:bidi="ar"/>
                    </w:rPr>
                    <w:t>0.016</w:t>
                  </w:r>
                </w:p>
              </w:tc>
            </w:tr>
          </w:tbl>
          <w:p>
            <w:pPr>
              <w:pStyle w:val="2"/>
              <w:ind w:firstLine="480" w:firstLineChars="200"/>
              <w:rPr>
                <w:rFonts w:ascii="Times New Roman" w:cs="Times New Roman"/>
                <w:color w:val="auto"/>
              </w:rPr>
            </w:pPr>
            <w:r>
              <w:rPr>
                <w:rFonts w:ascii="Times New Roman" w:cs="Times New Roman"/>
                <w:color w:val="auto"/>
              </w:rPr>
              <w:t>（2）治理措施可行性</w:t>
            </w:r>
          </w:p>
          <w:p>
            <w:pPr>
              <w:pStyle w:val="2"/>
              <w:ind w:firstLine="480" w:firstLineChars="200"/>
              <w:rPr>
                <w:rFonts w:ascii="Times New Roman" w:cs="Times New Roman"/>
                <w:color w:val="auto"/>
              </w:rPr>
            </w:pPr>
            <w:r>
              <w:rPr>
                <w:rFonts w:ascii="Times New Roman" w:cs="Times New Roman"/>
                <w:color w:val="auto"/>
              </w:rPr>
              <w:t>①</w:t>
            </w:r>
            <w:r>
              <w:rPr>
                <w:rFonts w:hint="eastAsia" w:ascii="Times New Roman" w:cs="Times New Roman"/>
                <w:color w:val="auto"/>
              </w:rPr>
              <w:t>涂胶、烘干废气</w:t>
            </w:r>
            <w:r>
              <w:rPr>
                <w:rFonts w:ascii="Times New Roman" w:cs="Times New Roman"/>
                <w:color w:val="auto"/>
              </w:rPr>
              <w:t>：</w:t>
            </w:r>
            <w:r>
              <w:rPr>
                <w:rFonts w:hint="eastAsia" w:ascii="Times New Roman" w:cs="Times New Roman"/>
                <w:color w:val="auto"/>
              </w:rPr>
              <w:t>涂胶、烘干工序产生的非甲烷总烃采用</w:t>
            </w:r>
            <w:r>
              <w:rPr>
                <w:rFonts w:ascii="Times New Roman" w:cs="Times New Roman"/>
                <w:color w:val="auto"/>
              </w:rPr>
              <w:t>“</w:t>
            </w:r>
            <w:r>
              <w:rPr>
                <w:rFonts w:hint="eastAsia" w:ascii="Times New Roman" w:cs="Times New Roman"/>
                <w:color w:val="auto"/>
                <w:lang w:val="en-US" w:eastAsia="zh-CN"/>
              </w:rPr>
              <w:t>UV光解+</w:t>
            </w:r>
            <w:r>
              <w:rPr>
                <w:rFonts w:hint="eastAsia" w:ascii="Times New Roman" w:cs="Times New Roman"/>
                <w:color w:val="auto"/>
              </w:rPr>
              <w:t>二级活性炭吸附”处理后</w:t>
            </w:r>
            <w:r>
              <w:rPr>
                <w:rFonts w:ascii="Times New Roman" w:cs="Times New Roman"/>
                <w:color w:val="auto"/>
              </w:rPr>
              <w:t>引至15m高的</w:t>
            </w:r>
            <w:r>
              <w:rPr>
                <w:rFonts w:hint="eastAsia" w:ascii="Times New Roman" w:cs="Times New Roman"/>
                <w:color w:val="auto"/>
              </w:rPr>
              <w:t>3</w:t>
            </w:r>
            <w:r>
              <w:rPr>
                <w:rFonts w:ascii="Times New Roman" w:cs="Times New Roman"/>
                <w:color w:val="auto"/>
              </w:rPr>
              <w:t>#排气筒排放，其工艺流程见图4.1。</w:t>
            </w:r>
          </w:p>
          <w:p>
            <w:pPr>
              <w:pStyle w:val="2"/>
              <w:jc w:val="center"/>
              <w:rPr>
                <w:rFonts w:ascii="Times New Roman" w:cs="Times New Roman"/>
                <w:color w:val="auto"/>
              </w:rPr>
            </w:pPr>
            <w:r>
              <w:rPr>
                <w:rFonts w:ascii="Times New Roman" w:cs="Times New Roman"/>
                <w:color w:val="auto"/>
              </w:rPr>
              <w:object>
                <v:shape id="_x0000_i1029" o:spt="75" type="#_x0000_t75" style="height:27pt;width:285pt;" o:ole="t" filled="f" o:preferrelative="t" stroked="f" coordsize="21600,21600">
                  <v:path/>
                  <v:fill on="f" focussize="0,0"/>
                  <v:stroke on="f"/>
                  <v:imagedata r:id="rId17" o:title=""/>
                  <o:lock v:ext="edit" aspectratio="f"/>
                  <w10:wrap type="none"/>
                  <w10:anchorlock/>
                </v:shape>
                <o:OLEObject Type="Embed" ProgID="Visio.Drawing.11" ShapeID="_x0000_i1029" DrawAspect="Content" ObjectID="_1468075729" r:id="rId16">
                  <o:LockedField>false</o:LockedField>
                </o:OLEObject>
              </w:object>
            </w:r>
          </w:p>
          <w:p>
            <w:pPr>
              <w:pStyle w:val="2"/>
              <w:jc w:val="center"/>
              <w:rPr>
                <w:rFonts w:ascii="Times New Roman" w:hAnsi="Times New Roman" w:cs="Times New Roman"/>
                <w:color w:val="auto"/>
              </w:rPr>
            </w:pPr>
            <w:r>
              <w:rPr>
                <w:rFonts w:ascii="Times New Roman" w:hAnsi="Times New Roman" w:cs="Times New Roman"/>
                <w:color w:val="auto"/>
              </w:rPr>
              <w:t>图4.1 涂胶、烘干废气治理工艺流程</w:t>
            </w:r>
          </w:p>
          <w:p>
            <w:pPr>
              <w:widowControl/>
              <w:adjustRightInd w:val="0"/>
              <w:snapToGrid w:val="0"/>
              <w:spacing w:line="360" w:lineRule="auto"/>
              <w:ind w:firstLine="480" w:firstLineChars="200"/>
              <w:jc w:val="left"/>
              <w:rPr>
                <w:color w:val="auto"/>
                <w:sz w:val="24"/>
              </w:rPr>
            </w:pPr>
            <w:r>
              <w:rPr>
                <w:color w:val="auto"/>
                <w:sz w:val="24"/>
              </w:rPr>
              <w:t>参照《排污许可证申请与核发技术规范—纺织印染工业》（HJ861-2017）中表B.1废气治理可行技术参照表：涂层设施</w:t>
            </w:r>
            <w:r>
              <w:rPr>
                <w:rFonts w:hint="eastAsia"/>
                <w:color w:val="auto"/>
                <w:kern w:val="0"/>
                <w:sz w:val="24"/>
                <w:lang w:bidi="ar"/>
              </w:rPr>
              <w:t>—</w:t>
            </w:r>
            <w:r>
              <w:rPr>
                <w:color w:val="auto"/>
                <w:kern w:val="0"/>
                <w:sz w:val="24"/>
                <w:lang w:bidi="ar"/>
              </w:rPr>
              <w:t>非甲烷总烃</w:t>
            </w:r>
            <w:r>
              <w:rPr>
                <w:color w:val="auto"/>
                <w:sz w:val="24"/>
              </w:rPr>
              <w:t>的可行治理技术包括“</w:t>
            </w:r>
            <w:r>
              <w:rPr>
                <w:color w:val="auto"/>
                <w:kern w:val="0"/>
                <w:sz w:val="24"/>
                <w:lang w:bidi="ar"/>
              </w:rPr>
              <w:t>喷淋洗涤、</w:t>
            </w:r>
            <w:r>
              <w:rPr>
                <w:b/>
                <w:bCs/>
                <w:color w:val="auto"/>
                <w:kern w:val="0"/>
                <w:sz w:val="24"/>
                <w:lang w:bidi="ar"/>
              </w:rPr>
              <w:t>吸附</w:t>
            </w:r>
            <w:r>
              <w:rPr>
                <w:color w:val="auto"/>
                <w:kern w:val="0"/>
                <w:sz w:val="24"/>
                <w:lang w:bidi="ar"/>
              </w:rPr>
              <w:t>、吸附-冷凝回收、吸附-催化燃烧、蓄热式燃烧、蓄热式催化燃烧</w:t>
            </w:r>
            <w:r>
              <w:rPr>
                <w:color w:val="auto"/>
                <w:sz w:val="24"/>
              </w:rPr>
              <w:t>，因此本评价提出的废气治理措施属于可行性技术。</w:t>
            </w:r>
          </w:p>
          <w:p>
            <w:pPr>
              <w:pStyle w:val="2"/>
              <w:ind w:firstLine="480" w:firstLineChars="200"/>
              <w:rPr>
                <w:rFonts w:ascii="Times New Roman" w:cs="Times New Roman"/>
                <w:color w:val="auto"/>
              </w:rPr>
            </w:pPr>
            <w:r>
              <w:rPr>
                <w:rFonts w:hint="eastAsia"/>
                <w:color w:val="auto"/>
              </w:rPr>
              <w:t>②淋膜、冷却废气：淋膜、冷却</w:t>
            </w:r>
            <w:r>
              <w:rPr>
                <w:rFonts w:hint="eastAsia" w:ascii="Times New Roman" w:cs="Times New Roman"/>
                <w:color w:val="auto"/>
              </w:rPr>
              <w:t>工序产生的非甲烷总烃采用</w:t>
            </w:r>
            <w:r>
              <w:rPr>
                <w:rFonts w:ascii="Times New Roman" w:cs="Times New Roman"/>
                <w:color w:val="auto"/>
              </w:rPr>
              <w:t>“</w:t>
            </w:r>
            <w:r>
              <w:rPr>
                <w:rFonts w:hint="eastAsia" w:ascii="Times New Roman" w:cs="Times New Roman"/>
                <w:color w:val="auto"/>
                <w:lang w:val="en-US" w:eastAsia="zh-CN"/>
              </w:rPr>
              <w:t>UV光解+二级</w:t>
            </w:r>
            <w:r>
              <w:rPr>
                <w:rFonts w:hint="eastAsia" w:ascii="Times New Roman" w:cs="Times New Roman"/>
                <w:color w:val="auto"/>
              </w:rPr>
              <w:t>活性炭吸附”处理后</w:t>
            </w:r>
            <w:r>
              <w:rPr>
                <w:rFonts w:ascii="Times New Roman" w:cs="Times New Roman"/>
                <w:color w:val="auto"/>
              </w:rPr>
              <w:t>引至15m高的</w:t>
            </w:r>
            <w:r>
              <w:rPr>
                <w:rFonts w:hint="eastAsia" w:ascii="Times New Roman" w:cs="Times New Roman"/>
                <w:color w:val="auto"/>
              </w:rPr>
              <w:t>4</w:t>
            </w:r>
            <w:r>
              <w:rPr>
                <w:rFonts w:ascii="Times New Roman" w:cs="Times New Roman"/>
                <w:color w:val="auto"/>
              </w:rPr>
              <w:t>#排气筒排放，其工艺流程见图4.</w:t>
            </w:r>
            <w:r>
              <w:rPr>
                <w:rFonts w:hint="eastAsia" w:ascii="Times New Roman" w:cs="Times New Roman"/>
                <w:color w:val="auto"/>
              </w:rPr>
              <w:t>2</w:t>
            </w:r>
            <w:r>
              <w:rPr>
                <w:rFonts w:ascii="Times New Roman" w:cs="Times New Roman"/>
                <w:color w:val="auto"/>
              </w:rPr>
              <w:t>。</w:t>
            </w:r>
          </w:p>
          <w:p>
            <w:pPr>
              <w:pStyle w:val="2"/>
              <w:jc w:val="center"/>
              <w:rPr>
                <w:rFonts w:ascii="Times New Roman" w:cs="Times New Roman"/>
                <w:color w:val="auto"/>
              </w:rPr>
            </w:pPr>
            <w:r>
              <w:rPr>
                <w:rFonts w:ascii="Times New Roman" w:cs="Times New Roman"/>
                <w:color w:val="auto"/>
              </w:rPr>
              <w:object>
                <v:shape id="_x0000_i1030" o:spt="75" type="#_x0000_t75" style="height:27pt;width:285pt;" o:ole="t" filled="f" o:preferrelative="t" stroked="f" coordsize="21600,21600">
                  <v:path/>
                  <v:fill on="f" focussize="0,0"/>
                  <v:stroke on="f"/>
                  <v:imagedata r:id="rId17" o:title=""/>
                  <o:lock v:ext="edit" aspectratio="f"/>
                  <w10:wrap type="none"/>
                  <w10:anchorlock/>
                </v:shape>
                <o:OLEObject Type="Embed" ProgID="Visio.Drawing.11" ShapeID="_x0000_i1030" DrawAspect="Content" ObjectID="_1468075730" r:id="rId18">
                  <o:LockedField>false</o:LockedField>
                </o:OLEObject>
              </w:object>
            </w:r>
          </w:p>
          <w:p>
            <w:pPr>
              <w:pStyle w:val="2"/>
              <w:jc w:val="center"/>
              <w:rPr>
                <w:rFonts w:ascii="Times New Roman" w:cs="Times New Roman"/>
                <w:color w:val="auto"/>
              </w:rPr>
            </w:pPr>
            <w:r>
              <w:rPr>
                <w:rFonts w:hint="eastAsia" w:ascii="Times New Roman" w:cs="Times New Roman"/>
                <w:color w:val="auto"/>
              </w:rPr>
              <w:t xml:space="preserve">图4.2 </w:t>
            </w:r>
            <w:r>
              <w:rPr>
                <w:rFonts w:hint="eastAsia"/>
                <w:color w:val="auto"/>
              </w:rPr>
              <w:t>淋膜、冷却</w:t>
            </w:r>
            <w:r>
              <w:rPr>
                <w:rFonts w:hint="eastAsia" w:ascii="Times New Roman" w:cs="Times New Roman"/>
                <w:color w:val="auto"/>
              </w:rPr>
              <w:t>废气治理工艺流程</w:t>
            </w:r>
          </w:p>
          <w:p>
            <w:pPr>
              <w:keepNext w:val="0"/>
              <w:keepLines w:val="0"/>
              <w:pageBreakBefore w:val="0"/>
              <w:widowControl/>
              <w:kinsoku/>
              <w:wordWrap/>
              <w:overflowPunct/>
              <w:topLinePunct w:val="0"/>
              <w:bidi w:val="0"/>
              <w:adjustRightInd w:val="0"/>
              <w:snapToGrid w:val="0"/>
              <w:spacing w:line="360" w:lineRule="auto"/>
              <w:ind w:firstLine="480" w:firstLineChars="200"/>
              <w:jc w:val="both"/>
              <w:textAlignment w:val="auto"/>
              <w:outlineLvl w:val="9"/>
              <w:rPr>
                <w:color w:val="auto"/>
                <w:sz w:val="24"/>
              </w:rPr>
            </w:pPr>
            <w:r>
              <w:rPr>
                <w:rFonts w:hint="eastAsia"/>
                <w:color w:val="auto"/>
                <w:sz w:val="24"/>
              </w:rPr>
              <w:t>参照</w:t>
            </w:r>
            <w:r>
              <w:rPr>
                <w:color w:val="auto"/>
                <w:sz w:val="24"/>
              </w:rPr>
              <w:t>《排污许可证申请与核发技术规范</w:t>
            </w:r>
            <w:r>
              <w:rPr>
                <w:rFonts w:hint="eastAsia"/>
                <w:color w:val="auto"/>
                <w:sz w:val="24"/>
              </w:rPr>
              <w:t>—橡胶和塑料制品工业</w:t>
            </w:r>
            <w:r>
              <w:rPr>
                <w:color w:val="auto"/>
                <w:sz w:val="24"/>
              </w:rPr>
              <w:t>》（HJ1122-2020）中表A.2废气治理可行技术参照表</w:t>
            </w:r>
            <w:r>
              <w:rPr>
                <w:rFonts w:hint="eastAsia"/>
                <w:color w:val="auto"/>
                <w:sz w:val="24"/>
              </w:rPr>
              <w:t>：</w:t>
            </w:r>
            <w:r>
              <w:rPr>
                <w:color w:val="auto"/>
                <w:kern w:val="0"/>
                <w:sz w:val="24"/>
                <w:lang w:bidi="ar"/>
              </w:rPr>
              <w:t>塑料薄膜制造，塑料板、管、型材制造，塑料丝、绳及编制品制造，泡沫塑料制造，塑料包装箱及容器制造，日用塑料制品制造，人造草坪制造，塑料零件及其他塑料制品制造废气—非甲烷总烃</w:t>
            </w:r>
            <w:r>
              <w:rPr>
                <w:color w:val="auto"/>
                <w:sz w:val="24"/>
              </w:rPr>
              <w:t>的可行治理技术包括“</w:t>
            </w:r>
            <w:r>
              <w:rPr>
                <w:color w:val="auto"/>
                <w:kern w:val="0"/>
                <w:sz w:val="24"/>
                <w:lang w:bidi="ar"/>
              </w:rPr>
              <w:t>喷淋；</w:t>
            </w:r>
            <w:r>
              <w:rPr>
                <w:b/>
                <w:bCs/>
                <w:color w:val="auto"/>
                <w:kern w:val="0"/>
                <w:sz w:val="24"/>
                <w:lang w:bidi="ar"/>
              </w:rPr>
              <w:t>吸附</w:t>
            </w:r>
            <w:r>
              <w:rPr>
                <w:color w:val="auto"/>
                <w:kern w:val="0"/>
                <w:sz w:val="24"/>
                <w:lang w:bidi="ar"/>
              </w:rPr>
              <w:t>；吸附浓缩+热力燃烧/催化燃烧</w:t>
            </w:r>
            <w:r>
              <w:rPr>
                <w:color w:val="auto"/>
                <w:sz w:val="24"/>
              </w:rPr>
              <w:t>”，因此本评价提出的废气治理措施属于可行性技术。</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lang w:val="en-US" w:eastAsia="zh-CN"/>
              </w:rPr>
              <w:t>根据《重庆市生态环境委员会办公室关于印发2023年重庆市夏秋季臭氧污染防治攻坚工作方案》的函》中附件2的相关要求，本项目设置的集气罩</w:t>
            </w:r>
            <w:r>
              <w:rPr>
                <w:rFonts w:hint="default" w:ascii="Times New Roman" w:hAnsi="Times New Roman" w:eastAsia="宋体" w:cs="Times New Roman"/>
                <w:color w:val="auto"/>
                <w:kern w:val="2"/>
                <w:sz w:val="24"/>
                <w:szCs w:val="24"/>
                <w:lang w:val="en-US" w:eastAsia="zh-CN" w:bidi="ar-SA"/>
              </w:rPr>
              <w:t>开口面最远处的VOCs无组织排放位置，控制风速不低于</w:t>
            </w:r>
            <w:r>
              <w:rPr>
                <w:rFonts w:hint="default" w:ascii="Times New Roman" w:hAnsi="Times New Roman" w:eastAsia="宋体" w:cs="Times New Roman"/>
                <w:color w:val="auto"/>
                <w:kern w:val="2"/>
                <w:sz w:val="24"/>
                <w:szCs w:val="24"/>
                <w:u w:val="none"/>
                <w:lang w:val="en-US" w:eastAsia="zh-CN" w:bidi="ar-SA"/>
              </w:rPr>
              <w:t>0.3m/s；活性炭应装填齐整，避免气流短路。采用颗粒活性炭时，气体流速宜低于0.60m/s；采用活性炭纤维时，气体流速宜低于0.15m/s；采用蜂窝活性炭时，气体流速宜低于1.20m/s。</w:t>
            </w:r>
            <w:r>
              <w:rPr>
                <w:rFonts w:hint="default" w:ascii="Times New Roman" w:hAnsi="Times New Roman" w:eastAsia="宋体" w:cs="Times New Roman"/>
                <w:color w:val="auto"/>
                <w:kern w:val="2"/>
                <w:sz w:val="24"/>
                <w:szCs w:val="24"/>
                <w:lang w:val="en-US" w:eastAsia="zh-CN" w:bidi="ar-SA"/>
              </w:rPr>
              <w:t>颗粒活性炭碘吸附值≥800mg/g；蜂窝活性炭碘吸附值≥650mg/g；活性炭纤维比表面积应不低于1100m</w:t>
            </w:r>
            <w:r>
              <w:rPr>
                <w:rFonts w:hint="default" w:ascii="Times New Roman" w:hAnsi="Times New Roman" w:eastAsia="宋体" w:cs="Times New Roman"/>
                <w:color w:val="auto"/>
                <w:kern w:val="2"/>
                <w:sz w:val="24"/>
                <w:szCs w:val="24"/>
                <w:vertAlign w:val="superscript"/>
                <w:lang w:val="en-US" w:eastAsia="zh-CN" w:bidi="ar-SA"/>
              </w:rPr>
              <w:t>2</w:t>
            </w:r>
            <w:r>
              <w:rPr>
                <w:rFonts w:hint="default" w:ascii="Times New Roman" w:hAnsi="Times New Roman" w:eastAsia="宋体" w:cs="Times New Roman"/>
                <w:color w:val="auto"/>
                <w:kern w:val="2"/>
                <w:sz w:val="24"/>
                <w:szCs w:val="24"/>
                <w:lang w:val="en-US" w:eastAsia="zh-CN" w:bidi="ar-SA"/>
              </w:rPr>
              <w:t>/g，活性炭更换周期宜不超过累计运行500小时或3个月，年活性炭使用量宜不应低于VOCs产生量的5倍</w:t>
            </w:r>
            <w:r>
              <w:rPr>
                <w:rFonts w:hint="eastAsia" w:ascii="Times New Roman" w:hAnsi="Times New Roman" w:eastAsia="宋体" w:cs="Times New Roman"/>
                <w:color w:val="auto"/>
                <w:kern w:val="2"/>
                <w:sz w:val="24"/>
                <w:szCs w:val="24"/>
                <w:lang w:val="en-US" w:eastAsia="zh-CN" w:bidi="ar-SA"/>
              </w:rPr>
              <w:t>。</w:t>
            </w:r>
          </w:p>
          <w:p>
            <w:pPr>
              <w:pStyle w:val="2"/>
              <w:keepNext w:val="0"/>
              <w:keepLines w:val="0"/>
              <w:pageBreakBefore w:val="0"/>
              <w:kinsoku/>
              <w:wordWrap/>
              <w:overflowPunct/>
              <w:topLinePunct w:val="0"/>
              <w:bidi w:val="0"/>
              <w:adjustRightInd w:val="0"/>
              <w:snapToGrid w:val="0"/>
              <w:spacing w:line="360" w:lineRule="auto"/>
              <w:ind w:firstLine="480" w:firstLineChars="200"/>
              <w:jc w:val="both"/>
              <w:textAlignment w:val="auto"/>
              <w:outlineLvl w:val="9"/>
              <w:rPr>
                <w:rFonts w:ascii="Times New Roman" w:cs="Times New Roman"/>
                <w:color w:val="auto"/>
              </w:rPr>
            </w:pPr>
            <w:r>
              <w:rPr>
                <w:rFonts w:ascii="Times New Roman" w:cs="Times New Roman"/>
                <w:color w:val="auto"/>
              </w:rPr>
              <w:t>（3）废气监测要求</w:t>
            </w:r>
          </w:p>
          <w:p>
            <w:pPr>
              <w:keepNext w:val="0"/>
              <w:keepLines w:val="0"/>
              <w:pageBreakBefore w:val="0"/>
              <w:widowControl/>
              <w:kinsoku/>
              <w:wordWrap/>
              <w:overflowPunct/>
              <w:topLinePunct w:val="0"/>
              <w:bidi w:val="0"/>
              <w:adjustRightInd w:val="0"/>
              <w:snapToGrid w:val="0"/>
              <w:spacing w:line="360" w:lineRule="auto"/>
              <w:ind w:firstLine="480" w:firstLineChars="200"/>
              <w:jc w:val="both"/>
              <w:textAlignment w:val="auto"/>
              <w:outlineLvl w:val="9"/>
              <w:rPr>
                <w:rFonts w:hint="eastAsia" w:eastAsia="宋体"/>
                <w:color w:val="auto"/>
                <w:sz w:val="24"/>
                <w:lang w:eastAsia="zh-CN"/>
              </w:rPr>
            </w:pPr>
            <w:r>
              <w:rPr>
                <w:color w:val="auto"/>
                <w:sz w:val="24"/>
              </w:rPr>
              <w:t>根据《排污单位自行监测</w:t>
            </w:r>
            <w:r>
              <w:rPr>
                <w:color w:val="auto"/>
                <w:sz w:val="24"/>
                <w:highlight w:val="none"/>
              </w:rPr>
              <w:t>技术指南—</w:t>
            </w:r>
            <w:r>
              <w:rPr>
                <w:rFonts w:hint="eastAsia"/>
                <w:color w:val="auto"/>
                <w:sz w:val="24"/>
                <w:highlight w:val="none"/>
              </w:rPr>
              <w:t>总则</w:t>
            </w:r>
            <w:r>
              <w:rPr>
                <w:color w:val="auto"/>
                <w:sz w:val="24"/>
              </w:rPr>
              <w:t>》(HJ</w:t>
            </w:r>
            <w:r>
              <w:rPr>
                <w:rFonts w:hint="eastAsia"/>
                <w:color w:val="auto"/>
                <w:sz w:val="24"/>
              </w:rPr>
              <w:t>819</w:t>
            </w:r>
            <w:r>
              <w:rPr>
                <w:color w:val="auto"/>
                <w:sz w:val="24"/>
              </w:rPr>
              <w:t>-20</w:t>
            </w:r>
            <w:r>
              <w:rPr>
                <w:rFonts w:hint="eastAsia"/>
                <w:color w:val="auto"/>
                <w:sz w:val="24"/>
              </w:rPr>
              <w:t>17</w:t>
            </w:r>
            <w:r>
              <w:rPr>
                <w:color w:val="auto"/>
                <w:sz w:val="24"/>
              </w:rPr>
              <w:t>)</w:t>
            </w:r>
            <w:r>
              <w:rPr>
                <w:rFonts w:hint="eastAsia"/>
                <w:color w:val="auto"/>
                <w:sz w:val="24"/>
              </w:rPr>
              <w:t>，结合</w:t>
            </w:r>
            <w:r>
              <w:rPr>
                <w:color w:val="auto"/>
                <w:sz w:val="24"/>
              </w:rPr>
              <w:t>《排污许可证申请与核发技术规范—</w:t>
            </w:r>
            <w:r>
              <w:rPr>
                <w:rFonts w:hint="eastAsia"/>
                <w:color w:val="auto"/>
                <w:sz w:val="24"/>
              </w:rPr>
              <w:t>汽车制造业</w:t>
            </w:r>
            <w:r>
              <w:rPr>
                <w:color w:val="auto"/>
                <w:sz w:val="24"/>
              </w:rPr>
              <w:t>》（HJ861-2017）</w:t>
            </w:r>
            <w:r>
              <w:rPr>
                <w:rFonts w:hint="eastAsia"/>
                <w:color w:val="auto"/>
                <w:sz w:val="24"/>
              </w:rPr>
              <w:t>，</w:t>
            </w:r>
            <w:r>
              <w:rPr>
                <w:color w:val="auto"/>
                <w:sz w:val="24"/>
              </w:rPr>
              <w:t>提出如下废气</w:t>
            </w:r>
            <w:r>
              <w:rPr>
                <w:rFonts w:hint="eastAsia"/>
                <w:color w:val="auto"/>
                <w:sz w:val="24"/>
              </w:rPr>
              <w:t>例行</w:t>
            </w:r>
            <w:r>
              <w:rPr>
                <w:color w:val="auto"/>
                <w:sz w:val="24"/>
              </w:rPr>
              <w:t>监测要求，详见表4.</w:t>
            </w:r>
            <w:r>
              <w:rPr>
                <w:rFonts w:hint="eastAsia"/>
                <w:color w:val="auto"/>
                <w:sz w:val="24"/>
              </w:rPr>
              <w:t>6</w:t>
            </w:r>
            <w:r>
              <w:rPr>
                <w:color w:val="auto"/>
                <w:sz w:val="24"/>
              </w:rPr>
              <w:t>。</w:t>
            </w:r>
          </w:p>
          <w:p>
            <w:pPr>
              <w:adjustRightInd w:val="0"/>
              <w:snapToGrid w:val="0"/>
              <w:spacing w:line="360" w:lineRule="auto"/>
              <w:jc w:val="center"/>
              <w:rPr>
                <w:color w:val="auto"/>
                <w:sz w:val="21"/>
                <w:szCs w:val="21"/>
              </w:rPr>
            </w:pPr>
            <w:r>
              <w:rPr>
                <w:color w:val="auto"/>
                <w:sz w:val="21"/>
                <w:szCs w:val="21"/>
              </w:rPr>
              <w:t>表4.</w:t>
            </w:r>
            <w:r>
              <w:rPr>
                <w:rFonts w:hint="eastAsia"/>
                <w:color w:val="auto"/>
                <w:sz w:val="21"/>
                <w:szCs w:val="21"/>
              </w:rPr>
              <w:t>6</w:t>
            </w:r>
            <w:r>
              <w:rPr>
                <w:color w:val="auto"/>
                <w:sz w:val="21"/>
                <w:szCs w:val="21"/>
              </w:rPr>
              <w:t xml:space="preserve"> 废气</w:t>
            </w:r>
            <w:r>
              <w:rPr>
                <w:rFonts w:hint="eastAsia"/>
                <w:color w:val="auto"/>
                <w:sz w:val="21"/>
                <w:szCs w:val="21"/>
              </w:rPr>
              <w:t>例行</w:t>
            </w:r>
            <w:r>
              <w:rPr>
                <w:color w:val="auto"/>
                <w:sz w:val="21"/>
                <w:szCs w:val="21"/>
              </w:rPr>
              <w:t>监测要求一览表</w:t>
            </w:r>
          </w:p>
          <w:tbl>
            <w:tblPr>
              <w:tblStyle w:val="22"/>
              <w:tblW w:w="5000" w:type="pct"/>
              <w:tblInd w:w="0"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351"/>
              <w:gridCol w:w="1354"/>
              <w:gridCol w:w="2476"/>
              <w:gridCol w:w="1129"/>
              <w:gridCol w:w="1844"/>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28" w:type="pct"/>
                  <w:tcBorders>
                    <w:top w:val="single" w:color="auto" w:sz="6" w:space="0"/>
                    <w:left w:val="nil"/>
                    <w:bottom w:val="single" w:color="auto" w:sz="6" w:space="0"/>
                    <w:right w:val="single" w:color="auto" w:sz="6" w:space="0"/>
                  </w:tcBorders>
                  <w:vAlign w:val="center"/>
                </w:tcPr>
                <w:p>
                  <w:pPr>
                    <w:adjustRightInd w:val="0"/>
                    <w:snapToGrid w:val="0"/>
                    <w:jc w:val="center"/>
                    <w:rPr>
                      <w:color w:val="auto"/>
                      <w:szCs w:val="21"/>
                    </w:rPr>
                  </w:pPr>
                  <w:r>
                    <w:rPr>
                      <w:color w:val="auto"/>
                      <w:szCs w:val="21"/>
                    </w:rPr>
                    <w:t>污染物类型</w:t>
                  </w:r>
                </w:p>
              </w:tc>
              <w:tc>
                <w:tcPr>
                  <w:tcW w:w="83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Cs w:val="21"/>
                    </w:rPr>
                  </w:pPr>
                  <w:r>
                    <w:rPr>
                      <w:color w:val="auto"/>
                      <w:szCs w:val="21"/>
                    </w:rPr>
                    <w:t>监测点位</w:t>
                  </w:r>
                </w:p>
              </w:tc>
              <w:tc>
                <w:tcPr>
                  <w:tcW w:w="15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Cs w:val="21"/>
                    </w:rPr>
                  </w:pPr>
                  <w:r>
                    <w:rPr>
                      <w:color w:val="auto"/>
                      <w:szCs w:val="21"/>
                    </w:rPr>
                    <w:t>监测指标</w:t>
                  </w:r>
                </w:p>
              </w:tc>
              <w:tc>
                <w:tcPr>
                  <w:tcW w:w="692" w:type="pct"/>
                  <w:tcBorders>
                    <w:top w:val="single" w:color="auto" w:sz="6" w:space="0"/>
                    <w:left w:val="single" w:color="auto" w:sz="6" w:space="0"/>
                    <w:bottom w:val="single" w:color="auto" w:sz="6" w:space="0"/>
                    <w:right w:val="nil"/>
                  </w:tcBorders>
                  <w:vAlign w:val="center"/>
                </w:tcPr>
                <w:p>
                  <w:pPr>
                    <w:adjustRightInd w:val="0"/>
                    <w:snapToGrid w:val="0"/>
                    <w:jc w:val="center"/>
                    <w:rPr>
                      <w:color w:val="auto"/>
                      <w:szCs w:val="21"/>
                    </w:rPr>
                  </w:pPr>
                  <w:r>
                    <w:rPr>
                      <w:color w:val="auto"/>
                      <w:szCs w:val="21"/>
                    </w:rPr>
                    <w:t>监测频次</w:t>
                  </w:r>
                </w:p>
              </w:tc>
              <w:tc>
                <w:tcPr>
                  <w:tcW w:w="1130" w:type="pct"/>
                  <w:tcBorders>
                    <w:top w:val="single" w:color="auto" w:sz="6" w:space="0"/>
                    <w:left w:val="single" w:color="auto" w:sz="6" w:space="0"/>
                    <w:bottom w:val="single" w:color="auto" w:sz="6" w:space="0"/>
                    <w:right w:val="nil"/>
                  </w:tcBorders>
                  <w:vAlign w:val="center"/>
                </w:tcPr>
                <w:p>
                  <w:pPr>
                    <w:adjustRightInd w:val="0"/>
                    <w:snapToGrid w:val="0"/>
                    <w:jc w:val="center"/>
                    <w:rPr>
                      <w:color w:val="auto"/>
                      <w:szCs w:val="21"/>
                    </w:rPr>
                  </w:pPr>
                  <w:r>
                    <w:rPr>
                      <w:color w:val="auto"/>
                      <w:szCs w:val="21"/>
                    </w:rPr>
                    <w:t>执行标准</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828" w:type="pct"/>
                  <w:vMerge w:val="restart"/>
                  <w:tcBorders>
                    <w:left w:val="nil"/>
                    <w:right w:val="single" w:color="auto" w:sz="6" w:space="0"/>
                  </w:tcBorders>
                  <w:vAlign w:val="center"/>
                </w:tcPr>
                <w:p>
                  <w:pPr>
                    <w:adjustRightInd w:val="0"/>
                    <w:snapToGrid w:val="0"/>
                    <w:jc w:val="center"/>
                    <w:rPr>
                      <w:color w:val="auto"/>
                      <w:szCs w:val="21"/>
                    </w:rPr>
                  </w:pPr>
                  <w:r>
                    <w:rPr>
                      <w:rFonts w:hint="eastAsia"/>
                      <w:color w:val="auto"/>
                      <w:szCs w:val="21"/>
                    </w:rPr>
                    <w:t>有组织废气</w:t>
                  </w:r>
                </w:p>
              </w:tc>
              <w:tc>
                <w:tcPr>
                  <w:tcW w:w="830" w:type="pct"/>
                  <w:tcBorders>
                    <w:top w:val="single" w:color="auto" w:sz="6" w:space="0"/>
                    <w:left w:val="single" w:color="auto" w:sz="6" w:space="0"/>
                    <w:right w:val="single" w:color="auto" w:sz="6" w:space="0"/>
                  </w:tcBorders>
                  <w:vAlign w:val="center"/>
                </w:tcPr>
                <w:p>
                  <w:pPr>
                    <w:adjustRightInd w:val="0"/>
                    <w:snapToGrid w:val="0"/>
                    <w:jc w:val="center"/>
                    <w:rPr>
                      <w:color w:val="auto"/>
                      <w:szCs w:val="21"/>
                    </w:rPr>
                  </w:pPr>
                  <w:r>
                    <w:rPr>
                      <w:rFonts w:hint="eastAsia"/>
                      <w:color w:val="auto"/>
                      <w:szCs w:val="21"/>
                    </w:rPr>
                    <w:t>3</w:t>
                  </w:r>
                  <w:r>
                    <w:rPr>
                      <w:color w:val="auto"/>
                      <w:szCs w:val="21"/>
                    </w:rPr>
                    <w:t>#排放口</w:t>
                  </w:r>
                </w:p>
              </w:tc>
              <w:tc>
                <w:tcPr>
                  <w:tcW w:w="1518" w:type="pct"/>
                  <w:tcBorders>
                    <w:top w:val="single" w:color="auto" w:sz="6" w:space="0"/>
                    <w:left w:val="single" w:color="auto" w:sz="6" w:space="0"/>
                    <w:right w:val="single" w:color="auto" w:sz="6" w:space="0"/>
                  </w:tcBorders>
                  <w:vAlign w:val="center"/>
                </w:tcPr>
                <w:p>
                  <w:pPr>
                    <w:adjustRightInd w:val="0"/>
                    <w:snapToGrid w:val="0"/>
                    <w:jc w:val="center"/>
                    <w:rPr>
                      <w:color w:val="auto"/>
                      <w:szCs w:val="21"/>
                    </w:rPr>
                  </w:pPr>
                  <w:r>
                    <w:rPr>
                      <w:rFonts w:hint="eastAsia"/>
                      <w:color w:val="auto"/>
                      <w:szCs w:val="21"/>
                    </w:rPr>
                    <w:t>非甲烷总烃、SO</w:t>
                  </w:r>
                  <w:r>
                    <w:rPr>
                      <w:rFonts w:hint="eastAsia"/>
                      <w:color w:val="auto"/>
                      <w:szCs w:val="21"/>
                      <w:vertAlign w:val="subscript"/>
                    </w:rPr>
                    <w:t>2</w:t>
                  </w:r>
                  <w:r>
                    <w:rPr>
                      <w:rFonts w:hint="eastAsia"/>
                      <w:color w:val="auto"/>
                      <w:szCs w:val="21"/>
                    </w:rPr>
                    <w:t>、NO</w:t>
                  </w:r>
                  <w:r>
                    <w:rPr>
                      <w:rFonts w:hint="eastAsia"/>
                      <w:color w:val="auto"/>
                      <w:szCs w:val="21"/>
                      <w:vertAlign w:val="subscript"/>
                    </w:rPr>
                    <w:t>X</w:t>
                  </w:r>
                  <w:r>
                    <w:rPr>
                      <w:rFonts w:hint="eastAsia"/>
                      <w:color w:val="auto"/>
                      <w:szCs w:val="21"/>
                    </w:rPr>
                    <w:t>、</w:t>
                  </w:r>
                  <w:r>
                    <w:rPr>
                      <w:color w:val="auto"/>
                      <w:szCs w:val="21"/>
                    </w:rPr>
                    <w:t>颗粒物</w:t>
                  </w:r>
                </w:p>
              </w:tc>
              <w:tc>
                <w:tcPr>
                  <w:tcW w:w="692" w:type="pct"/>
                  <w:tcBorders>
                    <w:top w:val="single" w:color="auto" w:sz="6" w:space="0"/>
                    <w:left w:val="single" w:color="auto" w:sz="6" w:space="0"/>
                    <w:bottom w:val="single" w:color="auto" w:sz="4" w:space="0"/>
                    <w:right w:val="nil"/>
                  </w:tcBorders>
                  <w:vAlign w:val="center"/>
                </w:tcPr>
                <w:p>
                  <w:pPr>
                    <w:adjustRightInd w:val="0"/>
                    <w:snapToGrid w:val="0"/>
                    <w:jc w:val="center"/>
                    <w:rPr>
                      <w:color w:val="auto"/>
                      <w:szCs w:val="21"/>
                    </w:rPr>
                  </w:pPr>
                  <w:r>
                    <w:rPr>
                      <w:rFonts w:hint="eastAsia"/>
                      <w:color w:val="auto"/>
                      <w:szCs w:val="21"/>
                    </w:rPr>
                    <w:t>1年</w:t>
                  </w:r>
                </w:p>
              </w:tc>
              <w:tc>
                <w:tcPr>
                  <w:tcW w:w="1844" w:type="dxa"/>
                  <w:tcBorders>
                    <w:left w:val="single" w:color="auto" w:sz="6" w:space="0"/>
                    <w:bottom w:val="single" w:color="auto" w:sz="4" w:space="0"/>
                    <w:right w:val="nil"/>
                  </w:tcBorders>
                  <w:vAlign w:val="center"/>
                </w:tcPr>
                <w:p>
                  <w:pPr>
                    <w:pStyle w:val="2"/>
                    <w:snapToGrid w:val="0"/>
                    <w:spacing w:line="240" w:lineRule="auto"/>
                    <w:jc w:val="center"/>
                    <w:rPr>
                      <w:color w:val="auto"/>
                      <w:szCs w:val="21"/>
                    </w:rPr>
                  </w:pPr>
                  <w:r>
                    <w:rPr>
                      <w:rFonts w:ascii="Times New Roman" w:cs="Times New Roman"/>
                      <w:color w:val="auto"/>
                      <w:sz w:val="21"/>
                      <w:szCs w:val="21"/>
                    </w:rPr>
                    <w:t>DB50/</w:t>
                  </w:r>
                  <w:r>
                    <w:rPr>
                      <w:rFonts w:hint="eastAsia" w:ascii="Times New Roman" w:cs="Times New Roman"/>
                      <w:color w:val="auto"/>
                      <w:sz w:val="21"/>
                      <w:szCs w:val="21"/>
                    </w:rPr>
                    <w:t>418</w:t>
                  </w:r>
                  <w:r>
                    <w:rPr>
                      <w:rFonts w:ascii="Times New Roman" w:cs="Times New Roman"/>
                      <w:color w:val="auto"/>
                      <w:sz w:val="21"/>
                      <w:szCs w:val="21"/>
                    </w:rPr>
                    <w:t>－2016</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28" w:type="pct"/>
                  <w:vMerge w:val="continue"/>
                  <w:tcBorders>
                    <w:left w:val="nil"/>
                    <w:right w:val="single" w:color="auto" w:sz="6" w:space="0"/>
                  </w:tcBorders>
                  <w:vAlign w:val="center"/>
                </w:tcPr>
                <w:p>
                  <w:pPr>
                    <w:adjustRightInd w:val="0"/>
                    <w:snapToGrid w:val="0"/>
                    <w:jc w:val="center"/>
                    <w:rPr>
                      <w:color w:val="auto"/>
                      <w:szCs w:val="21"/>
                    </w:rPr>
                  </w:pPr>
                </w:p>
              </w:tc>
              <w:tc>
                <w:tcPr>
                  <w:tcW w:w="830" w:type="pct"/>
                  <w:tcBorders>
                    <w:top w:val="single" w:color="auto" w:sz="6" w:space="0"/>
                    <w:left w:val="single" w:color="auto" w:sz="6" w:space="0"/>
                    <w:right w:val="single" w:color="auto" w:sz="6" w:space="0"/>
                  </w:tcBorders>
                  <w:vAlign w:val="center"/>
                </w:tcPr>
                <w:p>
                  <w:pPr>
                    <w:adjustRightInd w:val="0"/>
                    <w:snapToGrid w:val="0"/>
                    <w:jc w:val="center"/>
                    <w:rPr>
                      <w:color w:val="auto"/>
                      <w:szCs w:val="21"/>
                    </w:rPr>
                  </w:pPr>
                  <w:r>
                    <w:rPr>
                      <w:rFonts w:hint="eastAsia"/>
                      <w:color w:val="auto"/>
                      <w:szCs w:val="21"/>
                    </w:rPr>
                    <w:t>4</w:t>
                  </w:r>
                  <w:r>
                    <w:rPr>
                      <w:color w:val="auto"/>
                      <w:szCs w:val="21"/>
                    </w:rPr>
                    <w:t>#排放口</w:t>
                  </w:r>
                </w:p>
              </w:tc>
              <w:tc>
                <w:tcPr>
                  <w:tcW w:w="1518" w:type="pct"/>
                  <w:tcBorders>
                    <w:top w:val="single" w:color="auto" w:sz="6" w:space="0"/>
                    <w:left w:val="single" w:color="auto" w:sz="6" w:space="0"/>
                    <w:right w:val="single" w:color="auto" w:sz="6" w:space="0"/>
                  </w:tcBorders>
                  <w:vAlign w:val="center"/>
                </w:tcPr>
                <w:p>
                  <w:pPr>
                    <w:adjustRightInd w:val="0"/>
                    <w:snapToGrid w:val="0"/>
                    <w:jc w:val="center"/>
                    <w:rPr>
                      <w:color w:val="auto"/>
                      <w:szCs w:val="21"/>
                    </w:rPr>
                  </w:pPr>
                  <w:r>
                    <w:rPr>
                      <w:rFonts w:hint="eastAsia"/>
                      <w:color w:val="auto"/>
                      <w:szCs w:val="21"/>
                    </w:rPr>
                    <w:t>非甲烷总烃</w:t>
                  </w:r>
                </w:p>
              </w:tc>
              <w:tc>
                <w:tcPr>
                  <w:tcW w:w="692" w:type="pct"/>
                  <w:tcBorders>
                    <w:top w:val="single" w:color="auto" w:sz="4" w:space="0"/>
                    <w:left w:val="single" w:color="auto" w:sz="6" w:space="0"/>
                    <w:bottom w:val="single" w:color="auto" w:sz="4" w:space="0"/>
                    <w:right w:val="nil"/>
                  </w:tcBorders>
                  <w:vAlign w:val="center"/>
                </w:tcPr>
                <w:p>
                  <w:pPr>
                    <w:adjustRightInd w:val="0"/>
                    <w:snapToGrid w:val="0"/>
                    <w:jc w:val="center"/>
                    <w:rPr>
                      <w:color w:val="auto"/>
                      <w:szCs w:val="21"/>
                    </w:rPr>
                  </w:pPr>
                  <w:r>
                    <w:rPr>
                      <w:rFonts w:hint="eastAsia"/>
                      <w:color w:val="auto"/>
                      <w:szCs w:val="21"/>
                    </w:rPr>
                    <w:t>1年</w:t>
                  </w:r>
                </w:p>
              </w:tc>
              <w:tc>
                <w:tcPr>
                  <w:tcW w:w="1844" w:type="dxa"/>
                  <w:tcBorders>
                    <w:top w:val="single" w:color="auto" w:sz="4" w:space="0"/>
                    <w:left w:val="single" w:color="auto" w:sz="6" w:space="0"/>
                    <w:bottom w:val="single" w:color="auto" w:sz="4" w:space="0"/>
                    <w:right w:val="nil"/>
                  </w:tcBorders>
                  <w:vAlign w:val="center"/>
                </w:tcPr>
                <w:p>
                  <w:pPr>
                    <w:pStyle w:val="2"/>
                    <w:spacing w:line="240" w:lineRule="auto"/>
                    <w:jc w:val="center"/>
                    <w:rPr>
                      <w:color w:val="auto"/>
                      <w:szCs w:val="21"/>
                    </w:rPr>
                  </w:pPr>
                  <w:r>
                    <w:rPr>
                      <w:rFonts w:hint="eastAsia" w:ascii="Times New Roman" w:cs="Times New Roman"/>
                      <w:color w:val="auto"/>
                      <w:sz w:val="21"/>
                      <w:szCs w:val="21"/>
                    </w:rPr>
                    <w:t>GB31572</w:t>
                  </w:r>
                  <w:r>
                    <w:rPr>
                      <w:rFonts w:ascii="Times New Roman" w:cs="Times New Roman"/>
                      <w:color w:val="auto"/>
                      <w:sz w:val="21"/>
                      <w:szCs w:val="21"/>
                    </w:rPr>
                    <w:t>－201</w:t>
                  </w:r>
                  <w:r>
                    <w:rPr>
                      <w:rFonts w:hint="eastAsia" w:ascii="Times New Roman" w:cs="Times New Roman"/>
                      <w:color w:val="auto"/>
                      <w:sz w:val="21"/>
                      <w:szCs w:val="21"/>
                    </w:rPr>
                    <w:t>5</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28" w:type="pct"/>
                  <w:tcBorders>
                    <w:top w:val="single" w:color="auto" w:sz="4" w:space="0"/>
                    <w:left w:val="nil"/>
                    <w:right w:val="single" w:color="auto" w:sz="6" w:space="0"/>
                  </w:tcBorders>
                  <w:vAlign w:val="center"/>
                </w:tcPr>
                <w:p>
                  <w:pPr>
                    <w:jc w:val="center"/>
                    <w:rPr>
                      <w:color w:val="auto"/>
                      <w:szCs w:val="21"/>
                    </w:rPr>
                  </w:pPr>
                  <w:r>
                    <w:rPr>
                      <w:color w:val="auto"/>
                      <w:szCs w:val="21"/>
                    </w:rPr>
                    <w:t>无组织废气</w:t>
                  </w:r>
                </w:p>
              </w:tc>
              <w:tc>
                <w:tcPr>
                  <w:tcW w:w="830" w:type="pct"/>
                  <w:tcBorders>
                    <w:top w:val="single" w:color="auto" w:sz="4" w:space="0"/>
                    <w:left w:val="single" w:color="auto" w:sz="6" w:space="0"/>
                    <w:right w:val="single" w:color="auto" w:sz="6" w:space="0"/>
                  </w:tcBorders>
                  <w:vAlign w:val="center"/>
                </w:tcPr>
                <w:p>
                  <w:pPr>
                    <w:adjustRightInd w:val="0"/>
                    <w:snapToGrid w:val="0"/>
                    <w:jc w:val="center"/>
                    <w:rPr>
                      <w:color w:val="auto"/>
                      <w:szCs w:val="21"/>
                    </w:rPr>
                  </w:pPr>
                  <w:r>
                    <w:rPr>
                      <w:color w:val="auto"/>
                      <w:szCs w:val="21"/>
                    </w:rPr>
                    <w:t>场界下风向</w:t>
                  </w:r>
                </w:p>
              </w:tc>
              <w:tc>
                <w:tcPr>
                  <w:tcW w:w="1518" w:type="pct"/>
                  <w:tcBorders>
                    <w:top w:val="single" w:color="auto" w:sz="6" w:space="0"/>
                    <w:left w:val="single" w:color="auto" w:sz="6" w:space="0"/>
                    <w:right w:val="single" w:color="auto" w:sz="6" w:space="0"/>
                  </w:tcBorders>
                  <w:vAlign w:val="center"/>
                </w:tcPr>
                <w:p>
                  <w:pPr>
                    <w:adjustRightInd w:val="0"/>
                    <w:snapToGrid w:val="0"/>
                    <w:jc w:val="center"/>
                    <w:rPr>
                      <w:color w:val="auto"/>
                      <w:szCs w:val="21"/>
                    </w:rPr>
                  </w:pPr>
                  <w:r>
                    <w:rPr>
                      <w:color w:val="auto"/>
                      <w:szCs w:val="21"/>
                    </w:rPr>
                    <w:t>非甲烷总烃</w:t>
                  </w:r>
                </w:p>
              </w:tc>
              <w:tc>
                <w:tcPr>
                  <w:tcW w:w="692" w:type="pct"/>
                  <w:tcBorders>
                    <w:top w:val="single" w:color="auto" w:sz="4" w:space="0"/>
                    <w:left w:val="single" w:color="auto" w:sz="6" w:space="0"/>
                    <w:bottom w:val="single" w:color="auto" w:sz="6" w:space="0"/>
                    <w:right w:val="nil"/>
                  </w:tcBorders>
                  <w:vAlign w:val="center"/>
                </w:tcPr>
                <w:p>
                  <w:pPr>
                    <w:adjustRightInd w:val="0"/>
                    <w:snapToGrid w:val="0"/>
                    <w:jc w:val="center"/>
                    <w:rPr>
                      <w:color w:val="auto"/>
                      <w:szCs w:val="21"/>
                    </w:rPr>
                  </w:pPr>
                  <w:r>
                    <w:rPr>
                      <w:rFonts w:hint="eastAsia"/>
                      <w:color w:val="auto"/>
                      <w:szCs w:val="21"/>
                    </w:rPr>
                    <w:t>半年</w:t>
                  </w:r>
                </w:p>
              </w:tc>
              <w:tc>
                <w:tcPr>
                  <w:tcW w:w="1130" w:type="pct"/>
                  <w:tcBorders>
                    <w:top w:val="single" w:color="auto" w:sz="4" w:space="0"/>
                    <w:left w:val="single" w:color="auto" w:sz="6" w:space="0"/>
                    <w:right w:val="nil"/>
                  </w:tcBorders>
                  <w:vAlign w:val="center"/>
                </w:tcPr>
                <w:p>
                  <w:pPr>
                    <w:snapToGrid w:val="0"/>
                    <w:jc w:val="center"/>
                    <w:rPr>
                      <w:color w:val="auto"/>
                      <w:szCs w:val="21"/>
                    </w:rPr>
                  </w:pPr>
                  <w:r>
                    <w:rPr>
                      <w:color w:val="auto"/>
                      <w:szCs w:val="21"/>
                    </w:rPr>
                    <w:t>DB50/</w:t>
                  </w:r>
                  <w:r>
                    <w:rPr>
                      <w:rFonts w:hint="eastAsia"/>
                      <w:color w:val="auto"/>
                      <w:szCs w:val="21"/>
                    </w:rPr>
                    <w:t>418</w:t>
                  </w:r>
                  <w:r>
                    <w:rPr>
                      <w:color w:val="auto"/>
                      <w:szCs w:val="21"/>
                    </w:rPr>
                    <w:t>－2016</w:t>
                  </w:r>
                </w:p>
              </w:tc>
            </w:tr>
          </w:tbl>
          <w:p>
            <w:pPr>
              <w:pStyle w:val="2"/>
              <w:ind w:firstLine="480" w:firstLineChars="200"/>
              <w:rPr>
                <w:rFonts w:ascii="Times New Roman" w:cs="Times New Roman"/>
                <w:color w:val="auto"/>
              </w:rPr>
            </w:pPr>
            <w:r>
              <w:rPr>
                <w:rFonts w:ascii="Times New Roman" w:cs="Times New Roman"/>
                <w:color w:val="auto"/>
              </w:rPr>
              <w:t>（</w:t>
            </w:r>
            <w:r>
              <w:rPr>
                <w:rFonts w:hint="eastAsia" w:ascii="Times New Roman" w:cs="Times New Roman"/>
                <w:color w:val="auto"/>
              </w:rPr>
              <w:t>4</w:t>
            </w:r>
            <w:r>
              <w:rPr>
                <w:rFonts w:ascii="Times New Roman" w:cs="Times New Roman"/>
                <w:color w:val="auto"/>
              </w:rPr>
              <w:t>）环境影响分析</w:t>
            </w:r>
          </w:p>
          <w:p>
            <w:pPr>
              <w:pStyle w:val="2"/>
              <w:ind w:firstLine="480" w:firstLineChars="200"/>
              <w:rPr>
                <w:rFonts w:hint="eastAsia" w:ascii="Times New Roman" w:eastAsia="宋体" w:cs="Times New Roman"/>
                <w:color w:val="auto"/>
                <w:lang w:eastAsia="zh-CN"/>
              </w:rPr>
            </w:pPr>
            <w:r>
              <w:rPr>
                <w:rFonts w:ascii="Times New Roman" w:cs="Times New Roman"/>
                <w:color w:val="auto"/>
              </w:rPr>
              <w:t>由表3分析可知，项目所在地</w:t>
            </w:r>
            <w:r>
              <w:rPr>
                <w:rFonts w:hint="eastAsia" w:ascii="Times New Roman" w:cs="Times New Roman"/>
                <w:color w:val="auto"/>
                <w:szCs w:val="21"/>
              </w:rPr>
              <w:t>基本污染物</w:t>
            </w:r>
            <w:r>
              <w:rPr>
                <w:rFonts w:ascii="Times New Roman" w:cs="Times New Roman"/>
                <w:color w:val="auto"/>
                <w:szCs w:val="21"/>
              </w:rPr>
              <w:t>均满足《环境空气质量标准》（GB3095-2012）二级标准的要求</w:t>
            </w:r>
            <w:r>
              <w:rPr>
                <w:rFonts w:hint="eastAsia" w:ascii="Times New Roman" w:cs="Times New Roman"/>
                <w:color w:val="auto"/>
                <w:szCs w:val="21"/>
              </w:rPr>
              <w:t>；</w:t>
            </w:r>
            <w:r>
              <w:rPr>
                <w:rFonts w:ascii="Times New Roman" w:cs="Times New Roman"/>
                <w:color w:val="auto"/>
                <w:szCs w:val="21"/>
              </w:rPr>
              <w:t>非甲烷总烃</w:t>
            </w:r>
            <w:r>
              <w:rPr>
                <w:rFonts w:ascii="Times New Roman" w:cs="Times New Roman"/>
                <w:color w:val="auto"/>
              </w:rPr>
              <w:t>《环境空气质量非甲烷总烃限值》（DB13/1577-2012）</w:t>
            </w:r>
            <w:r>
              <w:rPr>
                <w:rFonts w:hint="eastAsia" w:ascii="Times New Roman" w:cs="Times New Roman"/>
                <w:color w:val="auto"/>
              </w:rPr>
              <w:t>；</w:t>
            </w:r>
            <w:r>
              <w:rPr>
                <w:rFonts w:ascii="Times New Roman" w:cs="Times New Roman"/>
                <w:color w:val="auto"/>
              </w:rPr>
              <w:t>本项目周边500m</w:t>
            </w:r>
            <w:r>
              <w:rPr>
                <w:rFonts w:hint="eastAsia" w:ascii="Times New Roman" w:cs="Times New Roman"/>
                <w:color w:val="auto"/>
              </w:rPr>
              <w:t>无大气环境保护目标，</w:t>
            </w:r>
            <w:r>
              <w:rPr>
                <w:rFonts w:ascii="Times New Roman" w:cs="Times New Roman"/>
                <w:color w:val="auto"/>
              </w:rPr>
              <w:t>其产生的废气经治理后能够做到达标排放</w:t>
            </w:r>
            <w:r>
              <w:rPr>
                <w:rFonts w:hint="eastAsia" w:ascii="Times New Roman" w:cs="Times New Roman"/>
                <w:color w:val="auto"/>
              </w:rPr>
              <w:t>，环境影响可接受</w:t>
            </w:r>
            <w:r>
              <w:rPr>
                <w:rFonts w:ascii="Times New Roman" w:cs="Times New Roman"/>
                <w:color w:val="auto"/>
              </w:rPr>
              <w:t>。</w:t>
            </w:r>
          </w:p>
          <w:p>
            <w:pPr>
              <w:spacing w:line="360" w:lineRule="auto"/>
              <w:ind w:firstLine="480" w:firstLineChars="200"/>
              <w:jc w:val="left"/>
              <w:rPr>
                <w:rFonts w:eastAsiaTheme="minorEastAsia"/>
                <w:bCs/>
                <w:color w:val="auto"/>
                <w:sz w:val="24"/>
              </w:rPr>
            </w:pPr>
            <w:r>
              <w:rPr>
                <w:rFonts w:eastAsiaTheme="minorEastAsia"/>
                <w:bCs/>
                <w:color w:val="auto"/>
                <w:sz w:val="24"/>
              </w:rPr>
              <w:t>（5）非正常情况</w:t>
            </w:r>
          </w:p>
          <w:p>
            <w:pPr>
              <w:spacing w:line="360" w:lineRule="auto"/>
              <w:ind w:firstLine="480" w:firstLineChars="200"/>
              <w:rPr>
                <w:rFonts w:eastAsiaTheme="minorEastAsia"/>
                <w:color w:val="auto"/>
                <w:sz w:val="24"/>
              </w:rPr>
            </w:pPr>
            <w:r>
              <w:rPr>
                <w:rFonts w:hint="eastAsia" w:eastAsiaTheme="minorEastAsia"/>
                <w:color w:val="auto"/>
                <w:sz w:val="24"/>
                <w:lang w:eastAsia="zh-CN"/>
              </w:rPr>
              <w:t>扩建项目</w:t>
            </w:r>
            <w:r>
              <w:rPr>
                <w:rFonts w:eastAsiaTheme="minorEastAsia"/>
                <w:color w:val="auto"/>
                <w:sz w:val="24"/>
              </w:rPr>
              <w:t>的非正常工况主要是工艺设备或环保设施达不到设计规定指标运行时的排污。废气非正常排放的源强按照最不利情况（考虑废气处理设施</w:t>
            </w:r>
            <w:r>
              <w:rPr>
                <w:rFonts w:hint="eastAsia" w:eastAsiaTheme="minorEastAsia"/>
                <w:color w:val="auto"/>
                <w:sz w:val="24"/>
              </w:rPr>
              <w:t>失效</w:t>
            </w:r>
            <w:r>
              <w:rPr>
                <w:rFonts w:eastAsiaTheme="minorEastAsia"/>
                <w:color w:val="auto"/>
                <w:sz w:val="24"/>
              </w:rPr>
              <w:t>，处理效率为零的情况）进行分析，非正常排放的源强详见表4.</w:t>
            </w:r>
            <w:r>
              <w:rPr>
                <w:rFonts w:hint="eastAsia" w:eastAsiaTheme="minorEastAsia"/>
                <w:color w:val="auto"/>
                <w:sz w:val="24"/>
              </w:rPr>
              <w:t>7。</w:t>
            </w:r>
          </w:p>
          <w:p>
            <w:pPr>
              <w:ind w:firstLine="420" w:firstLineChars="200"/>
              <w:jc w:val="center"/>
              <w:rPr>
                <w:rFonts w:eastAsiaTheme="minorEastAsia"/>
                <w:color w:val="auto"/>
                <w:sz w:val="21"/>
                <w:szCs w:val="21"/>
              </w:rPr>
            </w:pPr>
            <w:r>
              <w:rPr>
                <w:rFonts w:eastAsiaTheme="minorEastAsia"/>
                <w:color w:val="auto"/>
                <w:sz w:val="21"/>
                <w:szCs w:val="21"/>
              </w:rPr>
              <w:t>表4.</w:t>
            </w:r>
            <w:r>
              <w:rPr>
                <w:rFonts w:hint="eastAsia" w:eastAsiaTheme="minorEastAsia"/>
                <w:color w:val="auto"/>
                <w:sz w:val="21"/>
                <w:szCs w:val="21"/>
              </w:rPr>
              <w:t>7</w:t>
            </w:r>
            <w:r>
              <w:rPr>
                <w:rFonts w:eastAsiaTheme="minorEastAsia"/>
                <w:color w:val="auto"/>
                <w:sz w:val="21"/>
                <w:szCs w:val="21"/>
              </w:rPr>
              <w:t xml:space="preserve"> 废气非正常排放源强</w:t>
            </w:r>
          </w:p>
          <w:tbl>
            <w:tblPr>
              <w:tblStyle w:val="22"/>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946"/>
              <w:gridCol w:w="1080"/>
              <w:gridCol w:w="1096"/>
              <w:gridCol w:w="958"/>
              <w:gridCol w:w="1080"/>
              <w:gridCol w:w="1096"/>
              <w:gridCol w:w="114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9" w:type="pct"/>
                  <w:vMerge w:val="restart"/>
                  <w:tcBorders>
                    <w:tl2br w:val="nil"/>
                    <w:tr2bl w:val="nil"/>
                  </w:tcBorders>
                  <w:shd w:val="clear" w:color="auto" w:fill="auto"/>
                  <w:vAlign w:val="center"/>
                </w:tcPr>
                <w:p>
                  <w:pPr>
                    <w:pStyle w:val="49"/>
                    <w:autoSpaceDE/>
                    <w:autoSpaceDN/>
                    <w:snapToGrid w:val="0"/>
                    <w:spacing w:line="240" w:lineRule="auto"/>
                    <w:ind w:firstLine="0" w:firstLineChars="0"/>
                    <w:jc w:val="center"/>
                    <w:rPr>
                      <w:rFonts w:eastAsiaTheme="minorEastAsia"/>
                      <w:color w:val="auto"/>
                      <w:spacing w:val="1"/>
                      <w:sz w:val="21"/>
                      <w:szCs w:val="21"/>
                    </w:rPr>
                  </w:pPr>
                  <w:r>
                    <w:rPr>
                      <w:rFonts w:eastAsiaTheme="minorEastAsia"/>
                      <w:color w:val="auto"/>
                      <w:spacing w:val="1"/>
                      <w:sz w:val="21"/>
                      <w:szCs w:val="21"/>
                    </w:rPr>
                    <w:t>污染源</w:t>
                  </w:r>
                </w:p>
              </w:tc>
              <w:tc>
                <w:tcPr>
                  <w:tcW w:w="580" w:type="pct"/>
                  <w:vMerge w:val="restart"/>
                  <w:tcBorders>
                    <w:tl2br w:val="nil"/>
                    <w:tr2bl w:val="nil"/>
                  </w:tcBorders>
                  <w:shd w:val="clear" w:color="auto" w:fill="auto"/>
                  <w:vAlign w:val="center"/>
                </w:tcPr>
                <w:p>
                  <w:pPr>
                    <w:pStyle w:val="49"/>
                    <w:autoSpaceDE/>
                    <w:autoSpaceDN/>
                    <w:snapToGrid w:val="0"/>
                    <w:spacing w:line="240" w:lineRule="auto"/>
                    <w:ind w:firstLine="0" w:firstLineChars="0"/>
                    <w:jc w:val="center"/>
                    <w:rPr>
                      <w:rFonts w:eastAsiaTheme="minorEastAsia"/>
                      <w:color w:val="auto"/>
                      <w:spacing w:val="1"/>
                      <w:sz w:val="21"/>
                      <w:szCs w:val="21"/>
                    </w:rPr>
                  </w:pPr>
                  <w:r>
                    <w:rPr>
                      <w:rFonts w:eastAsiaTheme="minorEastAsia"/>
                      <w:color w:val="auto"/>
                      <w:spacing w:val="1"/>
                      <w:sz w:val="21"/>
                      <w:szCs w:val="21"/>
                    </w:rPr>
                    <w:t>污染物</w:t>
                  </w:r>
                </w:p>
              </w:tc>
              <w:tc>
                <w:tcPr>
                  <w:tcW w:w="1921" w:type="pct"/>
                  <w:gridSpan w:val="3"/>
                  <w:tcBorders>
                    <w:tl2br w:val="nil"/>
                    <w:tr2bl w:val="nil"/>
                  </w:tcBorders>
                  <w:shd w:val="clear" w:color="auto" w:fill="auto"/>
                  <w:vAlign w:val="center"/>
                </w:tcPr>
                <w:p>
                  <w:pPr>
                    <w:pStyle w:val="49"/>
                    <w:autoSpaceDE/>
                    <w:autoSpaceDN/>
                    <w:snapToGrid w:val="0"/>
                    <w:spacing w:line="240" w:lineRule="auto"/>
                    <w:ind w:firstLine="0" w:firstLineChars="0"/>
                    <w:jc w:val="center"/>
                    <w:rPr>
                      <w:rFonts w:eastAsiaTheme="minorEastAsia"/>
                      <w:color w:val="auto"/>
                      <w:spacing w:val="1"/>
                      <w:sz w:val="21"/>
                      <w:szCs w:val="21"/>
                    </w:rPr>
                  </w:pPr>
                  <w:r>
                    <w:rPr>
                      <w:rFonts w:eastAsiaTheme="minorEastAsia"/>
                      <w:color w:val="auto"/>
                      <w:spacing w:val="1"/>
                      <w:sz w:val="21"/>
                      <w:szCs w:val="21"/>
                    </w:rPr>
                    <w:t>产生情况</w:t>
                  </w:r>
                </w:p>
              </w:tc>
              <w:tc>
                <w:tcPr>
                  <w:tcW w:w="2038" w:type="pct"/>
                  <w:gridSpan w:val="3"/>
                  <w:tcBorders>
                    <w:tl2br w:val="nil"/>
                    <w:tr2bl w:val="nil"/>
                  </w:tcBorders>
                  <w:shd w:val="clear" w:color="auto" w:fill="auto"/>
                </w:tcPr>
                <w:p>
                  <w:pPr>
                    <w:pStyle w:val="49"/>
                    <w:autoSpaceDE/>
                    <w:autoSpaceDN/>
                    <w:snapToGrid w:val="0"/>
                    <w:spacing w:line="240" w:lineRule="auto"/>
                    <w:ind w:firstLine="0" w:firstLineChars="0"/>
                    <w:jc w:val="center"/>
                    <w:rPr>
                      <w:rFonts w:eastAsiaTheme="minorEastAsia"/>
                      <w:color w:val="auto"/>
                      <w:spacing w:val="1"/>
                      <w:sz w:val="21"/>
                      <w:szCs w:val="21"/>
                    </w:rPr>
                  </w:pPr>
                  <w:r>
                    <w:rPr>
                      <w:rFonts w:eastAsiaTheme="minorEastAsia"/>
                      <w:color w:val="auto"/>
                      <w:spacing w:val="1"/>
                      <w:sz w:val="21"/>
                      <w:szCs w:val="21"/>
                    </w:rPr>
                    <w:t>排放情况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9" w:type="pct"/>
                  <w:vMerge w:val="continue"/>
                  <w:tcBorders>
                    <w:tl2br w:val="nil"/>
                    <w:tr2bl w:val="nil"/>
                  </w:tcBorders>
                  <w:shd w:val="clear" w:color="auto" w:fill="auto"/>
                  <w:vAlign w:val="center"/>
                </w:tcPr>
                <w:p>
                  <w:pPr>
                    <w:adjustRightInd w:val="0"/>
                    <w:snapToGrid w:val="0"/>
                    <w:jc w:val="center"/>
                    <w:rPr>
                      <w:rFonts w:eastAsiaTheme="minorEastAsia"/>
                      <w:color w:val="auto"/>
                      <w:spacing w:val="1"/>
                      <w:szCs w:val="21"/>
                    </w:rPr>
                  </w:pPr>
                </w:p>
              </w:tc>
              <w:tc>
                <w:tcPr>
                  <w:tcW w:w="580" w:type="pct"/>
                  <w:vMerge w:val="continue"/>
                  <w:tcBorders>
                    <w:tl2br w:val="nil"/>
                    <w:tr2bl w:val="nil"/>
                  </w:tcBorders>
                  <w:shd w:val="clear" w:color="auto" w:fill="auto"/>
                  <w:vAlign w:val="center"/>
                </w:tcPr>
                <w:p>
                  <w:pPr>
                    <w:adjustRightInd w:val="0"/>
                    <w:snapToGrid w:val="0"/>
                    <w:jc w:val="center"/>
                    <w:rPr>
                      <w:rFonts w:eastAsiaTheme="minorEastAsia"/>
                      <w:color w:val="auto"/>
                      <w:spacing w:val="1"/>
                      <w:szCs w:val="21"/>
                    </w:rPr>
                  </w:pPr>
                </w:p>
              </w:tc>
              <w:tc>
                <w:tcPr>
                  <w:tcW w:w="662" w:type="pct"/>
                  <w:tcBorders>
                    <w:tl2br w:val="nil"/>
                    <w:tr2bl w:val="nil"/>
                  </w:tcBorders>
                  <w:shd w:val="clear" w:color="auto" w:fill="auto"/>
                  <w:vAlign w:val="center"/>
                </w:tcPr>
                <w:p>
                  <w:pPr>
                    <w:pStyle w:val="49"/>
                    <w:autoSpaceDE/>
                    <w:autoSpaceDN/>
                    <w:snapToGrid w:val="0"/>
                    <w:spacing w:line="240" w:lineRule="auto"/>
                    <w:ind w:firstLine="0" w:firstLineChars="0"/>
                    <w:jc w:val="center"/>
                    <w:rPr>
                      <w:rFonts w:eastAsiaTheme="minorEastAsia"/>
                      <w:color w:val="auto"/>
                      <w:spacing w:val="1"/>
                      <w:sz w:val="21"/>
                      <w:szCs w:val="21"/>
                    </w:rPr>
                  </w:pPr>
                  <w:r>
                    <w:rPr>
                      <w:rFonts w:eastAsiaTheme="minorEastAsia"/>
                      <w:color w:val="auto"/>
                      <w:spacing w:val="1"/>
                      <w:sz w:val="21"/>
                      <w:szCs w:val="21"/>
                    </w:rPr>
                    <w:t>浓度mg/m</w:t>
                  </w:r>
                  <w:r>
                    <w:rPr>
                      <w:rFonts w:eastAsiaTheme="minorEastAsia"/>
                      <w:color w:val="auto"/>
                      <w:spacing w:val="1"/>
                      <w:sz w:val="21"/>
                      <w:szCs w:val="21"/>
                      <w:vertAlign w:val="superscript"/>
                    </w:rPr>
                    <w:t>3</w:t>
                  </w:r>
                </w:p>
              </w:tc>
              <w:tc>
                <w:tcPr>
                  <w:tcW w:w="672" w:type="pct"/>
                  <w:tcBorders>
                    <w:tl2br w:val="nil"/>
                    <w:tr2bl w:val="nil"/>
                  </w:tcBorders>
                  <w:shd w:val="clear" w:color="auto" w:fill="auto"/>
                  <w:vAlign w:val="center"/>
                </w:tcPr>
                <w:p>
                  <w:pPr>
                    <w:pStyle w:val="49"/>
                    <w:autoSpaceDE/>
                    <w:autoSpaceDN/>
                    <w:snapToGrid w:val="0"/>
                    <w:spacing w:line="240" w:lineRule="auto"/>
                    <w:ind w:firstLine="0" w:firstLineChars="0"/>
                    <w:jc w:val="center"/>
                    <w:rPr>
                      <w:rFonts w:eastAsiaTheme="minorEastAsia"/>
                      <w:color w:val="auto"/>
                      <w:spacing w:val="1"/>
                      <w:sz w:val="21"/>
                      <w:szCs w:val="21"/>
                    </w:rPr>
                  </w:pPr>
                  <w:r>
                    <w:rPr>
                      <w:rFonts w:eastAsiaTheme="minorEastAsia"/>
                      <w:color w:val="auto"/>
                      <w:spacing w:val="1"/>
                      <w:sz w:val="21"/>
                      <w:szCs w:val="21"/>
                    </w:rPr>
                    <w:t>产生速率kg/h</w:t>
                  </w:r>
                </w:p>
              </w:tc>
              <w:tc>
                <w:tcPr>
                  <w:tcW w:w="587" w:type="pct"/>
                  <w:tcBorders>
                    <w:tl2br w:val="nil"/>
                    <w:tr2bl w:val="nil"/>
                  </w:tcBorders>
                  <w:shd w:val="clear" w:color="auto" w:fill="auto"/>
                  <w:vAlign w:val="center"/>
                </w:tcPr>
                <w:p>
                  <w:pPr>
                    <w:adjustRightInd w:val="0"/>
                    <w:snapToGrid w:val="0"/>
                    <w:jc w:val="center"/>
                    <w:rPr>
                      <w:rFonts w:eastAsiaTheme="minorEastAsia"/>
                      <w:color w:val="auto"/>
                      <w:spacing w:val="1"/>
                      <w:szCs w:val="21"/>
                    </w:rPr>
                  </w:pPr>
                  <w:r>
                    <w:rPr>
                      <w:rFonts w:hint="eastAsia" w:eastAsiaTheme="minorEastAsia"/>
                      <w:color w:val="auto"/>
                      <w:spacing w:val="1"/>
                      <w:szCs w:val="21"/>
                    </w:rPr>
                    <w:t>产生量t/a</w:t>
                  </w:r>
                </w:p>
              </w:tc>
              <w:tc>
                <w:tcPr>
                  <w:tcW w:w="662" w:type="pct"/>
                  <w:tcBorders>
                    <w:tl2br w:val="nil"/>
                    <w:tr2bl w:val="nil"/>
                  </w:tcBorders>
                  <w:shd w:val="clear" w:color="auto" w:fill="auto"/>
                  <w:vAlign w:val="center"/>
                </w:tcPr>
                <w:p>
                  <w:pPr>
                    <w:adjustRightInd w:val="0"/>
                    <w:snapToGrid w:val="0"/>
                    <w:jc w:val="center"/>
                    <w:rPr>
                      <w:rFonts w:eastAsiaTheme="minorEastAsia"/>
                      <w:color w:val="auto"/>
                      <w:spacing w:val="1"/>
                      <w:szCs w:val="21"/>
                    </w:rPr>
                  </w:pPr>
                  <w:r>
                    <w:rPr>
                      <w:rFonts w:eastAsiaTheme="minorEastAsia"/>
                      <w:color w:val="auto"/>
                      <w:spacing w:val="1"/>
                      <w:szCs w:val="21"/>
                    </w:rPr>
                    <w:t>浓度mg/m</w:t>
                  </w:r>
                  <w:r>
                    <w:rPr>
                      <w:rFonts w:eastAsiaTheme="minorEastAsia"/>
                      <w:color w:val="auto"/>
                      <w:spacing w:val="1"/>
                      <w:szCs w:val="21"/>
                      <w:vertAlign w:val="superscript"/>
                    </w:rPr>
                    <w:t>3</w:t>
                  </w:r>
                </w:p>
              </w:tc>
              <w:tc>
                <w:tcPr>
                  <w:tcW w:w="672" w:type="pct"/>
                  <w:tcBorders>
                    <w:tl2br w:val="nil"/>
                    <w:tr2bl w:val="nil"/>
                  </w:tcBorders>
                  <w:shd w:val="clear" w:color="auto" w:fill="auto"/>
                  <w:vAlign w:val="center"/>
                </w:tcPr>
                <w:p>
                  <w:pPr>
                    <w:adjustRightInd w:val="0"/>
                    <w:snapToGrid w:val="0"/>
                    <w:jc w:val="center"/>
                    <w:rPr>
                      <w:rFonts w:eastAsiaTheme="minorEastAsia"/>
                      <w:color w:val="auto"/>
                      <w:spacing w:val="1"/>
                      <w:szCs w:val="21"/>
                    </w:rPr>
                  </w:pPr>
                  <w:r>
                    <w:rPr>
                      <w:rFonts w:eastAsiaTheme="minorEastAsia"/>
                      <w:color w:val="auto"/>
                      <w:spacing w:val="1"/>
                      <w:szCs w:val="21"/>
                    </w:rPr>
                    <w:t>产生速率kg/h</w:t>
                  </w:r>
                </w:p>
              </w:tc>
              <w:tc>
                <w:tcPr>
                  <w:tcW w:w="704" w:type="pct"/>
                  <w:tcBorders>
                    <w:tl2br w:val="nil"/>
                    <w:tr2bl w:val="nil"/>
                  </w:tcBorders>
                  <w:shd w:val="clear" w:color="auto" w:fill="auto"/>
                  <w:vAlign w:val="center"/>
                </w:tcPr>
                <w:p>
                  <w:pPr>
                    <w:adjustRightInd w:val="0"/>
                    <w:snapToGrid w:val="0"/>
                    <w:jc w:val="center"/>
                    <w:rPr>
                      <w:rFonts w:eastAsiaTheme="minorEastAsia"/>
                      <w:color w:val="auto"/>
                      <w:spacing w:val="1"/>
                      <w:szCs w:val="21"/>
                    </w:rPr>
                  </w:pPr>
                  <w:r>
                    <w:rPr>
                      <w:rFonts w:eastAsiaTheme="minorEastAsia"/>
                      <w:color w:val="auto"/>
                      <w:spacing w:val="1"/>
                      <w:szCs w:val="21"/>
                    </w:rPr>
                    <w:t>产生速率kg/h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9" w:type="pct"/>
                  <w:vMerge w:val="restart"/>
                  <w:tcBorders>
                    <w:tl2br w:val="nil"/>
                    <w:tr2bl w:val="nil"/>
                  </w:tcBorders>
                  <w:shd w:val="clear" w:color="auto" w:fill="auto"/>
                  <w:vAlign w:val="center"/>
                </w:tcPr>
                <w:p>
                  <w:pPr>
                    <w:pStyle w:val="49"/>
                    <w:autoSpaceDE/>
                    <w:autoSpaceDN/>
                    <w:snapToGrid w:val="0"/>
                    <w:spacing w:line="240" w:lineRule="auto"/>
                    <w:ind w:firstLine="0" w:firstLineChars="0"/>
                    <w:jc w:val="center"/>
                    <w:rPr>
                      <w:rFonts w:eastAsiaTheme="minorEastAsia"/>
                      <w:color w:val="auto"/>
                      <w:spacing w:val="1"/>
                      <w:sz w:val="21"/>
                      <w:szCs w:val="21"/>
                    </w:rPr>
                  </w:pPr>
                  <w:r>
                    <w:rPr>
                      <w:rFonts w:hint="eastAsia" w:eastAsiaTheme="minorEastAsia"/>
                      <w:color w:val="auto"/>
                      <w:spacing w:val="1"/>
                      <w:sz w:val="21"/>
                      <w:szCs w:val="21"/>
                    </w:rPr>
                    <w:t>3</w:t>
                  </w:r>
                  <w:r>
                    <w:rPr>
                      <w:rFonts w:eastAsiaTheme="minorEastAsia"/>
                      <w:color w:val="auto"/>
                      <w:spacing w:val="1"/>
                      <w:sz w:val="21"/>
                      <w:szCs w:val="21"/>
                    </w:rPr>
                    <w:t>#排气筒</w:t>
                  </w:r>
                </w:p>
              </w:tc>
              <w:tc>
                <w:tcPr>
                  <w:tcW w:w="580" w:type="pct"/>
                  <w:tcBorders>
                    <w:tl2br w:val="nil"/>
                    <w:tr2bl w:val="nil"/>
                  </w:tcBorders>
                  <w:shd w:val="clear" w:color="auto" w:fill="auto"/>
                  <w:vAlign w:val="center"/>
                </w:tcPr>
                <w:p>
                  <w:pPr>
                    <w:adjustRightInd w:val="0"/>
                    <w:snapToGrid w:val="0"/>
                    <w:spacing w:line="216" w:lineRule="auto"/>
                    <w:jc w:val="center"/>
                    <w:rPr>
                      <w:color w:val="auto"/>
                      <w:kern w:val="0"/>
                      <w:szCs w:val="21"/>
                      <w:lang w:bidi="ar"/>
                    </w:rPr>
                  </w:pPr>
                  <w:r>
                    <w:rPr>
                      <w:color w:val="auto"/>
                      <w:kern w:val="0"/>
                      <w:szCs w:val="21"/>
                      <w:lang w:bidi="ar"/>
                    </w:rPr>
                    <w:t>非甲烷</w:t>
                  </w:r>
                </w:p>
                <w:p>
                  <w:pPr>
                    <w:adjustRightInd w:val="0"/>
                    <w:snapToGrid w:val="0"/>
                    <w:spacing w:line="216" w:lineRule="auto"/>
                    <w:jc w:val="center"/>
                    <w:rPr>
                      <w:color w:val="auto"/>
                      <w:kern w:val="0"/>
                      <w:szCs w:val="21"/>
                      <w:lang w:bidi="ar"/>
                    </w:rPr>
                  </w:pPr>
                  <w:r>
                    <w:rPr>
                      <w:color w:val="auto"/>
                      <w:kern w:val="0"/>
                      <w:szCs w:val="21"/>
                      <w:lang w:bidi="ar"/>
                    </w:rPr>
                    <w:t>总烃</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color w:val="auto"/>
                      <w:kern w:val="0"/>
                      <w:szCs w:val="21"/>
                      <w:lang w:bidi="ar"/>
                    </w:rPr>
                  </w:pPr>
                  <w:r>
                    <w:rPr>
                      <w:rFonts w:hint="default" w:ascii="Times New Roman" w:hAnsi="Times New Roman" w:eastAsia="宋体" w:cs="Times New Roman"/>
                      <w:i w:val="0"/>
                      <w:iCs w:val="0"/>
                      <w:color w:val="auto"/>
                      <w:kern w:val="0"/>
                      <w:sz w:val="21"/>
                      <w:szCs w:val="21"/>
                      <w:u w:val="none"/>
                      <w:lang w:val="en-US" w:eastAsia="zh-CN" w:bidi="ar"/>
                    </w:rPr>
                    <w:t>133.714</w:t>
                  </w:r>
                </w:p>
              </w:tc>
              <w:tc>
                <w:tcPr>
                  <w:tcW w:w="1096" w:type="dxa"/>
                  <w:tcBorders>
                    <w:tl2br w:val="nil"/>
                    <w:tr2bl w:val="nil"/>
                  </w:tcBorders>
                  <w:shd w:val="clear" w:color="auto" w:fill="auto"/>
                  <w:vAlign w:val="center"/>
                </w:tcPr>
                <w:p>
                  <w:pPr>
                    <w:keepNext w:val="0"/>
                    <w:keepLines w:val="0"/>
                    <w:widowControl/>
                    <w:suppressLineNumbers w:val="0"/>
                    <w:jc w:val="center"/>
                    <w:textAlignment w:val="center"/>
                    <w:rPr>
                      <w:color w:val="auto"/>
                      <w:kern w:val="0"/>
                      <w:szCs w:val="21"/>
                      <w:lang w:bidi="ar"/>
                    </w:rPr>
                  </w:pPr>
                  <w:r>
                    <w:rPr>
                      <w:rFonts w:hint="default" w:ascii="Times New Roman" w:hAnsi="Times New Roman" w:eastAsia="宋体" w:cs="Times New Roman"/>
                      <w:i w:val="0"/>
                      <w:iCs w:val="0"/>
                      <w:color w:val="auto"/>
                      <w:kern w:val="0"/>
                      <w:sz w:val="21"/>
                      <w:szCs w:val="21"/>
                      <w:u w:val="none"/>
                      <w:lang w:val="en-US" w:eastAsia="zh-CN" w:bidi="ar"/>
                    </w:rPr>
                    <w:t>1.337</w:t>
                  </w:r>
                </w:p>
              </w:tc>
              <w:tc>
                <w:tcPr>
                  <w:tcW w:w="958" w:type="dxa"/>
                  <w:tcBorders>
                    <w:tl2br w:val="nil"/>
                    <w:tr2bl w:val="nil"/>
                  </w:tcBorders>
                  <w:shd w:val="clear" w:color="auto" w:fill="auto"/>
                  <w:vAlign w:val="center"/>
                </w:tcPr>
                <w:p>
                  <w:pPr>
                    <w:keepNext w:val="0"/>
                    <w:keepLines w:val="0"/>
                    <w:widowControl/>
                    <w:suppressLineNumbers w:val="0"/>
                    <w:jc w:val="center"/>
                    <w:textAlignment w:val="center"/>
                    <w:rPr>
                      <w:color w:val="auto"/>
                      <w:kern w:val="0"/>
                      <w:szCs w:val="21"/>
                      <w:lang w:bidi="ar"/>
                    </w:rPr>
                  </w:pPr>
                  <w:r>
                    <w:rPr>
                      <w:rFonts w:hint="default" w:ascii="Times New Roman" w:hAnsi="Times New Roman" w:eastAsia="宋体" w:cs="Times New Roman"/>
                      <w:i w:val="0"/>
                      <w:iCs w:val="0"/>
                      <w:color w:val="auto"/>
                      <w:kern w:val="0"/>
                      <w:sz w:val="21"/>
                      <w:szCs w:val="21"/>
                      <w:u w:val="none"/>
                      <w:lang w:val="en-US" w:eastAsia="zh-CN" w:bidi="ar"/>
                    </w:rPr>
                    <w:t>2.808</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color w:val="auto"/>
                      <w:kern w:val="0"/>
                      <w:szCs w:val="21"/>
                      <w:lang w:bidi="ar"/>
                    </w:rPr>
                  </w:pPr>
                  <w:r>
                    <w:rPr>
                      <w:rFonts w:hint="default" w:ascii="Times New Roman" w:hAnsi="Times New Roman" w:eastAsia="宋体" w:cs="Times New Roman"/>
                      <w:i w:val="0"/>
                      <w:iCs w:val="0"/>
                      <w:color w:val="auto"/>
                      <w:kern w:val="0"/>
                      <w:sz w:val="21"/>
                      <w:szCs w:val="21"/>
                      <w:u w:val="none"/>
                      <w:lang w:val="en-US" w:eastAsia="zh-CN" w:bidi="ar"/>
                    </w:rPr>
                    <w:t>133.714</w:t>
                  </w:r>
                </w:p>
              </w:tc>
              <w:tc>
                <w:tcPr>
                  <w:tcW w:w="1096" w:type="dxa"/>
                  <w:tcBorders>
                    <w:tl2br w:val="nil"/>
                    <w:tr2bl w:val="nil"/>
                  </w:tcBorders>
                  <w:shd w:val="clear" w:color="auto" w:fill="auto"/>
                  <w:vAlign w:val="center"/>
                </w:tcPr>
                <w:p>
                  <w:pPr>
                    <w:keepNext w:val="0"/>
                    <w:keepLines w:val="0"/>
                    <w:widowControl/>
                    <w:suppressLineNumbers w:val="0"/>
                    <w:jc w:val="center"/>
                    <w:textAlignment w:val="center"/>
                    <w:rPr>
                      <w:color w:val="auto"/>
                      <w:kern w:val="0"/>
                      <w:szCs w:val="21"/>
                      <w:lang w:bidi="ar"/>
                    </w:rPr>
                  </w:pPr>
                  <w:r>
                    <w:rPr>
                      <w:rFonts w:hint="default" w:ascii="Times New Roman" w:hAnsi="Times New Roman" w:eastAsia="宋体" w:cs="Times New Roman"/>
                      <w:i w:val="0"/>
                      <w:iCs w:val="0"/>
                      <w:color w:val="auto"/>
                      <w:kern w:val="0"/>
                      <w:sz w:val="21"/>
                      <w:szCs w:val="21"/>
                      <w:u w:val="none"/>
                      <w:lang w:val="en-US" w:eastAsia="zh-CN" w:bidi="ar"/>
                    </w:rPr>
                    <w:t>1.337</w:t>
                  </w:r>
                </w:p>
              </w:tc>
              <w:tc>
                <w:tcPr>
                  <w:tcW w:w="1149" w:type="dxa"/>
                  <w:tcBorders>
                    <w:tl2br w:val="nil"/>
                    <w:tr2bl w:val="nil"/>
                  </w:tcBorders>
                  <w:shd w:val="clear" w:color="auto" w:fill="auto"/>
                  <w:vAlign w:val="center"/>
                </w:tcPr>
                <w:p>
                  <w:pPr>
                    <w:keepNext w:val="0"/>
                    <w:keepLines w:val="0"/>
                    <w:widowControl/>
                    <w:suppressLineNumbers w:val="0"/>
                    <w:jc w:val="center"/>
                    <w:textAlignment w:val="center"/>
                    <w:rPr>
                      <w:color w:val="auto"/>
                      <w:kern w:val="0"/>
                      <w:szCs w:val="21"/>
                      <w:lang w:bidi="ar"/>
                    </w:rPr>
                  </w:pPr>
                  <w:r>
                    <w:rPr>
                      <w:rFonts w:hint="default" w:ascii="Times New Roman" w:hAnsi="Times New Roman" w:eastAsia="宋体" w:cs="Times New Roman"/>
                      <w:i w:val="0"/>
                      <w:iCs w:val="0"/>
                      <w:color w:val="auto"/>
                      <w:kern w:val="0"/>
                      <w:sz w:val="21"/>
                      <w:szCs w:val="21"/>
                      <w:u w:val="none"/>
                      <w:lang w:val="en-US" w:eastAsia="zh-CN" w:bidi="ar"/>
                    </w:rPr>
                    <w:t>2.808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9" w:type="pct"/>
                  <w:vMerge w:val="continue"/>
                  <w:tcBorders>
                    <w:tl2br w:val="nil"/>
                    <w:tr2bl w:val="nil"/>
                  </w:tcBorders>
                  <w:shd w:val="clear" w:color="auto" w:fill="auto"/>
                  <w:vAlign w:val="center"/>
                </w:tcPr>
                <w:p>
                  <w:pPr>
                    <w:pStyle w:val="49"/>
                    <w:autoSpaceDE/>
                    <w:autoSpaceDN/>
                    <w:snapToGrid w:val="0"/>
                    <w:spacing w:line="240" w:lineRule="auto"/>
                    <w:ind w:firstLine="0" w:firstLineChars="0"/>
                    <w:jc w:val="center"/>
                    <w:rPr>
                      <w:rFonts w:eastAsiaTheme="minorEastAsia"/>
                      <w:color w:val="auto"/>
                      <w:spacing w:val="1"/>
                      <w:sz w:val="21"/>
                      <w:szCs w:val="21"/>
                    </w:rPr>
                  </w:pPr>
                </w:p>
              </w:tc>
              <w:tc>
                <w:tcPr>
                  <w:tcW w:w="580" w:type="pct"/>
                  <w:tcBorders>
                    <w:tl2br w:val="nil"/>
                    <w:tr2bl w:val="nil"/>
                  </w:tcBorders>
                  <w:shd w:val="clear" w:color="auto" w:fill="auto"/>
                  <w:vAlign w:val="center"/>
                </w:tcPr>
                <w:p>
                  <w:pPr>
                    <w:adjustRightInd w:val="0"/>
                    <w:snapToGrid w:val="0"/>
                    <w:spacing w:line="216" w:lineRule="auto"/>
                    <w:jc w:val="center"/>
                    <w:rPr>
                      <w:color w:val="auto"/>
                      <w:kern w:val="0"/>
                      <w:szCs w:val="21"/>
                      <w:lang w:bidi="ar"/>
                    </w:rPr>
                  </w:pPr>
                  <w:r>
                    <w:rPr>
                      <w:color w:val="auto"/>
                      <w:szCs w:val="21"/>
                    </w:rPr>
                    <w:t>SO</w:t>
                  </w:r>
                  <w:r>
                    <w:rPr>
                      <w:color w:val="auto"/>
                      <w:szCs w:val="21"/>
                      <w:vertAlign w:val="subscript"/>
                    </w:rPr>
                    <w:t>2</w:t>
                  </w:r>
                </w:p>
              </w:tc>
              <w:tc>
                <w:tcPr>
                  <w:tcW w:w="662" w:type="pct"/>
                  <w:tcBorders>
                    <w:tl2br w:val="nil"/>
                    <w:tr2bl w:val="nil"/>
                  </w:tcBorders>
                  <w:shd w:val="clear" w:color="auto" w:fill="auto"/>
                  <w:vAlign w:val="center"/>
                </w:tcPr>
                <w:p>
                  <w:pPr>
                    <w:widowControl/>
                    <w:jc w:val="center"/>
                    <w:textAlignment w:val="center"/>
                    <w:rPr>
                      <w:color w:val="auto"/>
                      <w:kern w:val="0"/>
                      <w:szCs w:val="21"/>
                      <w:lang w:bidi="ar"/>
                    </w:rPr>
                  </w:pPr>
                  <w:r>
                    <w:rPr>
                      <w:color w:val="auto"/>
                      <w:kern w:val="0"/>
                      <w:szCs w:val="21"/>
                      <w:lang w:bidi="ar"/>
                    </w:rPr>
                    <w:t>2.080</w:t>
                  </w:r>
                </w:p>
              </w:tc>
              <w:tc>
                <w:tcPr>
                  <w:tcW w:w="672" w:type="pct"/>
                  <w:tcBorders>
                    <w:tl2br w:val="nil"/>
                    <w:tr2bl w:val="nil"/>
                  </w:tcBorders>
                  <w:shd w:val="clear" w:color="auto" w:fill="auto"/>
                  <w:vAlign w:val="center"/>
                </w:tcPr>
                <w:p>
                  <w:pPr>
                    <w:widowControl/>
                    <w:jc w:val="center"/>
                    <w:textAlignment w:val="center"/>
                    <w:rPr>
                      <w:color w:val="auto"/>
                      <w:kern w:val="0"/>
                      <w:szCs w:val="21"/>
                      <w:lang w:bidi="ar"/>
                    </w:rPr>
                  </w:pPr>
                  <w:r>
                    <w:rPr>
                      <w:color w:val="auto"/>
                      <w:kern w:val="0"/>
                      <w:szCs w:val="21"/>
                      <w:lang w:bidi="ar"/>
                    </w:rPr>
                    <w:t>0.021</w:t>
                  </w:r>
                </w:p>
              </w:tc>
              <w:tc>
                <w:tcPr>
                  <w:tcW w:w="587" w:type="pct"/>
                  <w:tcBorders>
                    <w:tl2br w:val="nil"/>
                    <w:tr2bl w:val="nil"/>
                  </w:tcBorders>
                  <w:shd w:val="clear" w:color="auto" w:fill="auto"/>
                  <w:vAlign w:val="center"/>
                </w:tcPr>
                <w:p>
                  <w:pPr>
                    <w:widowControl/>
                    <w:jc w:val="center"/>
                    <w:textAlignment w:val="center"/>
                    <w:rPr>
                      <w:color w:val="auto"/>
                      <w:kern w:val="0"/>
                      <w:szCs w:val="21"/>
                      <w:lang w:bidi="ar"/>
                    </w:rPr>
                  </w:pPr>
                  <w:r>
                    <w:rPr>
                      <w:color w:val="auto"/>
                      <w:kern w:val="0"/>
                      <w:szCs w:val="21"/>
                      <w:lang w:bidi="ar"/>
                    </w:rPr>
                    <w:t>0.044</w:t>
                  </w:r>
                </w:p>
              </w:tc>
              <w:tc>
                <w:tcPr>
                  <w:tcW w:w="662" w:type="pct"/>
                  <w:tcBorders>
                    <w:tl2br w:val="nil"/>
                    <w:tr2bl w:val="nil"/>
                  </w:tcBorders>
                  <w:shd w:val="clear" w:color="auto" w:fill="auto"/>
                  <w:vAlign w:val="center"/>
                </w:tcPr>
                <w:p>
                  <w:pPr>
                    <w:widowControl/>
                    <w:jc w:val="center"/>
                    <w:textAlignment w:val="center"/>
                    <w:rPr>
                      <w:color w:val="auto"/>
                      <w:kern w:val="0"/>
                      <w:szCs w:val="21"/>
                      <w:lang w:bidi="ar"/>
                    </w:rPr>
                  </w:pPr>
                  <w:r>
                    <w:rPr>
                      <w:color w:val="auto"/>
                      <w:kern w:val="0"/>
                      <w:szCs w:val="21"/>
                      <w:lang w:bidi="ar"/>
                    </w:rPr>
                    <w:t>2.080</w:t>
                  </w:r>
                </w:p>
              </w:tc>
              <w:tc>
                <w:tcPr>
                  <w:tcW w:w="672" w:type="pct"/>
                  <w:tcBorders>
                    <w:tl2br w:val="nil"/>
                    <w:tr2bl w:val="nil"/>
                  </w:tcBorders>
                  <w:shd w:val="clear" w:color="auto" w:fill="auto"/>
                  <w:vAlign w:val="center"/>
                </w:tcPr>
                <w:p>
                  <w:pPr>
                    <w:widowControl/>
                    <w:jc w:val="center"/>
                    <w:textAlignment w:val="center"/>
                    <w:rPr>
                      <w:color w:val="auto"/>
                      <w:kern w:val="0"/>
                      <w:szCs w:val="21"/>
                      <w:lang w:bidi="ar"/>
                    </w:rPr>
                  </w:pPr>
                  <w:r>
                    <w:rPr>
                      <w:color w:val="auto"/>
                      <w:kern w:val="0"/>
                      <w:szCs w:val="21"/>
                      <w:lang w:bidi="ar"/>
                    </w:rPr>
                    <w:t>0.021</w:t>
                  </w:r>
                </w:p>
              </w:tc>
              <w:tc>
                <w:tcPr>
                  <w:tcW w:w="704" w:type="pct"/>
                  <w:tcBorders>
                    <w:tl2br w:val="nil"/>
                    <w:tr2bl w:val="nil"/>
                  </w:tcBorders>
                  <w:shd w:val="clear" w:color="auto" w:fill="auto"/>
                  <w:vAlign w:val="center"/>
                </w:tcPr>
                <w:p>
                  <w:pPr>
                    <w:widowControl/>
                    <w:jc w:val="center"/>
                    <w:textAlignment w:val="center"/>
                    <w:rPr>
                      <w:color w:val="auto"/>
                      <w:kern w:val="0"/>
                      <w:szCs w:val="21"/>
                      <w:lang w:bidi="ar"/>
                    </w:rPr>
                  </w:pPr>
                  <w:r>
                    <w:rPr>
                      <w:color w:val="auto"/>
                      <w:kern w:val="0"/>
                      <w:szCs w:val="21"/>
                      <w:lang w:bidi="ar"/>
                    </w:rPr>
                    <w:t>0.044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9" w:type="pct"/>
                  <w:vMerge w:val="continue"/>
                  <w:tcBorders>
                    <w:tl2br w:val="nil"/>
                    <w:tr2bl w:val="nil"/>
                  </w:tcBorders>
                  <w:shd w:val="clear" w:color="auto" w:fill="auto"/>
                  <w:vAlign w:val="center"/>
                </w:tcPr>
                <w:p>
                  <w:pPr>
                    <w:pStyle w:val="49"/>
                    <w:autoSpaceDE/>
                    <w:autoSpaceDN/>
                    <w:snapToGrid w:val="0"/>
                    <w:spacing w:line="240" w:lineRule="auto"/>
                    <w:ind w:firstLine="0" w:firstLineChars="0"/>
                    <w:jc w:val="center"/>
                    <w:rPr>
                      <w:rFonts w:eastAsiaTheme="minorEastAsia"/>
                      <w:color w:val="auto"/>
                      <w:spacing w:val="1"/>
                      <w:sz w:val="21"/>
                      <w:szCs w:val="21"/>
                    </w:rPr>
                  </w:pPr>
                </w:p>
              </w:tc>
              <w:tc>
                <w:tcPr>
                  <w:tcW w:w="580" w:type="pct"/>
                  <w:tcBorders>
                    <w:tl2br w:val="nil"/>
                    <w:tr2bl w:val="nil"/>
                  </w:tcBorders>
                  <w:shd w:val="clear" w:color="auto" w:fill="auto"/>
                  <w:vAlign w:val="center"/>
                </w:tcPr>
                <w:p>
                  <w:pPr>
                    <w:adjustRightInd w:val="0"/>
                    <w:snapToGrid w:val="0"/>
                    <w:spacing w:line="216" w:lineRule="auto"/>
                    <w:jc w:val="center"/>
                    <w:rPr>
                      <w:color w:val="auto"/>
                      <w:kern w:val="0"/>
                      <w:szCs w:val="21"/>
                      <w:lang w:bidi="ar"/>
                    </w:rPr>
                  </w:pPr>
                  <w:r>
                    <w:rPr>
                      <w:color w:val="auto"/>
                      <w:szCs w:val="21"/>
                    </w:rPr>
                    <w:t>NO</w:t>
                  </w:r>
                  <w:r>
                    <w:rPr>
                      <w:color w:val="auto"/>
                      <w:szCs w:val="21"/>
                      <w:vertAlign w:val="subscript"/>
                    </w:rPr>
                    <w:t>X</w:t>
                  </w:r>
                </w:p>
              </w:tc>
              <w:tc>
                <w:tcPr>
                  <w:tcW w:w="662" w:type="pct"/>
                  <w:tcBorders>
                    <w:tl2br w:val="nil"/>
                    <w:tr2bl w:val="nil"/>
                  </w:tcBorders>
                  <w:shd w:val="clear" w:color="auto" w:fill="auto"/>
                  <w:vAlign w:val="center"/>
                </w:tcPr>
                <w:p>
                  <w:pPr>
                    <w:widowControl/>
                    <w:jc w:val="center"/>
                    <w:textAlignment w:val="center"/>
                    <w:rPr>
                      <w:color w:val="auto"/>
                      <w:kern w:val="0"/>
                      <w:szCs w:val="21"/>
                      <w:lang w:bidi="ar"/>
                    </w:rPr>
                  </w:pPr>
                  <w:r>
                    <w:rPr>
                      <w:color w:val="auto"/>
                      <w:kern w:val="0"/>
                      <w:szCs w:val="21"/>
                      <w:lang w:bidi="ar"/>
                    </w:rPr>
                    <w:t>19.448</w:t>
                  </w:r>
                </w:p>
              </w:tc>
              <w:tc>
                <w:tcPr>
                  <w:tcW w:w="672" w:type="pct"/>
                  <w:tcBorders>
                    <w:tl2br w:val="nil"/>
                    <w:tr2bl w:val="nil"/>
                  </w:tcBorders>
                  <w:shd w:val="clear" w:color="auto" w:fill="auto"/>
                  <w:vAlign w:val="center"/>
                </w:tcPr>
                <w:p>
                  <w:pPr>
                    <w:widowControl/>
                    <w:jc w:val="center"/>
                    <w:textAlignment w:val="center"/>
                    <w:rPr>
                      <w:color w:val="auto"/>
                      <w:kern w:val="0"/>
                      <w:szCs w:val="21"/>
                      <w:lang w:bidi="ar"/>
                    </w:rPr>
                  </w:pPr>
                  <w:r>
                    <w:rPr>
                      <w:color w:val="auto"/>
                      <w:kern w:val="0"/>
                      <w:szCs w:val="21"/>
                      <w:lang w:bidi="ar"/>
                    </w:rPr>
                    <w:t>0.194</w:t>
                  </w:r>
                </w:p>
              </w:tc>
              <w:tc>
                <w:tcPr>
                  <w:tcW w:w="587" w:type="pct"/>
                  <w:tcBorders>
                    <w:tl2br w:val="nil"/>
                    <w:tr2bl w:val="nil"/>
                  </w:tcBorders>
                  <w:shd w:val="clear" w:color="auto" w:fill="auto"/>
                  <w:vAlign w:val="center"/>
                </w:tcPr>
                <w:p>
                  <w:pPr>
                    <w:widowControl/>
                    <w:jc w:val="center"/>
                    <w:textAlignment w:val="center"/>
                    <w:rPr>
                      <w:color w:val="auto"/>
                      <w:kern w:val="0"/>
                      <w:szCs w:val="21"/>
                      <w:lang w:bidi="ar"/>
                    </w:rPr>
                  </w:pPr>
                  <w:r>
                    <w:rPr>
                      <w:color w:val="auto"/>
                      <w:kern w:val="0"/>
                      <w:szCs w:val="21"/>
                      <w:lang w:bidi="ar"/>
                    </w:rPr>
                    <w:t>0.408</w:t>
                  </w:r>
                </w:p>
              </w:tc>
              <w:tc>
                <w:tcPr>
                  <w:tcW w:w="662" w:type="pct"/>
                  <w:tcBorders>
                    <w:tl2br w:val="nil"/>
                    <w:tr2bl w:val="nil"/>
                  </w:tcBorders>
                  <w:shd w:val="clear" w:color="auto" w:fill="auto"/>
                  <w:vAlign w:val="center"/>
                </w:tcPr>
                <w:p>
                  <w:pPr>
                    <w:widowControl/>
                    <w:jc w:val="center"/>
                    <w:textAlignment w:val="center"/>
                    <w:rPr>
                      <w:color w:val="auto"/>
                      <w:kern w:val="0"/>
                      <w:szCs w:val="21"/>
                      <w:lang w:bidi="ar"/>
                    </w:rPr>
                  </w:pPr>
                  <w:r>
                    <w:rPr>
                      <w:color w:val="auto"/>
                      <w:kern w:val="0"/>
                      <w:szCs w:val="21"/>
                      <w:lang w:bidi="ar"/>
                    </w:rPr>
                    <w:t>19.448</w:t>
                  </w:r>
                </w:p>
              </w:tc>
              <w:tc>
                <w:tcPr>
                  <w:tcW w:w="672" w:type="pct"/>
                  <w:tcBorders>
                    <w:tl2br w:val="nil"/>
                    <w:tr2bl w:val="nil"/>
                  </w:tcBorders>
                  <w:shd w:val="clear" w:color="auto" w:fill="auto"/>
                  <w:vAlign w:val="center"/>
                </w:tcPr>
                <w:p>
                  <w:pPr>
                    <w:widowControl/>
                    <w:jc w:val="center"/>
                    <w:textAlignment w:val="center"/>
                    <w:rPr>
                      <w:color w:val="auto"/>
                      <w:kern w:val="0"/>
                      <w:szCs w:val="21"/>
                      <w:lang w:bidi="ar"/>
                    </w:rPr>
                  </w:pPr>
                  <w:r>
                    <w:rPr>
                      <w:color w:val="auto"/>
                      <w:kern w:val="0"/>
                      <w:szCs w:val="21"/>
                      <w:lang w:bidi="ar"/>
                    </w:rPr>
                    <w:t>0.194</w:t>
                  </w:r>
                </w:p>
              </w:tc>
              <w:tc>
                <w:tcPr>
                  <w:tcW w:w="704" w:type="pct"/>
                  <w:tcBorders>
                    <w:tl2br w:val="nil"/>
                    <w:tr2bl w:val="nil"/>
                  </w:tcBorders>
                  <w:shd w:val="clear" w:color="auto" w:fill="auto"/>
                  <w:vAlign w:val="center"/>
                </w:tcPr>
                <w:p>
                  <w:pPr>
                    <w:widowControl/>
                    <w:jc w:val="center"/>
                    <w:textAlignment w:val="center"/>
                    <w:rPr>
                      <w:color w:val="auto"/>
                      <w:kern w:val="0"/>
                      <w:szCs w:val="21"/>
                      <w:lang w:bidi="ar"/>
                    </w:rPr>
                  </w:pPr>
                  <w:r>
                    <w:rPr>
                      <w:color w:val="auto"/>
                      <w:kern w:val="0"/>
                      <w:szCs w:val="21"/>
                      <w:lang w:bidi="ar"/>
                    </w:rPr>
                    <w:t>0.408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9" w:type="pct"/>
                  <w:vMerge w:val="continue"/>
                  <w:tcBorders>
                    <w:tl2br w:val="nil"/>
                    <w:tr2bl w:val="nil"/>
                  </w:tcBorders>
                  <w:shd w:val="clear" w:color="auto" w:fill="auto"/>
                  <w:vAlign w:val="center"/>
                </w:tcPr>
                <w:p>
                  <w:pPr>
                    <w:pStyle w:val="49"/>
                    <w:autoSpaceDE/>
                    <w:autoSpaceDN/>
                    <w:snapToGrid w:val="0"/>
                    <w:spacing w:line="240" w:lineRule="auto"/>
                    <w:ind w:firstLine="0" w:firstLineChars="0"/>
                    <w:jc w:val="center"/>
                    <w:rPr>
                      <w:rFonts w:eastAsiaTheme="minorEastAsia"/>
                      <w:color w:val="auto"/>
                      <w:spacing w:val="1"/>
                      <w:sz w:val="21"/>
                      <w:szCs w:val="21"/>
                    </w:rPr>
                  </w:pPr>
                </w:p>
              </w:tc>
              <w:tc>
                <w:tcPr>
                  <w:tcW w:w="580" w:type="pct"/>
                  <w:tcBorders>
                    <w:tl2br w:val="nil"/>
                    <w:tr2bl w:val="nil"/>
                  </w:tcBorders>
                  <w:shd w:val="clear" w:color="auto" w:fill="auto"/>
                  <w:vAlign w:val="center"/>
                </w:tcPr>
                <w:p>
                  <w:pPr>
                    <w:adjustRightInd w:val="0"/>
                    <w:snapToGrid w:val="0"/>
                    <w:spacing w:line="216" w:lineRule="auto"/>
                    <w:jc w:val="center"/>
                    <w:rPr>
                      <w:color w:val="auto"/>
                      <w:kern w:val="0"/>
                      <w:szCs w:val="21"/>
                      <w:lang w:bidi="ar"/>
                    </w:rPr>
                  </w:pPr>
                  <w:r>
                    <w:rPr>
                      <w:color w:val="auto"/>
                      <w:szCs w:val="21"/>
                    </w:rPr>
                    <w:t>颗粒物</w:t>
                  </w:r>
                </w:p>
              </w:tc>
              <w:tc>
                <w:tcPr>
                  <w:tcW w:w="662" w:type="pct"/>
                  <w:tcBorders>
                    <w:tl2br w:val="nil"/>
                    <w:tr2bl w:val="nil"/>
                  </w:tcBorders>
                  <w:shd w:val="clear" w:color="auto" w:fill="auto"/>
                  <w:vAlign w:val="center"/>
                </w:tcPr>
                <w:p>
                  <w:pPr>
                    <w:widowControl/>
                    <w:jc w:val="center"/>
                    <w:textAlignment w:val="center"/>
                    <w:rPr>
                      <w:color w:val="auto"/>
                      <w:kern w:val="0"/>
                      <w:szCs w:val="21"/>
                      <w:lang w:bidi="ar"/>
                    </w:rPr>
                  </w:pPr>
                  <w:r>
                    <w:rPr>
                      <w:color w:val="auto"/>
                      <w:kern w:val="0"/>
                      <w:szCs w:val="21"/>
                      <w:lang w:bidi="ar"/>
                    </w:rPr>
                    <w:t>2.974</w:t>
                  </w:r>
                </w:p>
              </w:tc>
              <w:tc>
                <w:tcPr>
                  <w:tcW w:w="672" w:type="pct"/>
                  <w:tcBorders>
                    <w:tl2br w:val="nil"/>
                    <w:tr2bl w:val="nil"/>
                  </w:tcBorders>
                  <w:shd w:val="clear" w:color="auto" w:fill="auto"/>
                  <w:vAlign w:val="center"/>
                </w:tcPr>
                <w:p>
                  <w:pPr>
                    <w:widowControl/>
                    <w:jc w:val="center"/>
                    <w:textAlignment w:val="center"/>
                    <w:rPr>
                      <w:color w:val="auto"/>
                      <w:kern w:val="0"/>
                      <w:szCs w:val="21"/>
                      <w:lang w:bidi="ar"/>
                    </w:rPr>
                  </w:pPr>
                  <w:r>
                    <w:rPr>
                      <w:color w:val="auto"/>
                      <w:kern w:val="0"/>
                      <w:szCs w:val="21"/>
                      <w:lang w:bidi="ar"/>
                    </w:rPr>
                    <w:t>0.030</w:t>
                  </w:r>
                </w:p>
              </w:tc>
              <w:tc>
                <w:tcPr>
                  <w:tcW w:w="587" w:type="pct"/>
                  <w:tcBorders>
                    <w:tl2br w:val="nil"/>
                    <w:tr2bl w:val="nil"/>
                  </w:tcBorders>
                  <w:shd w:val="clear" w:color="auto" w:fill="auto"/>
                  <w:vAlign w:val="center"/>
                </w:tcPr>
                <w:p>
                  <w:pPr>
                    <w:widowControl/>
                    <w:jc w:val="center"/>
                    <w:textAlignment w:val="center"/>
                    <w:rPr>
                      <w:color w:val="auto"/>
                      <w:kern w:val="0"/>
                      <w:szCs w:val="21"/>
                      <w:lang w:bidi="ar"/>
                    </w:rPr>
                  </w:pPr>
                  <w:r>
                    <w:rPr>
                      <w:color w:val="auto"/>
                      <w:kern w:val="0"/>
                      <w:szCs w:val="21"/>
                      <w:lang w:bidi="ar"/>
                    </w:rPr>
                    <w:t>0.062</w:t>
                  </w:r>
                </w:p>
              </w:tc>
              <w:tc>
                <w:tcPr>
                  <w:tcW w:w="662" w:type="pct"/>
                  <w:tcBorders>
                    <w:tl2br w:val="nil"/>
                    <w:tr2bl w:val="nil"/>
                  </w:tcBorders>
                  <w:shd w:val="clear" w:color="auto" w:fill="auto"/>
                  <w:vAlign w:val="center"/>
                </w:tcPr>
                <w:p>
                  <w:pPr>
                    <w:widowControl/>
                    <w:jc w:val="center"/>
                    <w:textAlignment w:val="center"/>
                    <w:rPr>
                      <w:color w:val="auto"/>
                      <w:kern w:val="0"/>
                      <w:szCs w:val="21"/>
                      <w:lang w:bidi="ar"/>
                    </w:rPr>
                  </w:pPr>
                  <w:r>
                    <w:rPr>
                      <w:color w:val="auto"/>
                      <w:kern w:val="0"/>
                      <w:szCs w:val="21"/>
                      <w:lang w:bidi="ar"/>
                    </w:rPr>
                    <w:t>2.974</w:t>
                  </w:r>
                </w:p>
              </w:tc>
              <w:tc>
                <w:tcPr>
                  <w:tcW w:w="672" w:type="pct"/>
                  <w:tcBorders>
                    <w:tl2br w:val="nil"/>
                    <w:tr2bl w:val="nil"/>
                  </w:tcBorders>
                  <w:shd w:val="clear" w:color="auto" w:fill="auto"/>
                  <w:vAlign w:val="center"/>
                </w:tcPr>
                <w:p>
                  <w:pPr>
                    <w:widowControl/>
                    <w:jc w:val="center"/>
                    <w:textAlignment w:val="center"/>
                    <w:rPr>
                      <w:color w:val="auto"/>
                      <w:kern w:val="0"/>
                      <w:szCs w:val="21"/>
                      <w:lang w:bidi="ar"/>
                    </w:rPr>
                  </w:pPr>
                  <w:r>
                    <w:rPr>
                      <w:color w:val="auto"/>
                      <w:kern w:val="0"/>
                      <w:szCs w:val="21"/>
                      <w:lang w:bidi="ar"/>
                    </w:rPr>
                    <w:t>0.030</w:t>
                  </w:r>
                </w:p>
              </w:tc>
              <w:tc>
                <w:tcPr>
                  <w:tcW w:w="704" w:type="pct"/>
                  <w:tcBorders>
                    <w:tl2br w:val="nil"/>
                    <w:tr2bl w:val="nil"/>
                  </w:tcBorders>
                  <w:shd w:val="clear" w:color="auto" w:fill="auto"/>
                  <w:vAlign w:val="center"/>
                </w:tcPr>
                <w:p>
                  <w:pPr>
                    <w:widowControl/>
                    <w:jc w:val="center"/>
                    <w:textAlignment w:val="center"/>
                    <w:rPr>
                      <w:color w:val="auto"/>
                      <w:kern w:val="0"/>
                      <w:szCs w:val="21"/>
                      <w:lang w:bidi="ar"/>
                    </w:rPr>
                  </w:pPr>
                  <w:r>
                    <w:rPr>
                      <w:color w:val="auto"/>
                      <w:kern w:val="0"/>
                      <w:szCs w:val="21"/>
                      <w:lang w:bidi="ar"/>
                    </w:rPr>
                    <w:t>0.062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9" w:type="pct"/>
                  <w:tcBorders>
                    <w:tl2br w:val="nil"/>
                    <w:tr2bl w:val="nil"/>
                  </w:tcBorders>
                  <w:shd w:val="clear" w:color="auto" w:fill="auto"/>
                  <w:vAlign w:val="center"/>
                </w:tcPr>
                <w:p>
                  <w:pPr>
                    <w:pStyle w:val="49"/>
                    <w:autoSpaceDE/>
                    <w:autoSpaceDN/>
                    <w:snapToGrid w:val="0"/>
                    <w:spacing w:line="240" w:lineRule="auto"/>
                    <w:ind w:firstLine="0" w:firstLineChars="0"/>
                    <w:jc w:val="center"/>
                    <w:rPr>
                      <w:rFonts w:eastAsiaTheme="minorEastAsia"/>
                      <w:color w:val="auto"/>
                      <w:spacing w:val="1"/>
                      <w:sz w:val="21"/>
                      <w:szCs w:val="21"/>
                    </w:rPr>
                  </w:pPr>
                  <w:r>
                    <w:rPr>
                      <w:rFonts w:hint="eastAsia" w:eastAsiaTheme="minorEastAsia"/>
                      <w:color w:val="auto"/>
                      <w:spacing w:val="1"/>
                      <w:sz w:val="21"/>
                      <w:szCs w:val="21"/>
                    </w:rPr>
                    <w:t>4</w:t>
                  </w:r>
                  <w:r>
                    <w:rPr>
                      <w:rFonts w:eastAsiaTheme="minorEastAsia"/>
                      <w:color w:val="auto"/>
                      <w:spacing w:val="1"/>
                      <w:sz w:val="21"/>
                      <w:szCs w:val="21"/>
                    </w:rPr>
                    <w:t>#排气筒</w:t>
                  </w:r>
                </w:p>
              </w:tc>
              <w:tc>
                <w:tcPr>
                  <w:tcW w:w="580" w:type="pct"/>
                  <w:tcBorders>
                    <w:tl2br w:val="nil"/>
                    <w:tr2bl w:val="nil"/>
                  </w:tcBorders>
                  <w:shd w:val="clear" w:color="auto" w:fill="auto"/>
                  <w:vAlign w:val="center"/>
                </w:tcPr>
                <w:p>
                  <w:pPr>
                    <w:adjustRightInd w:val="0"/>
                    <w:snapToGrid w:val="0"/>
                    <w:spacing w:line="216" w:lineRule="auto"/>
                    <w:jc w:val="center"/>
                    <w:rPr>
                      <w:color w:val="auto"/>
                      <w:kern w:val="0"/>
                      <w:szCs w:val="21"/>
                      <w:lang w:bidi="ar"/>
                    </w:rPr>
                  </w:pPr>
                  <w:r>
                    <w:rPr>
                      <w:color w:val="auto"/>
                      <w:kern w:val="0"/>
                      <w:szCs w:val="21"/>
                      <w:lang w:bidi="ar"/>
                    </w:rPr>
                    <w:t>非甲烷</w:t>
                  </w:r>
                </w:p>
                <w:p>
                  <w:pPr>
                    <w:adjustRightInd w:val="0"/>
                    <w:snapToGrid w:val="0"/>
                    <w:jc w:val="center"/>
                    <w:rPr>
                      <w:rFonts w:eastAsiaTheme="minorEastAsia"/>
                      <w:color w:val="auto"/>
                      <w:kern w:val="0"/>
                      <w:szCs w:val="21"/>
                    </w:rPr>
                  </w:pPr>
                  <w:r>
                    <w:rPr>
                      <w:color w:val="auto"/>
                      <w:kern w:val="0"/>
                      <w:szCs w:val="21"/>
                      <w:lang w:bidi="ar"/>
                    </w:rPr>
                    <w:t>总烃</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color w:val="auto"/>
                      <w:kern w:val="0"/>
                      <w:szCs w:val="21"/>
                      <w:lang w:bidi="ar"/>
                    </w:rPr>
                  </w:pPr>
                  <w:r>
                    <w:rPr>
                      <w:rFonts w:hint="eastAsia" w:cs="Times New Roman"/>
                      <w:i w:val="0"/>
                      <w:iCs w:val="0"/>
                      <w:color w:val="auto"/>
                      <w:kern w:val="0"/>
                      <w:sz w:val="21"/>
                      <w:szCs w:val="21"/>
                      <w:u w:val="none"/>
                      <w:lang w:val="en-US" w:eastAsia="zh-CN" w:bidi="ar"/>
                    </w:rPr>
                    <w:t>6.249</w:t>
                  </w:r>
                </w:p>
              </w:tc>
              <w:tc>
                <w:tcPr>
                  <w:tcW w:w="1096" w:type="dxa"/>
                  <w:tcBorders>
                    <w:tl2br w:val="nil"/>
                    <w:tr2bl w:val="nil"/>
                  </w:tcBorders>
                  <w:shd w:val="clear" w:color="auto" w:fill="auto"/>
                  <w:vAlign w:val="center"/>
                </w:tcPr>
                <w:p>
                  <w:pPr>
                    <w:keepNext w:val="0"/>
                    <w:keepLines w:val="0"/>
                    <w:widowControl/>
                    <w:suppressLineNumbers w:val="0"/>
                    <w:jc w:val="center"/>
                    <w:textAlignment w:val="center"/>
                    <w:rPr>
                      <w:color w:val="auto"/>
                      <w:kern w:val="0"/>
                      <w:szCs w:val="21"/>
                      <w:lang w:bidi="ar"/>
                    </w:rPr>
                  </w:pPr>
                  <w:r>
                    <w:rPr>
                      <w:rFonts w:hint="default" w:ascii="Times New Roman" w:hAnsi="Times New Roman" w:eastAsia="宋体" w:cs="Times New Roman"/>
                      <w:i w:val="0"/>
                      <w:iCs w:val="0"/>
                      <w:color w:val="auto"/>
                      <w:kern w:val="0"/>
                      <w:sz w:val="21"/>
                      <w:szCs w:val="21"/>
                      <w:u w:val="none"/>
                      <w:lang w:val="en-US" w:eastAsia="zh-CN" w:bidi="ar"/>
                    </w:rPr>
                    <w:t>0.062</w:t>
                  </w:r>
                </w:p>
              </w:tc>
              <w:tc>
                <w:tcPr>
                  <w:tcW w:w="958" w:type="dxa"/>
                  <w:tcBorders>
                    <w:tl2br w:val="nil"/>
                    <w:tr2bl w:val="nil"/>
                  </w:tcBorders>
                  <w:shd w:val="clear" w:color="auto" w:fill="auto"/>
                  <w:vAlign w:val="center"/>
                </w:tcPr>
                <w:p>
                  <w:pPr>
                    <w:keepNext w:val="0"/>
                    <w:keepLines w:val="0"/>
                    <w:widowControl/>
                    <w:suppressLineNumbers w:val="0"/>
                    <w:jc w:val="center"/>
                    <w:textAlignment w:val="center"/>
                    <w:rPr>
                      <w:color w:val="auto"/>
                      <w:kern w:val="0"/>
                      <w:szCs w:val="21"/>
                      <w:lang w:bidi="ar"/>
                    </w:rPr>
                  </w:pPr>
                  <w:r>
                    <w:rPr>
                      <w:rFonts w:hint="default" w:ascii="Times New Roman" w:hAnsi="Times New Roman" w:eastAsia="宋体" w:cs="Times New Roman"/>
                      <w:i w:val="0"/>
                      <w:iCs w:val="0"/>
                      <w:color w:val="auto"/>
                      <w:kern w:val="0"/>
                      <w:sz w:val="21"/>
                      <w:szCs w:val="21"/>
                      <w:u w:val="none"/>
                      <w:lang w:val="en-US" w:eastAsia="zh-CN" w:bidi="ar"/>
                    </w:rPr>
                    <w:t>0.131</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color w:val="auto"/>
                      <w:kern w:val="0"/>
                      <w:szCs w:val="21"/>
                      <w:lang w:bidi="ar"/>
                    </w:rPr>
                  </w:pPr>
                  <w:r>
                    <w:rPr>
                      <w:rFonts w:hint="eastAsia" w:cs="Times New Roman"/>
                      <w:i w:val="0"/>
                      <w:iCs w:val="0"/>
                      <w:color w:val="auto"/>
                      <w:kern w:val="0"/>
                      <w:sz w:val="21"/>
                      <w:szCs w:val="21"/>
                      <w:u w:val="none"/>
                      <w:lang w:val="en-US" w:eastAsia="zh-CN" w:bidi="ar"/>
                    </w:rPr>
                    <w:t>6.249</w:t>
                  </w:r>
                </w:p>
              </w:tc>
              <w:tc>
                <w:tcPr>
                  <w:tcW w:w="1096" w:type="dxa"/>
                  <w:tcBorders>
                    <w:tl2br w:val="nil"/>
                    <w:tr2bl w:val="nil"/>
                  </w:tcBorders>
                  <w:shd w:val="clear" w:color="auto" w:fill="auto"/>
                  <w:vAlign w:val="center"/>
                </w:tcPr>
                <w:p>
                  <w:pPr>
                    <w:keepNext w:val="0"/>
                    <w:keepLines w:val="0"/>
                    <w:widowControl/>
                    <w:suppressLineNumbers w:val="0"/>
                    <w:jc w:val="center"/>
                    <w:textAlignment w:val="center"/>
                    <w:rPr>
                      <w:color w:val="auto"/>
                      <w:kern w:val="0"/>
                      <w:szCs w:val="21"/>
                      <w:lang w:bidi="ar"/>
                    </w:rPr>
                  </w:pPr>
                  <w:r>
                    <w:rPr>
                      <w:rFonts w:hint="default" w:ascii="Times New Roman" w:hAnsi="Times New Roman" w:eastAsia="宋体" w:cs="Times New Roman"/>
                      <w:i w:val="0"/>
                      <w:iCs w:val="0"/>
                      <w:color w:val="auto"/>
                      <w:kern w:val="0"/>
                      <w:sz w:val="21"/>
                      <w:szCs w:val="21"/>
                      <w:u w:val="none"/>
                      <w:lang w:val="en-US" w:eastAsia="zh-CN" w:bidi="ar"/>
                    </w:rPr>
                    <w:t>0.062</w:t>
                  </w:r>
                </w:p>
              </w:tc>
              <w:tc>
                <w:tcPr>
                  <w:tcW w:w="1149" w:type="dxa"/>
                  <w:tcBorders>
                    <w:tl2br w:val="nil"/>
                    <w:tr2bl w:val="nil"/>
                  </w:tcBorders>
                  <w:shd w:val="clear" w:color="auto" w:fill="auto"/>
                  <w:vAlign w:val="center"/>
                </w:tcPr>
                <w:p>
                  <w:pPr>
                    <w:keepNext w:val="0"/>
                    <w:keepLines w:val="0"/>
                    <w:widowControl/>
                    <w:suppressLineNumbers w:val="0"/>
                    <w:jc w:val="center"/>
                    <w:textAlignment w:val="center"/>
                    <w:rPr>
                      <w:color w:val="auto"/>
                      <w:kern w:val="0"/>
                      <w:szCs w:val="21"/>
                      <w:lang w:bidi="ar"/>
                    </w:rPr>
                  </w:pPr>
                  <w:r>
                    <w:rPr>
                      <w:rFonts w:hint="default" w:ascii="Times New Roman" w:hAnsi="Times New Roman" w:eastAsia="宋体" w:cs="Times New Roman"/>
                      <w:i w:val="0"/>
                      <w:iCs w:val="0"/>
                      <w:color w:val="auto"/>
                      <w:kern w:val="0"/>
                      <w:sz w:val="21"/>
                      <w:szCs w:val="21"/>
                      <w:u w:val="none"/>
                      <w:lang w:val="en-US" w:eastAsia="zh-CN" w:bidi="ar"/>
                    </w:rPr>
                    <w:t>0.131</w:t>
                  </w:r>
                </w:p>
              </w:tc>
            </w:tr>
          </w:tbl>
          <w:p>
            <w:pPr>
              <w:spacing w:line="360" w:lineRule="auto"/>
              <w:ind w:firstLine="480" w:firstLineChars="200"/>
              <w:rPr>
                <w:color w:val="auto"/>
              </w:rPr>
            </w:pPr>
            <w:r>
              <w:rPr>
                <w:rFonts w:hint="eastAsia" w:eastAsiaTheme="minorEastAsia"/>
                <w:color w:val="auto"/>
                <w:sz w:val="24"/>
              </w:rPr>
              <w:t>由表4.7分析</w:t>
            </w:r>
            <w:r>
              <w:rPr>
                <w:rFonts w:eastAsiaTheme="minorEastAsia"/>
                <w:color w:val="auto"/>
                <w:sz w:val="24"/>
              </w:rPr>
              <w:t>可知，</w:t>
            </w:r>
            <w:r>
              <w:rPr>
                <w:rFonts w:hint="eastAsia" w:eastAsiaTheme="minorEastAsia"/>
                <w:color w:val="auto"/>
                <w:sz w:val="24"/>
              </w:rPr>
              <w:t>当</w:t>
            </w:r>
            <w:r>
              <w:rPr>
                <w:rFonts w:eastAsiaTheme="minorEastAsia"/>
                <w:color w:val="auto"/>
                <w:sz w:val="24"/>
              </w:rPr>
              <w:t>废气处理设施</w:t>
            </w:r>
            <w:r>
              <w:rPr>
                <w:rFonts w:hint="eastAsia" w:eastAsiaTheme="minorEastAsia"/>
                <w:color w:val="auto"/>
                <w:sz w:val="24"/>
              </w:rPr>
              <w:t>失效时</w:t>
            </w:r>
            <w:r>
              <w:rPr>
                <w:rFonts w:eastAsiaTheme="minorEastAsia"/>
                <w:color w:val="auto"/>
                <w:sz w:val="24"/>
              </w:rPr>
              <w:t>，</w:t>
            </w:r>
            <w:r>
              <w:rPr>
                <w:rFonts w:hint="eastAsia" w:eastAsiaTheme="minorEastAsia"/>
                <w:color w:val="auto"/>
                <w:sz w:val="24"/>
              </w:rPr>
              <w:t>3</w:t>
            </w:r>
            <w:r>
              <w:rPr>
                <w:rFonts w:eastAsiaTheme="minorEastAsia"/>
                <w:color w:val="auto"/>
                <w:sz w:val="24"/>
              </w:rPr>
              <w:t>#排气筒</w:t>
            </w:r>
            <w:r>
              <w:rPr>
                <w:rFonts w:hint="eastAsia" w:eastAsiaTheme="minorEastAsia"/>
                <w:color w:val="auto"/>
                <w:sz w:val="24"/>
              </w:rPr>
              <w:t>非甲烷总烃</w:t>
            </w:r>
            <w:r>
              <w:rPr>
                <w:rFonts w:eastAsiaTheme="minorEastAsia"/>
                <w:color w:val="auto"/>
                <w:sz w:val="24"/>
              </w:rPr>
              <w:t>排放浓度</w:t>
            </w:r>
            <w:r>
              <w:rPr>
                <w:rFonts w:hint="eastAsia" w:eastAsiaTheme="minorEastAsia"/>
                <w:color w:val="auto"/>
                <w:sz w:val="24"/>
              </w:rPr>
              <w:t>较高，不满足</w:t>
            </w:r>
            <w:r>
              <w:rPr>
                <w:color w:val="auto"/>
                <w:sz w:val="24"/>
              </w:rPr>
              <w:t>《大气污染物综合排放标准》(DB50/418－2016)</w:t>
            </w:r>
            <w:r>
              <w:rPr>
                <w:rFonts w:eastAsiaTheme="minorEastAsia"/>
                <w:snapToGrid w:val="0"/>
                <w:color w:val="auto"/>
                <w:sz w:val="24"/>
              </w:rPr>
              <w:t>。因此</w:t>
            </w:r>
            <w:r>
              <w:rPr>
                <w:rFonts w:hint="eastAsia" w:eastAsiaTheme="minorEastAsia"/>
                <w:snapToGrid w:val="0"/>
                <w:color w:val="auto"/>
                <w:sz w:val="24"/>
              </w:rPr>
              <w:t>企业</w:t>
            </w:r>
            <w:r>
              <w:rPr>
                <w:rFonts w:eastAsiaTheme="minorEastAsia"/>
                <w:snapToGrid w:val="0"/>
                <w:color w:val="auto"/>
                <w:sz w:val="24"/>
              </w:rPr>
              <w:t>需加强</w:t>
            </w:r>
            <w:r>
              <w:rPr>
                <w:rFonts w:hint="eastAsia" w:eastAsiaTheme="minorEastAsia"/>
                <w:snapToGrid w:val="0"/>
                <w:color w:val="auto"/>
                <w:sz w:val="24"/>
              </w:rPr>
              <w:t>废气治理</w:t>
            </w:r>
            <w:r>
              <w:rPr>
                <w:rFonts w:eastAsiaTheme="minorEastAsia"/>
                <w:snapToGrid w:val="0"/>
                <w:color w:val="auto"/>
                <w:sz w:val="24"/>
              </w:rPr>
              <w:t>措施的运行管理，尽量避免非正常排放</w:t>
            </w:r>
            <w:r>
              <w:rPr>
                <w:rFonts w:hint="eastAsia" w:eastAsiaTheme="minorEastAsia"/>
                <w:snapToGrid w:val="0"/>
                <w:color w:val="auto"/>
                <w:sz w:val="24"/>
              </w:rPr>
              <w:t>。</w:t>
            </w:r>
          </w:p>
          <w:p>
            <w:pPr>
              <w:pStyle w:val="2"/>
              <w:rPr>
                <w:rFonts w:ascii="Times New Roman" w:cs="Times New Roman"/>
                <w:b/>
                <w:bCs/>
                <w:color w:val="auto"/>
              </w:rPr>
            </w:pPr>
            <w:r>
              <w:rPr>
                <w:rFonts w:ascii="Times New Roman" w:cs="Times New Roman"/>
                <w:b/>
                <w:bCs/>
                <w:color w:val="auto"/>
              </w:rPr>
              <w:t>2.废水</w:t>
            </w:r>
          </w:p>
          <w:p>
            <w:pPr>
              <w:pStyle w:val="2"/>
              <w:snapToGrid w:val="0"/>
              <w:ind w:firstLine="480" w:firstLineChars="200"/>
              <w:rPr>
                <w:rFonts w:ascii="Times New Roman" w:cs="Times New Roman"/>
                <w:color w:val="auto"/>
              </w:rPr>
            </w:pPr>
            <w:r>
              <w:rPr>
                <w:rFonts w:ascii="Times New Roman" w:cs="Times New Roman"/>
                <w:color w:val="auto"/>
              </w:rPr>
              <w:t>（</w:t>
            </w:r>
            <w:r>
              <w:rPr>
                <w:rFonts w:hint="eastAsia" w:ascii="Times New Roman" w:cs="Times New Roman"/>
                <w:color w:val="auto"/>
              </w:rPr>
              <w:t>1</w:t>
            </w:r>
            <w:r>
              <w:rPr>
                <w:rFonts w:ascii="Times New Roman" w:cs="Times New Roman"/>
                <w:color w:val="auto"/>
              </w:rPr>
              <w:t>）水污染物产排量核算</w:t>
            </w:r>
          </w:p>
          <w:p>
            <w:pPr>
              <w:pStyle w:val="2"/>
              <w:snapToGrid w:val="0"/>
              <w:ind w:firstLine="480" w:firstLineChars="200"/>
              <w:rPr>
                <w:color w:val="auto"/>
                <w:sz w:val="21"/>
                <w:szCs w:val="21"/>
              </w:rPr>
            </w:pPr>
            <w:r>
              <w:rPr>
                <w:rFonts w:hint="eastAsia" w:ascii="Times New Roman" w:cs="Times New Roman"/>
                <w:color w:val="auto"/>
                <w:lang w:eastAsia="zh-CN"/>
              </w:rPr>
              <w:t>扩建项目</w:t>
            </w:r>
            <w:r>
              <w:rPr>
                <w:rFonts w:ascii="Times New Roman" w:cs="Times New Roman"/>
                <w:color w:val="auto"/>
              </w:rPr>
              <w:t>废水主要为生活污水</w:t>
            </w:r>
            <w:r>
              <w:rPr>
                <w:rFonts w:hint="eastAsia" w:ascii="Times New Roman" w:cs="Times New Roman"/>
                <w:color w:val="auto"/>
              </w:rPr>
              <w:t>、食堂废水。</w:t>
            </w:r>
            <w:r>
              <w:rPr>
                <w:rFonts w:hint="eastAsia" w:cs="Times New Roman"/>
                <w:color w:val="auto"/>
              </w:rPr>
              <w:t>根据《排放源统计调查产排污核算方法和系数手册》</w:t>
            </w:r>
            <w:r>
              <w:rPr>
                <w:rFonts w:ascii="Times New Roman" w:cs="Times New Roman" w:eastAsiaTheme="minorEastAsia"/>
                <w:bCs/>
                <w:color w:val="auto"/>
              </w:rPr>
              <w:t>（生态环境部公告2021年第24号）</w:t>
            </w:r>
            <w:r>
              <w:rPr>
                <w:rFonts w:hint="eastAsia" w:ascii="Times New Roman" w:cs="Times New Roman"/>
                <w:color w:val="auto"/>
              </w:rPr>
              <w:t>及表2.3分析可知，</w:t>
            </w:r>
            <w:r>
              <w:rPr>
                <w:rFonts w:hint="eastAsia" w:ascii="Times New Roman" w:cs="Times New Roman"/>
                <w:color w:val="auto"/>
                <w:lang w:eastAsia="zh-CN"/>
              </w:rPr>
              <w:t>扩建项目</w:t>
            </w:r>
            <w:r>
              <w:rPr>
                <w:rFonts w:ascii="Times New Roman" w:cs="Times New Roman"/>
                <w:color w:val="auto"/>
              </w:rPr>
              <w:t>活污水产生量为</w:t>
            </w:r>
            <w:r>
              <w:rPr>
                <w:rFonts w:hint="eastAsia" w:ascii="Times New Roman" w:cs="Times New Roman"/>
                <w:color w:val="auto"/>
              </w:rPr>
              <w:t>0.594</w:t>
            </w:r>
            <w:r>
              <w:rPr>
                <w:rFonts w:ascii="Times New Roman" w:cs="Times New Roman"/>
                <w:color w:val="auto"/>
              </w:rPr>
              <w:t>m</w:t>
            </w:r>
            <w:r>
              <w:rPr>
                <w:rFonts w:ascii="Times New Roman" w:cs="Times New Roman"/>
                <w:color w:val="auto"/>
                <w:vertAlign w:val="superscript"/>
              </w:rPr>
              <w:t>3</w:t>
            </w:r>
            <w:r>
              <w:rPr>
                <w:rFonts w:ascii="Times New Roman" w:cs="Times New Roman"/>
                <w:color w:val="auto"/>
              </w:rPr>
              <w:t>/d，即</w:t>
            </w:r>
            <w:r>
              <w:rPr>
                <w:rFonts w:hint="eastAsia" w:ascii="Times New Roman" w:cs="Times New Roman"/>
                <w:color w:val="auto"/>
              </w:rPr>
              <w:t>178</w:t>
            </w:r>
            <w:r>
              <w:rPr>
                <w:rFonts w:ascii="Times New Roman" w:cs="Times New Roman"/>
                <w:color w:val="auto"/>
              </w:rPr>
              <w:t>m</w:t>
            </w:r>
            <w:r>
              <w:rPr>
                <w:rFonts w:ascii="Times New Roman" w:cs="Times New Roman"/>
                <w:color w:val="auto"/>
                <w:vertAlign w:val="superscript"/>
              </w:rPr>
              <w:t>3</w:t>
            </w:r>
            <w:r>
              <w:rPr>
                <w:rFonts w:ascii="Times New Roman" w:cs="Times New Roman"/>
                <w:color w:val="auto"/>
              </w:rPr>
              <w:t>/a</w:t>
            </w:r>
            <w:r>
              <w:rPr>
                <w:rFonts w:hint="eastAsia" w:ascii="Times New Roman" w:cs="Times New Roman"/>
                <w:color w:val="auto"/>
              </w:rPr>
              <w:t>；食堂废水产生量为0.1</w:t>
            </w:r>
            <w:r>
              <w:rPr>
                <w:rFonts w:hint="eastAsia" w:ascii="Times New Roman" w:cs="Times New Roman"/>
                <w:color w:val="auto"/>
                <w:lang w:val="en-US" w:eastAsia="zh-CN"/>
              </w:rPr>
              <w:t>66</w:t>
            </w:r>
            <w:r>
              <w:rPr>
                <w:rFonts w:hint="eastAsia" w:ascii="Times New Roman" w:cs="Times New Roman"/>
                <w:color w:val="auto"/>
              </w:rPr>
              <w:t>m</w:t>
            </w:r>
            <w:r>
              <w:rPr>
                <w:rFonts w:hint="eastAsia" w:ascii="Times New Roman" w:cs="Times New Roman"/>
                <w:color w:val="auto"/>
                <w:vertAlign w:val="superscript"/>
              </w:rPr>
              <w:t>3</w:t>
            </w:r>
            <w:r>
              <w:rPr>
                <w:rFonts w:hint="eastAsia" w:ascii="Times New Roman" w:cs="Times New Roman"/>
                <w:color w:val="auto"/>
              </w:rPr>
              <w:t>/d，即</w:t>
            </w:r>
            <w:r>
              <w:rPr>
                <w:rFonts w:hint="eastAsia" w:ascii="Times New Roman" w:cs="Times New Roman"/>
                <w:color w:val="auto"/>
                <w:lang w:val="en-US" w:eastAsia="zh-CN"/>
              </w:rPr>
              <w:t>50</w:t>
            </w:r>
            <w:r>
              <w:rPr>
                <w:rFonts w:hint="eastAsia" w:ascii="Times New Roman" w:cs="Times New Roman"/>
                <w:color w:val="auto"/>
              </w:rPr>
              <w:t>m</w:t>
            </w:r>
            <w:r>
              <w:rPr>
                <w:rFonts w:hint="eastAsia" w:ascii="Times New Roman" w:cs="Times New Roman"/>
                <w:color w:val="auto"/>
                <w:vertAlign w:val="superscript"/>
              </w:rPr>
              <w:t>3</w:t>
            </w:r>
            <w:r>
              <w:rPr>
                <w:rFonts w:hint="eastAsia" w:ascii="Times New Roman" w:cs="Times New Roman"/>
                <w:color w:val="auto"/>
              </w:rPr>
              <w:t>/a，</w:t>
            </w:r>
            <w:r>
              <w:rPr>
                <w:rFonts w:ascii="Times New Roman" w:cs="Times New Roman"/>
                <w:color w:val="auto"/>
              </w:rPr>
              <w:t>其主要污染物为COD、BOD</w:t>
            </w:r>
            <w:r>
              <w:rPr>
                <w:rFonts w:ascii="Times New Roman" w:cs="Times New Roman"/>
                <w:color w:val="auto"/>
                <w:vertAlign w:val="subscript"/>
              </w:rPr>
              <w:t>5</w:t>
            </w:r>
            <w:r>
              <w:rPr>
                <w:rFonts w:ascii="Times New Roman" w:cs="Times New Roman"/>
                <w:color w:val="auto"/>
              </w:rPr>
              <w:t>、SS、氨氮、</w:t>
            </w:r>
            <w:r>
              <w:rPr>
                <w:rFonts w:hint="eastAsia" w:ascii="Times New Roman" w:cs="Times New Roman"/>
                <w:color w:val="auto"/>
              </w:rPr>
              <w:t>动植物油</w:t>
            </w:r>
            <w:r>
              <w:rPr>
                <w:rFonts w:ascii="Times New Roman" w:cs="Times New Roman"/>
                <w:color w:val="auto"/>
              </w:rPr>
              <w:t>，其水污染物核算见表4.</w:t>
            </w:r>
            <w:r>
              <w:rPr>
                <w:rFonts w:hint="eastAsia" w:ascii="Times New Roman" w:cs="Times New Roman"/>
                <w:color w:val="auto"/>
              </w:rPr>
              <w:t>8</w:t>
            </w:r>
            <w:r>
              <w:rPr>
                <w:rFonts w:ascii="Times New Roman" w:cs="Times New Roman"/>
                <w:color w:val="auto"/>
              </w:rPr>
              <w:t>。</w:t>
            </w:r>
          </w:p>
          <w:p>
            <w:pPr>
              <w:adjustRightInd w:val="0"/>
              <w:snapToGrid w:val="0"/>
              <w:spacing w:line="360" w:lineRule="auto"/>
              <w:jc w:val="center"/>
              <w:rPr>
                <w:color w:val="auto"/>
                <w:sz w:val="21"/>
                <w:szCs w:val="21"/>
              </w:rPr>
            </w:pPr>
            <w:r>
              <w:rPr>
                <w:color w:val="auto"/>
                <w:sz w:val="21"/>
                <w:szCs w:val="21"/>
              </w:rPr>
              <w:t>表4.</w:t>
            </w:r>
            <w:r>
              <w:rPr>
                <w:rFonts w:hint="eastAsia"/>
                <w:color w:val="auto"/>
                <w:sz w:val="21"/>
                <w:szCs w:val="21"/>
              </w:rPr>
              <w:t>8</w:t>
            </w:r>
            <w:r>
              <w:rPr>
                <w:color w:val="auto"/>
                <w:sz w:val="21"/>
                <w:szCs w:val="21"/>
              </w:rPr>
              <w:t xml:space="preserve"> 水污染物核算一览表</w:t>
            </w:r>
          </w:p>
          <w:tbl>
            <w:tblPr>
              <w:tblStyle w:val="22"/>
              <w:tblW w:w="4998" w:type="pct"/>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707"/>
              <w:gridCol w:w="977"/>
              <w:gridCol w:w="982"/>
              <w:gridCol w:w="1262"/>
              <w:gridCol w:w="980"/>
              <w:gridCol w:w="1262"/>
              <w:gridCol w:w="981"/>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047" w:type="pct"/>
                  <w:vMerge w:val="restart"/>
                  <w:tcBorders>
                    <w:tl2br w:val="nil"/>
                    <w:tr2bl w:val="nil"/>
                  </w:tcBorders>
                  <w:vAlign w:val="center"/>
                </w:tcPr>
                <w:p>
                  <w:pPr>
                    <w:widowControl/>
                    <w:spacing w:line="216" w:lineRule="auto"/>
                    <w:jc w:val="center"/>
                    <w:rPr>
                      <w:color w:val="auto"/>
                    </w:rPr>
                  </w:pPr>
                  <w:r>
                    <w:rPr>
                      <w:rFonts w:hint="eastAsia"/>
                      <w:color w:val="auto"/>
                    </w:rPr>
                    <w:t>污染物</w:t>
                  </w:r>
                </w:p>
              </w:tc>
              <w:tc>
                <w:tcPr>
                  <w:tcW w:w="1201" w:type="pct"/>
                  <w:gridSpan w:val="2"/>
                  <w:tcBorders>
                    <w:tl2br w:val="nil"/>
                    <w:tr2bl w:val="nil"/>
                  </w:tcBorders>
                  <w:vAlign w:val="center"/>
                </w:tcPr>
                <w:p>
                  <w:pPr>
                    <w:widowControl/>
                    <w:spacing w:line="216" w:lineRule="auto"/>
                    <w:jc w:val="center"/>
                    <w:rPr>
                      <w:color w:val="auto"/>
                    </w:rPr>
                  </w:pPr>
                  <w:r>
                    <w:rPr>
                      <w:rFonts w:hint="eastAsia"/>
                      <w:color w:val="auto"/>
                    </w:rPr>
                    <w:t>产生量</w:t>
                  </w:r>
                </w:p>
              </w:tc>
              <w:tc>
                <w:tcPr>
                  <w:tcW w:w="1375" w:type="pct"/>
                  <w:gridSpan w:val="2"/>
                  <w:tcBorders>
                    <w:tl2br w:val="nil"/>
                    <w:tr2bl w:val="nil"/>
                  </w:tcBorders>
                  <w:vAlign w:val="center"/>
                </w:tcPr>
                <w:p>
                  <w:pPr>
                    <w:spacing w:line="216" w:lineRule="auto"/>
                    <w:jc w:val="center"/>
                    <w:rPr>
                      <w:color w:val="auto"/>
                    </w:rPr>
                  </w:pPr>
                  <w:r>
                    <w:rPr>
                      <w:rFonts w:hint="eastAsia"/>
                      <w:color w:val="auto"/>
                    </w:rPr>
                    <w:t>三级标准</w:t>
                  </w:r>
                </w:p>
              </w:tc>
              <w:tc>
                <w:tcPr>
                  <w:tcW w:w="1375" w:type="pct"/>
                  <w:gridSpan w:val="2"/>
                  <w:tcBorders>
                    <w:tl2br w:val="nil"/>
                    <w:tr2bl w:val="nil"/>
                  </w:tcBorders>
                  <w:vAlign w:val="center"/>
                </w:tcPr>
                <w:p>
                  <w:pPr>
                    <w:spacing w:line="216" w:lineRule="auto"/>
                    <w:jc w:val="center"/>
                    <w:rPr>
                      <w:color w:val="auto"/>
                    </w:rPr>
                  </w:pPr>
                  <w:r>
                    <w:rPr>
                      <w:rFonts w:hint="eastAsia"/>
                      <w:color w:val="auto"/>
                    </w:rPr>
                    <w:t>一级B标</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00" w:hRule="exact"/>
                <w:jc w:val="center"/>
              </w:trPr>
              <w:tc>
                <w:tcPr>
                  <w:tcW w:w="1047" w:type="pct"/>
                  <w:vMerge w:val="continue"/>
                  <w:tcBorders>
                    <w:tl2br w:val="nil"/>
                    <w:tr2bl w:val="nil"/>
                  </w:tcBorders>
                  <w:vAlign w:val="center"/>
                </w:tcPr>
                <w:p>
                  <w:pPr>
                    <w:widowControl/>
                    <w:jc w:val="left"/>
                    <w:rPr>
                      <w:color w:val="auto"/>
                    </w:rPr>
                  </w:pPr>
                </w:p>
              </w:tc>
              <w:tc>
                <w:tcPr>
                  <w:tcW w:w="599" w:type="pct"/>
                  <w:tcBorders>
                    <w:tl2br w:val="nil"/>
                    <w:tr2bl w:val="nil"/>
                  </w:tcBorders>
                  <w:vAlign w:val="center"/>
                </w:tcPr>
                <w:p>
                  <w:pPr>
                    <w:widowControl/>
                    <w:spacing w:line="216" w:lineRule="auto"/>
                    <w:jc w:val="center"/>
                    <w:rPr>
                      <w:color w:val="auto"/>
                      <w:szCs w:val="21"/>
                    </w:rPr>
                  </w:pPr>
                  <w:r>
                    <w:rPr>
                      <w:color w:val="auto"/>
                      <w:szCs w:val="21"/>
                    </w:rPr>
                    <w:t>产生浓</w:t>
                  </w:r>
                </w:p>
                <w:p>
                  <w:pPr>
                    <w:widowControl/>
                    <w:spacing w:line="216" w:lineRule="auto"/>
                    <w:jc w:val="center"/>
                    <w:rPr>
                      <w:color w:val="auto"/>
                      <w:szCs w:val="21"/>
                    </w:rPr>
                  </w:pPr>
                  <w:r>
                    <w:rPr>
                      <w:color w:val="auto"/>
                      <w:szCs w:val="21"/>
                    </w:rPr>
                    <w:t>(mg/L)</w:t>
                  </w:r>
                </w:p>
              </w:tc>
              <w:tc>
                <w:tcPr>
                  <w:tcW w:w="602" w:type="pct"/>
                  <w:tcBorders>
                    <w:tl2br w:val="nil"/>
                    <w:tr2bl w:val="nil"/>
                  </w:tcBorders>
                  <w:vAlign w:val="center"/>
                </w:tcPr>
                <w:p>
                  <w:pPr>
                    <w:widowControl/>
                    <w:spacing w:line="216" w:lineRule="auto"/>
                    <w:jc w:val="center"/>
                    <w:rPr>
                      <w:color w:val="auto"/>
                      <w:szCs w:val="21"/>
                    </w:rPr>
                  </w:pPr>
                  <w:r>
                    <w:rPr>
                      <w:color w:val="auto"/>
                      <w:szCs w:val="21"/>
                    </w:rPr>
                    <w:t>产生量</w:t>
                  </w:r>
                </w:p>
                <w:p>
                  <w:pPr>
                    <w:widowControl/>
                    <w:spacing w:line="216" w:lineRule="auto"/>
                    <w:jc w:val="center"/>
                    <w:rPr>
                      <w:color w:val="auto"/>
                      <w:szCs w:val="21"/>
                    </w:rPr>
                  </w:pPr>
                  <w:r>
                    <w:rPr>
                      <w:color w:val="auto"/>
                      <w:szCs w:val="21"/>
                    </w:rPr>
                    <w:t>（t/a）</w:t>
                  </w:r>
                </w:p>
              </w:tc>
              <w:tc>
                <w:tcPr>
                  <w:tcW w:w="774" w:type="pct"/>
                  <w:tcBorders>
                    <w:tl2br w:val="nil"/>
                    <w:tr2bl w:val="nil"/>
                  </w:tcBorders>
                  <w:vAlign w:val="center"/>
                </w:tcPr>
                <w:p>
                  <w:pPr>
                    <w:widowControl/>
                    <w:spacing w:line="216" w:lineRule="auto"/>
                    <w:jc w:val="center"/>
                    <w:rPr>
                      <w:color w:val="auto"/>
                      <w:szCs w:val="21"/>
                    </w:rPr>
                  </w:pPr>
                  <w:r>
                    <w:rPr>
                      <w:color w:val="auto"/>
                      <w:szCs w:val="21"/>
                    </w:rPr>
                    <w:t>排放浓</w:t>
                  </w:r>
                </w:p>
                <w:p>
                  <w:pPr>
                    <w:widowControl/>
                    <w:spacing w:line="216" w:lineRule="auto"/>
                    <w:jc w:val="center"/>
                    <w:rPr>
                      <w:color w:val="auto"/>
                      <w:szCs w:val="21"/>
                    </w:rPr>
                  </w:pPr>
                  <w:r>
                    <w:rPr>
                      <w:color w:val="auto"/>
                      <w:szCs w:val="21"/>
                    </w:rPr>
                    <w:t>（mg/L）</w:t>
                  </w:r>
                </w:p>
              </w:tc>
              <w:tc>
                <w:tcPr>
                  <w:tcW w:w="601" w:type="pct"/>
                  <w:tcBorders>
                    <w:tl2br w:val="nil"/>
                    <w:tr2bl w:val="nil"/>
                  </w:tcBorders>
                  <w:vAlign w:val="center"/>
                </w:tcPr>
                <w:p>
                  <w:pPr>
                    <w:widowControl/>
                    <w:spacing w:line="216" w:lineRule="auto"/>
                    <w:jc w:val="center"/>
                    <w:rPr>
                      <w:color w:val="auto"/>
                      <w:szCs w:val="21"/>
                    </w:rPr>
                  </w:pPr>
                  <w:r>
                    <w:rPr>
                      <w:color w:val="auto"/>
                      <w:szCs w:val="21"/>
                    </w:rPr>
                    <w:t>排放量</w:t>
                  </w:r>
                </w:p>
                <w:p>
                  <w:pPr>
                    <w:widowControl/>
                    <w:spacing w:line="216" w:lineRule="auto"/>
                    <w:jc w:val="center"/>
                    <w:rPr>
                      <w:color w:val="auto"/>
                      <w:szCs w:val="21"/>
                    </w:rPr>
                  </w:pPr>
                  <w:r>
                    <w:rPr>
                      <w:color w:val="auto"/>
                      <w:szCs w:val="21"/>
                    </w:rPr>
                    <w:t>（t/a）</w:t>
                  </w:r>
                </w:p>
              </w:tc>
              <w:tc>
                <w:tcPr>
                  <w:tcW w:w="774" w:type="pct"/>
                  <w:tcBorders>
                    <w:tl2br w:val="nil"/>
                    <w:tr2bl w:val="nil"/>
                  </w:tcBorders>
                  <w:vAlign w:val="center"/>
                </w:tcPr>
                <w:p>
                  <w:pPr>
                    <w:widowControl/>
                    <w:spacing w:line="216" w:lineRule="auto"/>
                    <w:jc w:val="center"/>
                    <w:rPr>
                      <w:color w:val="auto"/>
                      <w:szCs w:val="21"/>
                    </w:rPr>
                  </w:pPr>
                  <w:r>
                    <w:rPr>
                      <w:color w:val="auto"/>
                      <w:szCs w:val="21"/>
                    </w:rPr>
                    <w:t>排放浓</w:t>
                  </w:r>
                </w:p>
                <w:p>
                  <w:pPr>
                    <w:widowControl/>
                    <w:spacing w:line="216" w:lineRule="auto"/>
                    <w:jc w:val="center"/>
                    <w:rPr>
                      <w:color w:val="auto"/>
                      <w:szCs w:val="21"/>
                    </w:rPr>
                  </w:pPr>
                  <w:r>
                    <w:rPr>
                      <w:color w:val="auto"/>
                      <w:szCs w:val="21"/>
                    </w:rPr>
                    <w:t>（mg/L）</w:t>
                  </w:r>
                </w:p>
              </w:tc>
              <w:tc>
                <w:tcPr>
                  <w:tcW w:w="601" w:type="pct"/>
                  <w:tcBorders>
                    <w:tl2br w:val="nil"/>
                    <w:tr2bl w:val="nil"/>
                  </w:tcBorders>
                  <w:vAlign w:val="center"/>
                </w:tcPr>
                <w:p>
                  <w:pPr>
                    <w:widowControl/>
                    <w:spacing w:line="216" w:lineRule="auto"/>
                    <w:jc w:val="center"/>
                    <w:rPr>
                      <w:color w:val="auto"/>
                      <w:szCs w:val="21"/>
                    </w:rPr>
                  </w:pPr>
                  <w:r>
                    <w:rPr>
                      <w:color w:val="auto"/>
                      <w:szCs w:val="21"/>
                    </w:rPr>
                    <w:t>排放量</w:t>
                  </w:r>
                </w:p>
                <w:p>
                  <w:pPr>
                    <w:widowControl/>
                    <w:spacing w:line="216" w:lineRule="auto"/>
                    <w:jc w:val="center"/>
                    <w:rPr>
                      <w:color w:val="auto"/>
                      <w:szCs w:val="21"/>
                    </w:rPr>
                  </w:pPr>
                  <w:r>
                    <w:rPr>
                      <w:color w:val="auto"/>
                      <w:szCs w:val="21"/>
                    </w:rPr>
                    <w:t>（t/a）</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047" w:type="pct"/>
                  <w:tcBorders>
                    <w:tl2br w:val="nil"/>
                    <w:tr2bl w:val="nil"/>
                  </w:tcBorders>
                  <w:vAlign w:val="center"/>
                </w:tcPr>
                <w:p>
                  <w:pPr>
                    <w:widowControl/>
                    <w:spacing w:line="216" w:lineRule="auto"/>
                    <w:jc w:val="center"/>
                    <w:rPr>
                      <w:color w:val="auto"/>
                      <w:szCs w:val="21"/>
                    </w:rPr>
                  </w:pPr>
                  <w:r>
                    <w:rPr>
                      <w:color w:val="auto"/>
                      <w:szCs w:val="21"/>
                    </w:rPr>
                    <w:t>生活污水</w:t>
                  </w:r>
                </w:p>
              </w:tc>
              <w:tc>
                <w:tcPr>
                  <w:tcW w:w="599" w:type="pct"/>
                  <w:tcBorders>
                    <w:tl2br w:val="nil"/>
                    <w:tr2bl w:val="nil"/>
                  </w:tcBorders>
                  <w:vAlign w:val="center"/>
                </w:tcPr>
                <w:p>
                  <w:pPr>
                    <w:adjustRightInd w:val="0"/>
                    <w:snapToGrid w:val="0"/>
                    <w:jc w:val="center"/>
                    <w:rPr>
                      <w:color w:val="auto"/>
                      <w:szCs w:val="21"/>
                    </w:rPr>
                  </w:pPr>
                  <w:r>
                    <w:rPr>
                      <w:color w:val="auto"/>
                      <w:szCs w:val="21"/>
                    </w:rPr>
                    <w:t>/</w:t>
                  </w:r>
                </w:p>
              </w:tc>
              <w:tc>
                <w:tcPr>
                  <w:tcW w:w="602" w:type="pct"/>
                  <w:tcBorders>
                    <w:tl2br w:val="nil"/>
                    <w:tr2bl w:val="nil"/>
                  </w:tcBorders>
                  <w:vAlign w:val="center"/>
                </w:tcPr>
                <w:p>
                  <w:pPr>
                    <w:adjustRightInd w:val="0"/>
                    <w:snapToGrid w:val="0"/>
                    <w:jc w:val="center"/>
                    <w:rPr>
                      <w:color w:val="auto"/>
                      <w:szCs w:val="21"/>
                    </w:rPr>
                  </w:pPr>
                  <w:r>
                    <w:rPr>
                      <w:color w:val="auto"/>
                      <w:szCs w:val="21"/>
                    </w:rPr>
                    <w:t>178</w:t>
                  </w:r>
                </w:p>
              </w:tc>
              <w:tc>
                <w:tcPr>
                  <w:tcW w:w="774" w:type="pct"/>
                  <w:tcBorders>
                    <w:tl2br w:val="nil"/>
                    <w:tr2bl w:val="nil"/>
                  </w:tcBorders>
                  <w:vAlign w:val="center"/>
                </w:tcPr>
                <w:p>
                  <w:pPr>
                    <w:adjustRightInd w:val="0"/>
                    <w:snapToGrid w:val="0"/>
                    <w:jc w:val="center"/>
                    <w:rPr>
                      <w:color w:val="auto"/>
                      <w:szCs w:val="21"/>
                    </w:rPr>
                  </w:pPr>
                  <w:r>
                    <w:rPr>
                      <w:color w:val="auto"/>
                      <w:szCs w:val="21"/>
                    </w:rPr>
                    <w:t>/</w:t>
                  </w:r>
                </w:p>
              </w:tc>
              <w:tc>
                <w:tcPr>
                  <w:tcW w:w="601" w:type="pct"/>
                  <w:tcBorders>
                    <w:tl2br w:val="nil"/>
                    <w:tr2bl w:val="nil"/>
                  </w:tcBorders>
                  <w:vAlign w:val="center"/>
                </w:tcPr>
                <w:p>
                  <w:pPr>
                    <w:adjustRightInd w:val="0"/>
                    <w:snapToGrid w:val="0"/>
                    <w:jc w:val="center"/>
                    <w:rPr>
                      <w:color w:val="auto"/>
                      <w:szCs w:val="21"/>
                    </w:rPr>
                  </w:pPr>
                  <w:r>
                    <w:rPr>
                      <w:color w:val="auto"/>
                      <w:szCs w:val="21"/>
                    </w:rPr>
                    <w:t>178</w:t>
                  </w:r>
                </w:p>
              </w:tc>
              <w:tc>
                <w:tcPr>
                  <w:tcW w:w="774" w:type="pct"/>
                  <w:tcBorders>
                    <w:tl2br w:val="nil"/>
                    <w:tr2bl w:val="nil"/>
                  </w:tcBorders>
                  <w:vAlign w:val="center"/>
                </w:tcPr>
                <w:p>
                  <w:pPr>
                    <w:adjustRightInd w:val="0"/>
                    <w:snapToGrid w:val="0"/>
                    <w:jc w:val="center"/>
                    <w:rPr>
                      <w:color w:val="auto"/>
                      <w:szCs w:val="21"/>
                    </w:rPr>
                  </w:pPr>
                  <w:r>
                    <w:rPr>
                      <w:color w:val="auto"/>
                      <w:szCs w:val="21"/>
                    </w:rPr>
                    <w:t>/</w:t>
                  </w:r>
                </w:p>
              </w:tc>
              <w:tc>
                <w:tcPr>
                  <w:tcW w:w="601" w:type="pct"/>
                  <w:tcBorders>
                    <w:tl2br w:val="nil"/>
                    <w:tr2bl w:val="nil"/>
                  </w:tcBorders>
                  <w:vAlign w:val="center"/>
                </w:tcPr>
                <w:p>
                  <w:pPr>
                    <w:adjustRightInd w:val="0"/>
                    <w:snapToGrid w:val="0"/>
                    <w:jc w:val="center"/>
                    <w:rPr>
                      <w:color w:val="auto"/>
                      <w:szCs w:val="21"/>
                    </w:rPr>
                  </w:pPr>
                  <w:r>
                    <w:rPr>
                      <w:color w:val="auto"/>
                      <w:szCs w:val="21"/>
                    </w:rPr>
                    <w:t>178</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exact"/>
                <w:jc w:val="center"/>
              </w:trPr>
              <w:tc>
                <w:tcPr>
                  <w:tcW w:w="1047" w:type="pct"/>
                  <w:tcBorders>
                    <w:tl2br w:val="nil"/>
                    <w:tr2bl w:val="nil"/>
                  </w:tcBorders>
                  <w:vAlign w:val="center"/>
                </w:tcPr>
                <w:p>
                  <w:pPr>
                    <w:widowControl/>
                    <w:spacing w:line="216" w:lineRule="auto"/>
                    <w:jc w:val="center"/>
                    <w:rPr>
                      <w:color w:val="auto"/>
                      <w:szCs w:val="21"/>
                    </w:rPr>
                  </w:pPr>
                  <w:r>
                    <w:rPr>
                      <w:color w:val="auto"/>
                      <w:szCs w:val="21"/>
                    </w:rPr>
                    <w:t>COD</w:t>
                  </w:r>
                </w:p>
              </w:tc>
              <w:tc>
                <w:tcPr>
                  <w:tcW w:w="599" w:type="pct"/>
                  <w:tcBorders>
                    <w:tl2br w:val="nil"/>
                    <w:tr2bl w:val="nil"/>
                  </w:tcBorders>
                  <w:vAlign w:val="center"/>
                </w:tcPr>
                <w:p>
                  <w:pPr>
                    <w:widowControl/>
                    <w:adjustRightInd w:val="0"/>
                    <w:snapToGrid w:val="0"/>
                    <w:jc w:val="center"/>
                    <w:textAlignment w:val="center"/>
                    <w:rPr>
                      <w:color w:val="auto"/>
                      <w:szCs w:val="21"/>
                    </w:rPr>
                  </w:pPr>
                  <w:r>
                    <w:rPr>
                      <w:color w:val="auto"/>
                      <w:szCs w:val="21"/>
                    </w:rPr>
                    <w:t>325</w:t>
                  </w:r>
                </w:p>
              </w:tc>
              <w:tc>
                <w:tcPr>
                  <w:tcW w:w="982" w:type="dxa"/>
                  <w:tcBorders>
                    <w:tl2br w:val="nil"/>
                    <w:tr2bl w:val="nil"/>
                  </w:tcBorders>
                  <w:vAlign w:val="center"/>
                </w:tcPr>
                <w:p>
                  <w:pPr>
                    <w:widowControl/>
                    <w:jc w:val="center"/>
                    <w:textAlignment w:val="center"/>
                    <w:rPr>
                      <w:color w:val="auto"/>
                      <w:szCs w:val="21"/>
                    </w:rPr>
                  </w:pPr>
                  <w:r>
                    <w:rPr>
                      <w:color w:val="auto"/>
                      <w:kern w:val="0"/>
                      <w:szCs w:val="21"/>
                      <w:lang w:bidi="ar"/>
                    </w:rPr>
                    <w:t>0.058</w:t>
                  </w:r>
                </w:p>
              </w:tc>
              <w:tc>
                <w:tcPr>
                  <w:tcW w:w="774" w:type="pct"/>
                  <w:tcBorders>
                    <w:tl2br w:val="nil"/>
                    <w:tr2bl w:val="nil"/>
                  </w:tcBorders>
                  <w:vAlign w:val="center"/>
                </w:tcPr>
                <w:p>
                  <w:pPr>
                    <w:widowControl/>
                    <w:adjustRightInd w:val="0"/>
                    <w:snapToGrid w:val="0"/>
                    <w:jc w:val="center"/>
                    <w:textAlignment w:val="center"/>
                    <w:rPr>
                      <w:color w:val="auto"/>
                      <w:szCs w:val="21"/>
                    </w:rPr>
                  </w:pPr>
                  <w:r>
                    <w:rPr>
                      <w:color w:val="auto"/>
                      <w:szCs w:val="21"/>
                    </w:rPr>
                    <w:t>300</w:t>
                  </w:r>
                </w:p>
              </w:tc>
              <w:tc>
                <w:tcPr>
                  <w:tcW w:w="601" w:type="pct"/>
                  <w:tcBorders>
                    <w:tl2br w:val="nil"/>
                    <w:tr2bl w:val="nil"/>
                  </w:tcBorders>
                  <w:vAlign w:val="center"/>
                </w:tcPr>
                <w:p>
                  <w:pPr>
                    <w:widowControl/>
                    <w:adjustRightInd w:val="0"/>
                    <w:snapToGrid w:val="0"/>
                    <w:jc w:val="center"/>
                    <w:textAlignment w:val="center"/>
                    <w:rPr>
                      <w:color w:val="auto"/>
                      <w:szCs w:val="21"/>
                    </w:rPr>
                  </w:pPr>
                  <w:r>
                    <w:rPr>
                      <w:color w:val="auto"/>
                      <w:szCs w:val="21"/>
                    </w:rPr>
                    <w:t>/</w:t>
                  </w:r>
                </w:p>
              </w:tc>
              <w:tc>
                <w:tcPr>
                  <w:tcW w:w="774" w:type="pct"/>
                  <w:tcBorders>
                    <w:tl2br w:val="nil"/>
                    <w:tr2bl w:val="nil"/>
                  </w:tcBorders>
                  <w:vAlign w:val="center"/>
                </w:tcPr>
                <w:p>
                  <w:pPr>
                    <w:widowControl/>
                    <w:adjustRightInd w:val="0"/>
                    <w:snapToGrid w:val="0"/>
                    <w:jc w:val="center"/>
                    <w:textAlignment w:val="center"/>
                    <w:rPr>
                      <w:color w:val="auto"/>
                      <w:kern w:val="0"/>
                      <w:szCs w:val="21"/>
                      <w:lang w:bidi="ar"/>
                    </w:rPr>
                  </w:pPr>
                  <w:r>
                    <w:rPr>
                      <w:color w:val="auto"/>
                      <w:kern w:val="0"/>
                      <w:szCs w:val="21"/>
                      <w:lang w:bidi="ar"/>
                    </w:rPr>
                    <w:t>60</w:t>
                  </w:r>
                </w:p>
              </w:tc>
              <w:tc>
                <w:tcPr>
                  <w:tcW w:w="601" w:type="pct"/>
                  <w:tcBorders>
                    <w:tl2br w:val="nil"/>
                    <w:tr2bl w:val="nil"/>
                  </w:tcBorders>
                  <w:vAlign w:val="center"/>
                </w:tcPr>
                <w:p>
                  <w:pPr>
                    <w:widowControl/>
                    <w:adjustRightInd w:val="0"/>
                    <w:snapToGrid w:val="0"/>
                    <w:jc w:val="center"/>
                    <w:textAlignment w:val="center"/>
                    <w:rPr>
                      <w:color w:val="auto"/>
                      <w:kern w:val="0"/>
                      <w:szCs w:val="21"/>
                      <w:lang w:bidi="ar"/>
                    </w:rPr>
                  </w:pPr>
                  <w:r>
                    <w:rPr>
                      <w:color w:val="auto"/>
                      <w:kern w:val="0"/>
                      <w:szCs w:val="21"/>
                      <w:lang w:bidi="ar"/>
                    </w:rPr>
                    <w:t>/</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exact"/>
                <w:jc w:val="center"/>
              </w:trPr>
              <w:tc>
                <w:tcPr>
                  <w:tcW w:w="1047" w:type="pct"/>
                  <w:tcBorders>
                    <w:tl2br w:val="nil"/>
                    <w:tr2bl w:val="nil"/>
                  </w:tcBorders>
                  <w:vAlign w:val="center"/>
                </w:tcPr>
                <w:p>
                  <w:pPr>
                    <w:widowControl/>
                    <w:spacing w:line="216" w:lineRule="auto"/>
                    <w:jc w:val="center"/>
                    <w:rPr>
                      <w:color w:val="auto"/>
                      <w:szCs w:val="21"/>
                    </w:rPr>
                  </w:pPr>
                  <w:r>
                    <w:rPr>
                      <w:color w:val="auto"/>
                      <w:szCs w:val="21"/>
                    </w:rPr>
                    <w:t>BOD</w:t>
                  </w:r>
                  <w:r>
                    <w:rPr>
                      <w:color w:val="auto"/>
                      <w:szCs w:val="21"/>
                      <w:vertAlign w:val="subscript"/>
                    </w:rPr>
                    <w:t>5</w:t>
                  </w:r>
                </w:p>
              </w:tc>
              <w:tc>
                <w:tcPr>
                  <w:tcW w:w="599" w:type="pct"/>
                  <w:tcBorders>
                    <w:tl2br w:val="nil"/>
                    <w:tr2bl w:val="nil"/>
                  </w:tcBorders>
                  <w:vAlign w:val="center"/>
                </w:tcPr>
                <w:p>
                  <w:pPr>
                    <w:widowControl/>
                    <w:adjustRightInd w:val="0"/>
                    <w:snapToGrid w:val="0"/>
                    <w:jc w:val="center"/>
                    <w:textAlignment w:val="center"/>
                    <w:rPr>
                      <w:color w:val="auto"/>
                      <w:szCs w:val="21"/>
                    </w:rPr>
                  </w:pPr>
                  <w:r>
                    <w:rPr>
                      <w:color w:val="auto"/>
                      <w:szCs w:val="21"/>
                    </w:rPr>
                    <w:t>163</w:t>
                  </w:r>
                </w:p>
              </w:tc>
              <w:tc>
                <w:tcPr>
                  <w:tcW w:w="982" w:type="dxa"/>
                  <w:tcBorders>
                    <w:tl2br w:val="nil"/>
                    <w:tr2bl w:val="nil"/>
                  </w:tcBorders>
                  <w:vAlign w:val="center"/>
                </w:tcPr>
                <w:p>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0.029</w:t>
                  </w:r>
                </w:p>
              </w:tc>
              <w:tc>
                <w:tcPr>
                  <w:tcW w:w="774"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150</w:t>
                  </w:r>
                </w:p>
              </w:tc>
              <w:tc>
                <w:tcPr>
                  <w:tcW w:w="601"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774"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20</w:t>
                  </w:r>
                </w:p>
              </w:tc>
              <w:tc>
                <w:tcPr>
                  <w:tcW w:w="601"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0" w:hRule="exact"/>
                <w:jc w:val="center"/>
              </w:trPr>
              <w:tc>
                <w:tcPr>
                  <w:tcW w:w="1047" w:type="pct"/>
                  <w:tcBorders>
                    <w:tl2br w:val="nil"/>
                    <w:tr2bl w:val="nil"/>
                  </w:tcBorders>
                  <w:vAlign w:val="center"/>
                </w:tcPr>
                <w:p>
                  <w:pPr>
                    <w:widowControl/>
                    <w:spacing w:line="216" w:lineRule="auto"/>
                    <w:jc w:val="center"/>
                    <w:rPr>
                      <w:color w:val="auto"/>
                      <w:szCs w:val="21"/>
                    </w:rPr>
                  </w:pPr>
                  <w:r>
                    <w:rPr>
                      <w:color w:val="auto"/>
                      <w:szCs w:val="21"/>
                    </w:rPr>
                    <w:t>SS</w:t>
                  </w:r>
                </w:p>
              </w:tc>
              <w:tc>
                <w:tcPr>
                  <w:tcW w:w="599" w:type="pct"/>
                  <w:tcBorders>
                    <w:tl2br w:val="nil"/>
                    <w:tr2bl w:val="nil"/>
                  </w:tcBorders>
                  <w:vAlign w:val="center"/>
                </w:tcPr>
                <w:p>
                  <w:pPr>
                    <w:widowControl/>
                    <w:adjustRightInd w:val="0"/>
                    <w:snapToGrid w:val="0"/>
                    <w:jc w:val="center"/>
                    <w:textAlignment w:val="center"/>
                    <w:rPr>
                      <w:color w:val="auto"/>
                      <w:szCs w:val="21"/>
                    </w:rPr>
                  </w:pPr>
                  <w:r>
                    <w:rPr>
                      <w:color w:val="auto"/>
                      <w:szCs w:val="21"/>
                    </w:rPr>
                    <w:t>300</w:t>
                  </w:r>
                </w:p>
              </w:tc>
              <w:tc>
                <w:tcPr>
                  <w:tcW w:w="982" w:type="dxa"/>
                  <w:tcBorders>
                    <w:tl2br w:val="nil"/>
                    <w:tr2bl w:val="nil"/>
                  </w:tcBorders>
                  <w:vAlign w:val="center"/>
                </w:tcPr>
                <w:p>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0.053</w:t>
                  </w:r>
                </w:p>
              </w:tc>
              <w:tc>
                <w:tcPr>
                  <w:tcW w:w="774"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150</w:t>
                  </w:r>
                </w:p>
              </w:tc>
              <w:tc>
                <w:tcPr>
                  <w:tcW w:w="601"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774"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20</w:t>
                  </w:r>
                </w:p>
              </w:tc>
              <w:tc>
                <w:tcPr>
                  <w:tcW w:w="601"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0" w:hRule="exact"/>
                <w:jc w:val="center"/>
              </w:trPr>
              <w:tc>
                <w:tcPr>
                  <w:tcW w:w="1047" w:type="pct"/>
                  <w:tcBorders>
                    <w:tl2br w:val="nil"/>
                    <w:tr2bl w:val="nil"/>
                  </w:tcBorders>
                  <w:vAlign w:val="center"/>
                </w:tcPr>
                <w:p>
                  <w:pPr>
                    <w:spacing w:line="216" w:lineRule="auto"/>
                    <w:jc w:val="center"/>
                    <w:rPr>
                      <w:color w:val="auto"/>
                      <w:szCs w:val="21"/>
                    </w:rPr>
                  </w:pPr>
                  <w:r>
                    <w:rPr>
                      <w:color w:val="auto"/>
                      <w:szCs w:val="21"/>
                    </w:rPr>
                    <w:t>氨氮</w:t>
                  </w:r>
                </w:p>
              </w:tc>
              <w:tc>
                <w:tcPr>
                  <w:tcW w:w="599" w:type="pct"/>
                  <w:tcBorders>
                    <w:tl2br w:val="nil"/>
                    <w:tr2bl w:val="nil"/>
                  </w:tcBorders>
                  <w:vAlign w:val="center"/>
                </w:tcPr>
                <w:p>
                  <w:pPr>
                    <w:widowControl/>
                    <w:adjustRightInd w:val="0"/>
                    <w:snapToGrid w:val="0"/>
                    <w:jc w:val="center"/>
                    <w:textAlignment w:val="center"/>
                    <w:rPr>
                      <w:color w:val="auto"/>
                      <w:szCs w:val="21"/>
                    </w:rPr>
                  </w:pPr>
                  <w:r>
                    <w:rPr>
                      <w:color w:val="auto"/>
                      <w:szCs w:val="21"/>
                    </w:rPr>
                    <w:t>38</w:t>
                  </w:r>
                </w:p>
              </w:tc>
              <w:tc>
                <w:tcPr>
                  <w:tcW w:w="982" w:type="dxa"/>
                  <w:tcBorders>
                    <w:tl2br w:val="nil"/>
                    <w:tr2bl w:val="nil"/>
                  </w:tcBorders>
                  <w:vAlign w:val="center"/>
                </w:tcPr>
                <w:p>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0.007</w:t>
                  </w:r>
                </w:p>
              </w:tc>
              <w:tc>
                <w:tcPr>
                  <w:tcW w:w="774"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30</w:t>
                  </w:r>
                </w:p>
              </w:tc>
              <w:tc>
                <w:tcPr>
                  <w:tcW w:w="601"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774"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8</w:t>
                  </w:r>
                </w:p>
              </w:tc>
              <w:tc>
                <w:tcPr>
                  <w:tcW w:w="601"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0" w:hRule="exact"/>
                <w:jc w:val="center"/>
              </w:trPr>
              <w:tc>
                <w:tcPr>
                  <w:tcW w:w="1047" w:type="pct"/>
                  <w:tcBorders>
                    <w:tl2br w:val="nil"/>
                    <w:tr2bl w:val="nil"/>
                  </w:tcBorders>
                  <w:vAlign w:val="center"/>
                </w:tcPr>
                <w:p>
                  <w:pPr>
                    <w:spacing w:line="216" w:lineRule="auto"/>
                    <w:jc w:val="center"/>
                    <w:rPr>
                      <w:color w:val="auto"/>
                      <w:szCs w:val="21"/>
                    </w:rPr>
                  </w:pPr>
                  <w:r>
                    <w:rPr>
                      <w:rFonts w:hint="eastAsia"/>
                      <w:color w:val="auto"/>
                      <w:szCs w:val="21"/>
                    </w:rPr>
                    <w:t>食堂废水</w:t>
                  </w:r>
                </w:p>
              </w:tc>
              <w:tc>
                <w:tcPr>
                  <w:tcW w:w="599" w:type="pct"/>
                  <w:tcBorders>
                    <w:tl2br w:val="nil"/>
                    <w:tr2bl w:val="nil"/>
                  </w:tcBorders>
                  <w:vAlign w:val="center"/>
                </w:tcPr>
                <w:p>
                  <w:pPr>
                    <w:widowControl/>
                    <w:adjustRightInd w:val="0"/>
                    <w:snapToGrid w:val="0"/>
                    <w:jc w:val="center"/>
                    <w:textAlignment w:val="center"/>
                    <w:rPr>
                      <w:color w:val="auto"/>
                      <w:szCs w:val="21"/>
                    </w:rPr>
                  </w:pPr>
                  <w:r>
                    <w:rPr>
                      <w:color w:val="auto"/>
                      <w:szCs w:val="21"/>
                    </w:rPr>
                    <w:t>/</w:t>
                  </w:r>
                </w:p>
              </w:tc>
              <w:tc>
                <w:tcPr>
                  <w:tcW w:w="602" w:type="pct"/>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50</w:t>
                  </w:r>
                </w:p>
              </w:tc>
              <w:tc>
                <w:tcPr>
                  <w:tcW w:w="774"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601" w:type="pct"/>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50</w:t>
                  </w:r>
                </w:p>
              </w:tc>
              <w:tc>
                <w:tcPr>
                  <w:tcW w:w="774"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w:t>
                  </w:r>
                </w:p>
              </w:tc>
              <w:tc>
                <w:tcPr>
                  <w:tcW w:w="601" w:type="pct"/>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50</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0" w:hRule="exact"/>
                <w:jc w:val="center"/>
              </w:trPr>
              <w:tc>
                <w:tcPr>
                  <w:tcW w:w="1047" w:type="pct"/>
                  <w:tcBorders>
                    <w:tl2br w:val="nil"/>
                    <w:tr2bl w:val="nil"/>
                  </w:tcBorders>
                  <w:vAlign w:val="center"/>
                </w:tcPr>
                <w:p>
                  <w:pPr>
                    <w:widowControl/>
                    <w:spacing w:line="216" w:lineRule="auto"/>
                    <w:jc w:val="center"/>
                    <w:rPr>
                      <w:color w:val="auto"/>
                      <w:szCs w:val="21"/>
                    </w:rPr>
                  </w:pPr>
                  <w:r>
                    <w:rPr>
                      <w:color w:val="auto"/>
                      <w:szCs w:val="21"/>
                    </w:rPr>
                    <w:t>COD</w:t>
                  </w:r>
                </w:p>
              </w:tc>
              <w:tc>
                <w:tcPr>
                  <w:tcW w:w="977" w:type="dxa"/>
                  <w:tcBorders>
                    <w:tl2br w:val="nil"/>
                    <w:tr2bl w:val="nil"/>
                  </w:tcBorders>
                  <w:vAlign w:val="center"/>
                </w:tcPr>
                <w:p>
                  <w:pPr>
                    <w:widowControl/>
                    <w:jc w:val="center"/>
                    <w:textAlignment w:val="center"/>
                    <w:rPr>
                      <w:color w:val="auto"/>
                      <w:szCs w:val="21"/>
                    </w:rPr>
                  </w:pPr>
                  <w:r>
                    <w:rPr>
                      <w:color w:val="auto"/>
                      <w:kern w:val="0"/>
                      <w:szCs w:val="21"/>
                      <w:lang w:bidi="ar"/>
                    </w:rPr>
                    <w:t>1000</w:t>
                  </w:r>
                </w:p>
              </w:tc>
              <w:tc>
                <w:tcPr>
                  <w:tcW w:w="98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0.050</w:t>
                  </w:r>
                </w:p>
              </w:tc>
              <w:tc>
                <w:tcPr>
                  <w:tcW w:w="774"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300</w:t>
                  </w:r>
                </w:p>
              </w:tc>
              <w:tc>
                <w:tcPr>
                  <w:tcW w:w="601"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sz w:val="21"/>
                      <w:szCs w:val="21"/>
                    </w:rPr>
                    <w:t>/</w:t>
                  </w:r>
                </w:p>
              </w:tc>
              <w:tc>
                <w:tcPr>
                  <w:tcW w:w="774"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60</w:t>
                  </w:r>
                </w:p>
              </w:tc>
              <w:tc>
                <w:tcPr>
                  <w:tcW w:w="601"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sz w:val="21"/>
                      <w:szCs w:val="21"/>
                    </w:rPr>
                    <w:t>/</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0" w:hRule="exact"/>
                <w:jc w:val="center"/>
              </w:trPr>
              <w:tc>
                <w:tcPr>
                  <w:tcW w:w="1047" w:type="pct"/>
                  <w:tcBorders>
                    <w:tl2br w:val="nil"/>
                    <w:tr2bl w:val="nil"/>
                  </w:tcBorders>
                  <w:vAlign w:val="center"/>
                </w:tcPr>
                <w:p>
                  <w:pPr>
                    <w:widowControl/>
                    <w:spacing w:line="216" w:lineRule="auto"/>
                    <w:jc w:val="center"/>
                    <w:rPr>
                      <w:color w:val="auto"/>
                      <w:szCs w:val="21"/>
                    </w:rPr>
                  </w:pPr>
                  <w:r>
                    <w:rPr>
                      <w:color w:val="auto"/>
                      <w:szCs w:val="21"/>
                    </w:rPr>
                    <w:t>BOD</w:t>
                  </w:r>
                  <w:r>
                    <w:rPr>
                      <w:color w:val="auto"/>
                      <w:szCs w:val="21"/>
                      <w:vertAlign w:val="subscript"/>
                    </w:rPr>
                    <w:t>5</w:t>
                  </w:r>
                </w:p>
              </w:tc>
              <w:tc>
                <w:tcPr>
                  <w:tcW w:w="977" w:type="dxa"/>
                  <w:tcBorders>
                    <w:tl2br w:val="nil"/>
                    <w:tr2bl w:val="nil"/>
                  </w:tcBorders>
                  <w:vAlign w:val="center"/>
                </w:tcPr>
                <w:p>
                  <w:pPr>
                    <w:widowControl/>
                    <w:jc w:val="center"/>
                    <w:textAlignment w:val="center"/>
                    <w:rPr>
                      <w:color w:val="auto"/>
                      <w:szCs w:val="21"/>
                    </w:rPr>
                  </w:pPr>
                  <w:r>
                    <w:rPr>
                      <w:color w:val="auto"/>
                      <w:kern w:val="0"/>
                      <w:szCs w:val="21"/>
                      <w:lang w:bidi="ar"/>
                    </w:rPr>
                    <w:t>600</w:t>
                  </w:r>
                </w:p>
              </w:tc>
              <w:tc>
                <w:tcPr>
                  <w:tcW w:w="98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0.030</w:t>
                  </w:r>
                </w:p>
              </w:tc>
              <w:tc>
                <w:tcPr>
                  <w:tcW w:w="774"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150</w:t>
                  </w:r>
                </w:p>
              </w:tc>
              <w:tc>
                <w:tcPr>
                  <w:tcW w:w="601"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sz w:val="21"/>
                      <w:szCs w:val="21"/>
                    </w:rPr>
                    <w:t>/</w:t>
                  </w:r>
                </w:p>
              </w:tc>
              <w:tc>
                <w:tcPr>
                  <w:tcW w:w="774"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20</w:t>
                  </w:r>
                </w:p>
              </w:tc>
              <w:tc>
                <w:tcPr>
                  <w:tcW w:w="601"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sz w:val="21"/>
                      <w:szCs w:val="21"/>
                    </w:rPr>
                    <w:t>/</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0" w:hRule="exact"/>
                <w:jc w:val="center"/>
              </w:trPr>
              <w:tc>
                <w:tcPr>
                  <w:tcW w:w="1047" w:type="pct"/>
                  <w:tcBorders>
                    <w:tl2br w:val="nil"/>
                    <w:tr2bl w:val="nil"/>
                  </w:tcBorders>
                  <w:vAlign w:val="center"/>
                </w:tcPr>
                <w:p>
                  <w:pPr>
                    <w:widowControl/>
                    <w:spacing w:line="216" w:lineRule="auto"/>
                    <w:jc w:val="center"/>
                    <w:rPr>
                      <w:color w:val="auto"/>
                      <w:szCs w:val="21"/>
                    </w:rPr>
                  </w:pPr>
                  <w:r>
                    <w:rPr>
                      <w:color w:val="auto"/>
                      <w:szCs w:val="21"/>
                    </w:rPr>
                    <w:t>SS</w:t>
                  </w:r>
                </w:p>
              </w:tc>
              <w:tc>
                <w:tcPr>
                  <w:tcW w:w="977" w:type="dxa"/>
                  <w:tcBorders>
                    <w:tl2br w:val="nil"/>
                    <w:tr2bl w:val="nil"/>
                  </w:tcBorders>
                  <w:vAlign w:val="center"/>
                </w:tcPr>
                <w:p>
                  <w:pPr>
                    <w:widowControl/>
                    <w:jc w:val="center"/>
                    <w:textAlignment w:val="center"/>
                    <w:rPr>
                      <w:color w:val="auto"/>
                      <w:szCs w:val="21"/>
                    </w:rPr>
                  </w:pPr>
                  <w:r>
                    <w:rPr>
                      <w:color w:val="auto"/>
                      <w:kern w:val="0"/>
                      <w:szCs w:val="21"/>
                      <w:lang w:bidi="ar"/>
                    </w:rPr>
                    <w:t>400</w:t>
                  </w:r>
                </w:p>
              </w:tc>
              <w:tc>
                <w:tcPr>
                  <w:tcW w:w="98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0.020</w:t>
                  </w:r>
                </w:p>
              </w:tc>
              <w:tc>
                <w:tcPr>
                  <w:tcW w:w="774"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150</w:t>
                  </w:r>
                </w:p>
              </w:tc>
              <w:tc>
                <w:tcPr>
                  <w:tcW w:w="601"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sz w:val="21"/>
                      <w:szCs w:val="21"/>
                    </w:rPr>
                    <w:t>/</w:t>
                  </w:r>
                </w:p>
              </w:tc>
              <w:tc>
                <w:tcPr>
                  <w:tcW w:w="774"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20</w:t>
                  </w:r>
                </w:p>
              </w:tc>
              <w:tc>
                <w:tcPr>
                  <w:tcW w:w="601"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sz w:val="21"/>
                      <w:szCs w:val="21"/>
                    </w:rPr>
                    <w:t>/</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0" w:hRule="exact"/>
                <w:jc w:val="center"/>
              </w:trPr>
              <w:tc>
                <w:tcPr>
                  <w:tcW w:w="1047" w:type="pct"/>
                  <w:tcBorders>
                    <w:tl2br w:val="nil"/>
                    <w:tr2bl w:val="nil"/>
                  </w:tcBorders>
                  <w:vAlign w:val="center"/>
                </w:tcPr>
                <w:p>
                  <w:pPr>
                    <w:spacing w:line="216" w:lineRule="auto"/>
                    <w:jc w:val="center"/>
                    <w:rPr>
                      <w:color w:val="auto"/>
                      <w:szCs w:val="21"/>
                    </w:rPr>
                  </w:pPr>
                  <w:r>
                    <w:rPr>
                      <w:color w:val="auto"/>
                      <w:szCs w:val="21"/>
                    </w:rPr>
                    <w:t>氨氮</w:t>
                  </w:r>
                </w:p>
              </w:tc>
              <w:tc>
                <w:tcPr>
                  <w:tcW w:w="977" w:type="dxa"/>
                  <w:tcBorders>
                    <w:tl2br w:val="nil"/>
                    <w:tr2bl w:val="nil"/>
                  </w:tcBorders>
                  <w:vAlign w:val="center"/>
                </w:tcPr>
                <w:p>
                  <w:pPr>
                    <w:widowControl/>
                    <w:jc w:val="center"/>
                    <w:textAlignment w:val="center"/>
                    <w:rPr>
                      <w:color w:val="auto"/>
                      <w:szCs w:val="21"/>
                    </w:rPr>
                  </w:pPr>
                  <w:r>
                    <w:rPr>
                      <w:color w:val="auto"/>
                      <w:kern w:val="0"/>
                      <w:szCs w:val="21"/>
                      <w:lang w:bidi="ar"/>
                    </w:rPr>
                    <w:t>50</w:t>
                  </w:r>
                </w:p>
              </w:tc>
              <w:tc>
                <w:tcPr>
                  <w:tcW w:w="98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0.002</w:t>
                  </w:r>
                </w:p>
              </w:tc>
              <w:tc>
                <w:tcPr>
                  <w:tcW w:w="774"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bidi="ar"/>
                    </w:rPr>
                    <w:t>30</w:t>
                  </w:r>
                </w:p>
              </w:tc>
              <w:tc>
                <w:tcPr>
                  <w:tcW w:w="601"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sz w:val="21"/>
                      <w:szCs w:val="21"/>
                    </w:rPr>
                    <w:t>/</w:t>
                  </w:r>
                </w:p>
              </w:tc>
              <w:tc>
                <w:tcPr>
                  <w:tcW w:w="774"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8</w:t>
                  </w:r>
                </w:p>
              </w:tc>
              <w:tc>
                <w:tcPr>
                  <w:tcW w:w="601"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sz w:val="21"/>
                      <w:szCs w:val="21"/>
                    </w:rPr>
                    <w:t>/</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0" w:hRule="exact"/>
                <w:jc w:val="center"/>
              </w:trPr>
              <w:tc>
                <w:tcPr>
                  <w:tcW w:w="1047" w:type="pct"/>
                  <w:tcBorders>
                    <w:tl2br w:val="nil"/>
                    <w:tr2bl w:val="nil"/>
                  </w:tcBorders>
                  <w:vAlign w:val="center"/>
                </w:tcPr>
                <w:p>
                  <w:pPr>
                    <w:spacing w:line="216" w:lineRule="auto"/>
                    <w:jc w:val="center"/>
                    <w:rPr>
                      <w:color w:val="auto"/>
                      <w:szCs w:val="21"/>
                    </w:rPr>
                  </w:pPr>
                  <w:r>
                    <w:rPr>
                      <w:rFonts w:hint="eastAsia"/>
                      <w:color w:val="auto"/>
                      <w:szCs w:val="21"/>
                    </w:rPr>
                    <w:t>动植物油</w:t>
                  </w:r>
                </w:p>
              </w:tc>
              <w:tc>
                <w:tcPr>
                  <w:tcW w:w="977" w:type="dxa"/>
                  <w:tcBorders>
                    <w:tl2br w:val="nil"/>
                    <w:tr2bl w:val="nil"/>
                  </w:tcBorders>
                  <w:vAlign w:val="center"/>
                </w:tcPr>
                <w:p>
                  <w:pPr>
                    <w:widowControl/>
                    <w:jc w:val="center"/>
                    <w:textAlignment w:val="center"/>
                    <w:rPr>
                      <w:color w:val="auto"/>
                      <w:szCs w:val="21"/>
                    </w:rPr>
                  </w:pPr>
                  <w:r>
                    <w:rPr>
                      <w:color w:val="auto"/>
                      <w:kern w:val="0"/>
                      <w:szCs w:val="21"/>
                      <w:lang w:bidi="ar"/>
                    </w:rPr>
                    <w:t>150</w:t>
                  </w:r>
                </w:p>
              </w:tc>
              <w:tc>
                <w:tcPr>
                  <w:tcW w:w="98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0.007</w:t>
                  </w:r>
                </w:p>
              </w:tc>
              <w:tc>
                <w:tcPr>
                  <w:tcW w:w="774"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20</w:t>
                  </w:r>
                </w:p>
              </w:tc>
              <w:tc>
                <w:tcPr>
                  <w:tcW w:w="601"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sz w:val="21"/>
                      <w:szCs w:val="21"/>
                    </w:rPr>
                    <w:t>/</w:t>
                  </w:r>
                </w:p>
              </w:tc>
              <w:tc>
                <w:tcPr>
                  <w:tcW w:w="774"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3</w:t>
                  </w:r>
                </w:p>
              </w:tc>
              <w:tc>
                <w:tcPr>
                  <w:tcW w:w="601"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sz w:val="21"/>
                      <w:szCs w:val="21"/>
                    </w:rPr>
                    <w:t>/</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0" w:hRule="exact"/>
                <w:jc w:val="center"/>
              </w:trPr>
              <w:tc>
                <w:tcPr>
                  <w:tcW w:w="1047" w:type="pct"/>
                  <w:tcBorders>
                    <w:tl2br w:val="nil"/>
                    <w:tr2bl w:val="nil"/>
                  </w:tcBorders>
                  <w:vAlign w:val="center"/>
                </w:tcPr>
                <w:p>
                  <w:pPr>
                    <w:spacing w:line="216" w:lineRule="auto"/>
                    <w:jc w:val="center"/>
                    <w:rPr>
                      <w:color w:val="auto"/>
                      <w:szCs w:val="21"/>
                    </w:rPr>
                  </w:pPr>
                  <w:r>
                    <w:rPr>
                      <w:rFonts w:hint="eastAsia"/>
                      <w:color w:val="auto"/>
                      <w:szCs w:val="21"/>
                    </w:rPr>
                    <w:t>综合废水</w:t>
                  </w:r>
                </w:p>
              </w:tc>
              <w:tc>
                <w:tcPr>
                  <w:tcW w:w="599" w:type="pct"/>
                  <w:tcBorders>
                    <w:tl2br w:val="nil"/>
                    <w:tr2bl w:val="nil"/>
                  </w:tcBorders>
                  <w:vAlign w:val="center"/>
                </w:tcPr>
                <w:p>
                  <w:pPr>
                    <w:widowControl/>
                    <w:adjustRightInd w:val="0"/>
                    <w:snapToGrid w:val="0"/>
                    <w:jc w:val="center"/>
                    <w:textAlignment w:val="center"/>
                    <w:rPr>
                      <w:color w:val="auto"/>
                      <w:szCs w:val="21"/>
                    </w:rPr>
                  </w:pPr>
                  <w:r>
                    <w:rPr>
                      <w:color w:val="auto"/>
                      <w:szCs w:val="21"/>
                    </w:rPr>
                    <w:t>/</w:t>
                  </w:r>
                </w:p>
              </w:tc>
              <w:tc>
                <w:tcPr>
                  <w:tcW w:w="985" w:type="dxa"/>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228</w:t>
                  </w:r>
                </w:p>
              </w:tc>
              <w:tc>
                <w:tcPr>
                  <w:tcW w:w="774"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601" w:type="pct"/>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228</w:t>
                  </w:r>
                </w:p>
              </w:tc>
              <w:tc>
                <w:tcPr>
                  <w:tcW w:w="774" w:type="pct"/>
                  <w:tcBorders>
                    <w:tl2br w:val="nil"/>
                    <w:tr2bl w:val="nil"/>
                  </w:tcBorders>
                  <w:vAlign w:val="center"/>
                </w:tcPr>
                <w:p>
                  <w:pPr>
                    <w:widowControl/>
                    <w:adjustRightInd w:val="0"/>
                    <w:snapToGrid w:val="0"/>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w:t>
                  </w:r>
                </w:p>
              </w:tc>
              <w:tc>
                <w:tcPr>
                  <w:tcW w:w="601" w:type="pct"/>
                  <w:tcBorders>
                    <w:tl2br w:val="nil"/>
                    <w:tr2bl w:val="nil"/>
                  </w:tcBorders>
                  <w:vAlign w:val="center"/>
                </w:tcPr>
                <w:p>
                  <w:pPr>
                    <w:widowControl/>
                    <w:adjustRightInd w:val="0"/>
                    <w:snapToGrid w:val="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228</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0" w:hRule="exact"/>
                <w:jc w:val="center"/>
              </w:trPr>
              <w:tc>
                <w:tcPr>
                  <w:tcW w:w="1047" w:type="pct"/>
                  <w:tcBorders>
                    <w:tl2br w:val="nil"/>
                    <w:tr2bl w:val="nil"/>
                  </w:tcBorders>
                  <w:vAlign w:val="center"/>
                </w:tcPr>
                <w:p>
                  <w:pPr>
                    <w:widowControl/>
                    <w:spacing w:line="216" w:lineRule="auto"/>
                    <w:jc w:val="center"/>
                    <w:rPr>
                      <w:color w:val="auto"/>
                      <w:szCs w:val="21"/>
                    </w:rPr>
                  </w:pPr>
                  <w:r>
                    <w:rPr>
                      <w:color w:val="auto"/>
                      <w:szCs w:val="21"/>
                    </w:rPr>
                    <w:t>COD</w:t>
                  </w:r>
                </w:p>
              </w:tc>
              <w:tc>
                <w:tcPr>
                  <w:tcW w:w="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val="0"/>
                      <w:iCs w:val="0"/>
                      <w:color w:val="auto"/>
                      <w:kern w:val="0"/>
                      <w:sz w:val="21"/>
                      <w:szCs w:val="21"/>
                      <w:u w:val="none"/>
                      <w:lang w:val="en-US" w:eastAsia="zh-CN" w:bidi="ar"/>
                    </w:rPr>
                    <w:t>472</w:t>
                  </w:r>
                </w:p>
              </w:tc>
              <w:tc>
                <w:tcPr>
                  <w:tcW w:w="98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i w:val="0"/>
                      <w:iCs w:val="0"/>
                      <w:color w:val="auto"/>
                      <w:kern w:val="0"/>
                      <w:sz w:val="21"/>
                      <w:szCs w:val="21"/>
                      <w:u w:val="none"/>
                      <w:lang w:val="en-US" w:eastAsia="zh-CN" w:bidi="ar"/>
                    </w:rPr>
                    <w:t>0.108</w:t>
                  </w:r>
                </w:p>
              </w:tc>
              <w:tc>
                <w:tcPr>
                  <w:tcW w:w="1267" w:type="dxa"/>
                  <w:tcBorders>
                    <w:tl2br w:val="nil"/>
                    <w:tr2bl w:val="nil"/>
                  </w:tcBorders>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300</w:t>
                  </w:r>
                </w:p>
              </w:tc>
              <w:tc>
                <w:tcPr>
                  <w:tcW w:w="98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i w:val="0"/>
                      <w:iCs w:val="0"/>
                      <w:color w:val="auto"/>
                      <w:kern w:val="0"/>
                      <w:sz w:val="21"/>
                      <w:szCs w:val="21"/>
                      <w:u w:val="none"/>
                      <w:lang w:val="en-US" w:eastAsia="zh-CN" w:bidi="ar"/>
                    </w:rPr>
                    <w:t>0.068</w:t>
                  </w:r>
                </w:p>
              </w:tc>
              <w:tc>
                <w:tcPr>
                  <w:tcW w:w="1267" w:type="dxa"/>
                  <w:tcBorders>
                    <w:tl2br w:val="nil"/>
                    <w:tr2bl w:val="nil"/>
                  </w:tcBorders>
                  <w:vAlign w:val="center"/>
                </w:tcPr>
                <w:p>
                  <w:pPr>
                    <w:widowControl/>
                    <w:jc w:val="center"/>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color w:val="auto"/>
                      <w:kern w:val="0"/>
                      <w:sz w:val="21"/>
                      <w:szCs w:val="21"/>
                      <w:lang w:bidi="ar"/>
                    </w:rPr>
                    <w:t>60</w:t>
                  </w:r>
                </w:p>
              </w:tc>
              <w:tc>
                <w:tcPr>
                  <w:tcW w:w="98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i w:val="0"/>
                      <w:iCs w:val="0"/>
                      <w:color w:val="auto"/>
                      <w:kern w:val="0"/>
                      <w:sz w:val="21"/>
                      <w:szCs w:val="21"/>
                      <w:u w:val="none"/>
                      <w:lang w:val="en-US" w:eastAsia="zh-CN" w:bidi="ar"/>
                    </w:rPr>
                    <w:t>0.014</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0" w:hRule="exact"/>
                <w:jc w:val="center"/>
              </w:trPr>
              <w:tc>
                <w:tcPr>
                  <w:tcW w:w="1047" w:type="pct"/>
                  <w:tcBorders>
                    <w:tl2br w:val="nil"/>
                    <w:tr2bl w:val="nil"/>
                  </w:tcBorders>
                  <w:vAlign w:val="center"/>
                </w:tcPr>
                <w:p>
                  <w:pPr>
                    <w:widowControl/>
                    <w:spacing w:line="216" w:lineRule="auto"/>
                    <w:jc w:val="center"/>
                    <w:rPr>
                      <w:color w:val="auto"/>
                      <w:szCs w:val="21"/>
                    </w:rPr>
                  </w:pPr>
                  <w:r>
                    <w:rPr>
                      <w:color w:val="auto"/>
                      <w:szCs w:val="21"/>
                    </w:rPr>
                    <w:t>BOD</w:t>
                  </w:r>
                  <w:r>
                    <w:rPr>
                      <w:color w:val="auto"/>
                      <w:szCs w:val="21"/>
                      <w:vertAlign w:val="subscript"/>
                    </w:rPr>
                    <w:t>5</w:t>
                  </w:r>
                </w:p>
              </w:tc>
              <w:tc>
                <w:tcPr>
                  <w:tcW w:w="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val="0"/>
                      <w:iCs w:val="0"/>
                      <w:color w:val="auto"/>
                      <w:kern w:val="0"/>
                      <w:sz w:val="21"/>
                      <w:szCs w:val="21"/>
                      <w:u w:val="none"/>
                      <w:lang w:val="en-US" w:eastAsia="zh-CN" w:bidi="ar"/>
                    </w:rPr>
                    <w:t>258</w:t>
                  </w:r>
                </w:p>
              </w:tc>
              <w:tc>
                <w:tcPr>
                  <w:tcW w:w="98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i w:val="0"/>
                      <w:iCs w:val="0"/>
                      <w:color w:val="auto"/>
                      <w:kern w:val="0"/>
                      <w:sz w:val="21"/>
                      <w:szCs w:val="21"/>
                      <w:u w:val="none"/>
                      <w:lang w:val="en-US" w:eastAsia="zh-CN" w:bidi="ar"/>
                    </w:rPr>
                    <w:t>0.059</w:t>
                  </w:r>
                </w:p>
              </w:tc>
              <w:tc>
                <w:tcPr>
                  <w:tcW w:w="1267" w:type="dxa"/>
                  <w:tcBorders>
                    <w:tl2br w:val="nil"/>
                    <w:tr2bl w:val="nil"/>
                  </w:tcBorders>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150</w:t>
                  </w:r>
                </w:p>
              </w:tc>
              <w:tc>
                <w:tcPr>
                  <w:tcW w:w="98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i w:val="0"/>
                      <w:iCs w:val="0"/>
                      <w:color w:val="auto"/>
                      <w:kern w:val="0"/>
                      <w:sz w:val="21"/>
                      <w:szCs w:val="21"/>
                      <w:u w:val="none"/>
                      <w:lang w:val="en-US" w:eastAsia="zh-CN" w:bidi="ar"/>
                    </w:rPr>
                    <w:t>0.034</w:t>
                  </w:r>
                </w:p>
              </w:tc>
              <w:tc>
                <w:tcPr>
                  <w:tcW w:w="1267" w:type="dxa"/>
                  <w:tcBorders>
                    <w:tl2br w:val="nil"/>
                    <w:tr2bl w:val="nil"/>
                  </w:tcBorders>
                  <w:vAlign w:val="center"/>
                </w:tcPr>
                <w:p>
                  <w:pPr>
                    <w:widowControl/>
                    <w:jc w:val="center"/>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color w:val="auto"/>
                      <w:kern w:val="0"/>
                      <w:sz w:val="21"/>
                      <w:szCs w:val="21"/>
                      <w:lang w:bidi="ar"/>
                    </w:rPr>
                    <w:t>20</w:t>
                  </w:r>
                </w:p>
              </w:tc>
              <w:tc>
                <w:tcPr>
                  <w:tcW w:w="98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i w:val="0"/>
                      <w:iCs w:val="0"/>
                      <w:color w:val="auto"/>
                      <w:kern w:val="0"/>
                      <w:sz w:val="21"/>
                      <w:szCs w:val="21"/>
                      <w:u w:val="none"/>
                      <w:lang w:val="en-US" w:eastAsia="zh-CN" w:bidi="ar"/>
                    </w:rPr>
                    <w:t>0.005</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0" w:hRule="exact"/>
                <w:jc w:val="center"/>
              </w:trPr>
              <w:tc>
                <w:tcPr>
                  <w:tcW w:w="1047" w:type="pct"/>
                  <w:tcBorders>
                    <w:tl2br w:val="nil"/>
                    <w:tr2bl w:val="nil"/>
                  </w:tcBorders>
                  <w:vAlign w:val="center"/>
                </w:tcPr>
                <w:p>
                  <w:pPr>
                    <w:widowControl/>
                    <w:spacing w:line="216" w:lineRule="auto"/>
                    <w:jc w:val="center"/>
                    <w:rPr>
                      <w:color w:val="auto"/>
                      <w:szCs w:val="21"/>
                    </w:rPr>
                  </w:pPr>
                  <w:r>
                    <w:rPr>
                      <w:color w:val="auto"/>
                      <w:szCs w:val="21"/>
                    </w:rPr>
                    <w:t>SS</w:t>
                  </w:r>
                </w:p>
              </w:tc>
              <w:tc>
                <w:tcPr>
                  <w:tcW w:w="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val="0"/>
                      <w:iCs w:val="0"/>
                      <w:color w:val="auto"/>
                      <w:kern w:val="0"/>
                      <w:sz w:val="21"/>
                      <w:szCs w:val="21"/>
                      <w:u w:val="none"/>
                      <w:lang w:val="en-US" w:eastAsia="zh-CN" w:bidi="ar"/>
                    </w:rPr>
                    <w:t>322</w:t>
                  </w:r>
                </w:p>
              </w:tc>
              <w:tc>
                <w:tcPr>
                  <w:tcW w:w="98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i w:val="0"/>
                      <w:iCs w:val="0"/>
                      <w:color w:val="auto"/>
                      <w:kern w:val="0"/>
                      <w:sz w:val="21"/>
                      <w:szCs w:val="21"/>
                      <w:u w:val="none"/>
                      <w:lang w:val="en-US" w:eastAsia="zh-CN" w:bidi="ar"/>
                    </w:rPr>
                    <w:t>0.073</w:t>
                  </w:r>
                </w:p>
              </w:tc>
              <w:tc>
                <w:tcPr>
                  <w:tcW w:w="1267" w:type="dxa"/>
                  <w:tcBorders>
                    <w:tl2br w:val="nil"/>
                    <w:tr2bl w:val="nil"/>
                  </w:tcBorders>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150</w:t>
                  </w:r>
                </w:p>
              </w:tc>
              <w:tc>
                <w:tcPr>
                  <w:tcW w:w="98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i w:val="0"/>
                      <w:iCs w:val="0"/>
                      <w:color w:val="auto"/>
                      <w:kern w:val="0"/>
                      <w:sz w:val="21"/>
                      <w:szCs w:val="21"/>
                      <w:u w:val="none"/>
                      <w:lang w:val="en-US" w:eastAsia="zh-CN" w:bidi="ar"/>
                    </w:rPr>
                    <w:t>0.034</w:t>
                  </w:r>
                </w:p>
              </w:tc>
              <w:tc>
                <w:tcPr>
                  <w:tcW w:w="1267" w:type="dxa"/>
                  <w:tcBorders>
                    <w:tl2br w:val="nil"/>
                    <w:tr2bl w:val="nil"/>
                  </w:tcBorders>
                  <w:vAlign w:val="center"/>
                </w:tcPr>
                <w:p>
                  <w:pPr>
                    <w:widowControl/>
                    <w:jc w:val="center"/>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color w:val="auto"/>
                      <w:kern w:val="0"/>
                      <w:sz w:val="21"/>
                      <w:szCs w:val="21"/>
                      <w:lang w:bidi="ar"/>
                    </w:rPr>
                    <w:t>20</w:t>
                  </w:r>
                </w:p>
              </w:tc>
              <w:tc>
                <w:tcPr>
                  <w:tcW w:w="98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i w:val="0"/>
                      <w:iCs w:val="0"/>
                      <w:color w:val="auto"/>
                      <w:kern w:val="0"/>
                      <w:sz w:val="21"/>
                      <w:szCs w:val="21"/>
                      <w:u w:val="none"/>
                      <w:lang w:val="en-US" w:eastAsia="zh-CN" w:bidi="ar"/>
                    </w:rPr>
                    <w:t>0.005</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0" w:hRule="exact"/>
                <w:jc w:val="center"/>
              </w:trPr>
              <w:tc>
                <w:tcPr>
                  <w:tcW w:w="1047" w:type="pct"/>
                  <w:tcBorders>
                    <w:tl2br w:val="nil"/>
                    <w:tr2bl w:val="nil"/>
                  </w:tcBorders>
                  <w:vAlign w:val="center"/>
                </w:tcPr>
                <w:p>
                  <w:pPr>
                    <w:spacing w:line="216" w:lineRule="auto"/>
                    <w:jc w:val="center"/>
                    <w:rPr>
                      <w:color w:val="auto"/>
                      <w:szCs w:val="21"/>
                    </w:rPr>
                  </w:pPr>
                  <w:r>
                    <w:rPr>
                      <w:color w:val="auto"/>
                      <w:szCs w:val="21"/>
                    </w:rPr>
                    <w:t>氨氮</w:t>
                  </w:r>
                </w:p>
              </w:tc>
              <w:tc>
                <w:tcPr>
                  <w:tcW w:w="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val="0"/>
                      <w:iCs w:val="0"/>
                      <w:color w:val="auto"/>
                      <w:kern w:val="0"/>
                      <w:sz w:val="21"/>
                      <w:szCs w:val="21"/>
                      <w:u w:val="none"/>
                      <w:lang w:val="en-US" w:eastAsia="zh-CN" w:bidi="ar"/>
                    </w:rPr>
                    <w:t>41</w:t>
                  </w:r>
                </w:p>
              </w:tc>
              <w:tc>
                <w:tcPr>
                  <w:tcW w:w="98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i w:val="0"/>
                      <w:iCs w:val="0"/>
                      <w:color w:val="auto"/>
                      <w:kern w:val="0"/>
                      <w:sz w:val="21"/>
                      <w:szCs w:val="21"/>
                      <w:u w:val="none"/>
                      <w:lang w:val="en-US" w:eastAsia="zh-CN" w:bidi="ar"/>
                    </w:rPr>
                    <w:t>0.009</w:t>
                  </w:r>
                </w:p>
              </w:tc>
              <w:tc>
                <w:tcPr>
                  <w:tcW w:w="1267" w:type="dxa"/>
                  <w:tcBorders>
                    <w:tl2br w:val="nil"/>
                    <w:tr2bl w:val="nil"/>
                  </w:tcBorders>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30</w:t>
                  </w:r>
                </w:p>
              </w:tc>
              <w:tc>
                <w:tcPr>
                  <w:tcW w:w="98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i w:val="0"/>
                      <w:iCs w:val="0"/>
                      <w:color w:val="auto"/>
                      <w:kern w:val="0"/>
                      <w:sz w:val="21"/>
                      <w:szCs w:val="21"/>
                      <w:u w:val="none"/>
                      <w:lang w:val="en-US" w:eastAsia="zh-CN" w:bidi="ar"/>
                    </w:rPr>
                    <w:t>0.007</w:t>
                  </w:r>
                </w:p>
              </w:tc>
              <w:tc>
                <w:tcPr>
                  <w:tcW w:w="1267" w:type="dxa"/>
                  <w:tcBorders>
                    <w:tl2br w:val="nil"/>
                    <w:tr2bl w:val="nil"/>
                  </w:tcBorders>
                  <w:vAlign w:val="center"/>
                </w:tcPr>
                <w:p>
                  <w:pPr>
                    <w:widowControl/>
                    <w:jc w:val="center"/>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color w:val="auto"/>
                      <w:kern w:val="0"/>
                      <w:sz w:val="21"/>
                      <w:szCs w:val="21"/>
                      <w:lang w:bidi="ar"/>
                    </w:rPr>
                    <w:t>8</w:t>
                  </w:r>
                </w:p>
              </w:tc>
              <w:tc>
                <w:tcPr>
                  <w:tcW w:w="98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i w:val="0"/>
                      <w:iCs w:val="0"/>
                      <w:color w:val="auto"/>
                      <w:kern w:val="0"/>
                      <w:sz w:val="21"/>
                      <w:szCs w:val="21"/>
                      <w:u w:val="none"/>
                      <w:lang w:val="en-US" w:eastAsia="zh-CN" w:bidi="ar"/>
                    </w:rPr>
                    <w:t>0.002</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0" w:hRule="exact"/>
                <w:jc w:val="center"/>
              </w:trPr>
              <w:tc>
                <w:tcPr>
                  <w:tcW w:w="1047" w:type="pct"/>
                  <w:tcBorders>
                    <w:tl2br w:val="nil"/>
                    <w:tr2bl w:val="nil"/>
                  </w:tcBorders>
                  <w:vAlign w:val="center"/>
                </w:tcPr>
                <w:p>
                  <w:pPr>
                    <w:spacing w:line="216" w:lineRule="auto"/>
                    <w:jc w:val="center"/>
                    <w:rPr>
                      <w:color w:val="auto"/>
                      <w:szCs w:val="21"/>
                    </w:rPr>
                  </w:pPr>
                  <w:r>
                    <w:rPr>
                      <w:rFonts w:hint="eastAsia"/>
                      <w:color w:val="auto"/>
                      <w:szCs w:val="21"/>
                    </w:rPr>
                    <w:t>动植物油</w:t>
                  </w:r>
                </w:p>
              </w:tc>
              <w:tc>
                <w:tcPr>
                  <w:tcW w:w="98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i w:val="0"/>
                      <w:iCs w:val="0"/>
                      <w:color w:val="auto"/>
                      <w:kern w:val="0"/>
                      <w:sz w:val="21"/>
                      <w:szCs w:val="21"/>
                      <w:u w:val="none"/>
                      <w:lang w:val="en-US" w:eastAsia="zh-CN" w:bidi="ar"/>
                    </w:rPr>
                    <w:t>50</w:t>
                  </w:r>
                </w:p>
              </w:tc>
              <w:tc>
                <w:tcPr>
                  <w:tcW w:w="985"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i w:val="0"/>
                      <w:iCs w:val="0"/>
                      <w:color w:val="auto"/>
                      <w:kern w:val="0"/>
                      <w:sz w:val="21"/>
                      <w:szCs w:val="21"/>
                      <w:u w:val="none"/>
                      <w:lang w:val="en-US" w:eastAsia="zh-CN" w:bidi="ar"/>
                    </w:rPr>
                    <w:t>0.007</w:t>
                  </w:r>
                </w:p>
              </w:tc>
              <w:tc>
                <w:tcPr>
                  <w:tcW w:w="1267" w:type="dxa"/>
                  <w:tcBorders>
                    <w:tl2br w:val="nil"/>
                    <w:tr2bl w:val="nil"/>
                  </w:tcBorders>
                  <w:vAlign w:val="center"/>
                </w:tcPr>
                <w:p>
                  <w:pPr>
                    <w:widowControl/>
                    <w:jc w:val="center"/>
                    <w:textAlignment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kern w:val="0"/>
                      <w:sz w:val="21"/>
                      <w:szCs w:val="21"/>
                      <w:lang w:bidi="ar"/>
                    </w:rPr>
                    <w:t>20</w:t>
                  </w:r>
                </w:p>
              </w:tc>
              <w:tc>
                <w:tcPr>
                  <w:tcW w:w="98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i w:val="0"/>
                      <w:iCs w:val="0"/>
                      <w:color w:val="auto"/>
                      <w:kern w:val="0"/>
                      <w:sz w:val="21"/>
                      <w:szCs w:val="21"/>
                      <w:u w:val="none"/>
                      <w:lang w:val="en-US" w:eastAsia="zh-CN" w:bidi="ar"/>
                    </w:rPr>
                    <w:t>0.001</w:t>
                  </w:r>
                </w:p>
              </w:tc>
              <w:tc>
                <w:tcPr>
                  <w:tcW w:w="1267" w:type="dxa"/>
                  <w:tcBorders>
                    <w:tl2br w:val="nil"/>
                    <w:tr2bl w:val="nil"/>
                  </w:tcBorders>
                  <w:vAlign w:val="center"/>
                </w:tcPr>
                <w:p>
                  <w:pPr>
                    <w:widowControl/>
                    <w:jc w:val="center"/>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color w:val="auto"/>
                      <w:kern w:val="0"/>
                      <w:sz w:val="21"/>
                      <w:szCs w:val="21"/>
                      <w:lang w:bidi="ar"/>
                    </w:rPr>
                    <w:t>3</w:t>
                  </w:r>
                </w:p>
              </w:tc>
              <w:tc>
                <w:tcPr>
                  <w:tcW w:w="984"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eastAsiaTheme="minorEastAsia"/>
                      <w:color w:val="auto"/>
                      <w:kern w:val="0"/>
                      <w:sz w:val="21"/>
                      <w:szCs w:val="21"/>
                      <w:lang w:bidi="ar"/>
                    </w:rPr>
                  </w:pPr>
                  <w:r>
                    <w:rPr>
                      <w:rFonts w:hint="default" w:ascii="Times New Roman" w:hAnsi="Times New Roman" w:cs="Times New Roman" w:eastAsiaTheme="minorEastAsia"/>
                      <w:i w:val="0"/>
                      <w:iCs w:val="0"/>
                      <w:color w:val="auto"/>
                      <w:kern w:val="0"/>
                      <w:sz w:val="21"/>
                      <w:szCs w:val="21"/>
                      <w:u w:val="none"/>
                      <w:lang w:val="en-US" w:eastAsia="zh-CN" w:bidi="ar"/>
                    </w:rPr>
                    <w:t>0.00015</w:t>
                  </w:r>
                </w:p>
              </w:tc>
            </w:tr>
          </w:tbl>
          <w:p>
            <w:pPr>
              <w:adjustRightInd w:val="0"/>
              <w:snapToGrid w:val="0"/>
              <w:spacing w:line="360" w:lineRule="auto"/>
              <w:ind w:firstLine="480" w:firstLineChars="200"/>
              <w:rPr>
                <w:color w:val="auto"/>
                <w:sz w:val="24"/>
              </w:rPr>
            </w:pPr>
            <w:r>
              <w:rPr>
                <w:color w:val="auto"/>
                <w:sz w:val="24"/>
              </w:rPr>
              <w:t>（</w:t>
            </w:r>
            <w:r>
              <w:rPr>
                <w:rFonts w:hint="eastAsia"/>
                <w:color w:val="auto"/>
                <w:sz w:val="24"/>
              </w:rPr>
              <w:t>2</w:t>
            </w:r>
            <w:r>
              <w:rPr>
                <w:color w:val="auto"/>
                <w:sz w:val="24"/>
              </w:rPr>
              <w:t>）</w:t>
            </w:r>
            <w:r>
              <w:rPr>
                <w:rFonts w:hint="eastAsia"/>
                <w:color w:val="auto"/>
                <w:sz w:val="24"/>
              </w:rPr>
              <w:t>治理措施可行性分析</w:t>
            </w:r>
          </w:p>
          <w:p>
            <w:pPr>
              <w:widowControl/>
              <w:spacing w:line="360" w:lineRule="auto"/>
              <w:ind w:firstLine="480" w:firstLineChars="200"/>
              <w:rPr>
                <w:color w:val="auto"/>
              </w:rPr>
            </w:pPr>
            <w:r>
              <w:rPr>
                <w:rFonts w:hint="eastAsia"/>
                <w:color w:val="auto"/>
                <w:sz w:val="24"/>
              </w:rPr>
              <w:t>通过调查，员工食堂现有1个处理能力为2.0m</w:t>
            </w:r>
            <w:r>
              <w:rPr>
                <w:rFonts w:hint="eastAsia"/>
                <w:color w:val="auto"/>
                <w:sz w:val="24"/>
                <w:vertAlign w:val="superscript"/>
              </w:rPr>
              <w:t>3</w:t>
            </w:r>
            <w:r>
              <w:rPr>
                <w:rFonts w:hint="eastAsia"/>
                <w:color w:val="auto"/>
                <w:sz w:val="24"/>
              </w:rPr>
              <w:t>/d的隔油池，食堂废水经隔油池预处理后与生活污水再依厂区现有生化池处理。通过调查，该生化池</w:t>
            </w:r>
            <w:r>
              <w:rPr>
                <w:color w:val="auto"/>
                <w:sz w:val="24"/>
              </w:rPr>
              <w:t>处理能力为</w:t>
            </w:r>
            <w:r>
              <w:rPr>
                <w:rFonts w:hint="eastAsia"/>
                <w:color w:val="auto"/>
                <w:sz w:val="24"/>
              </w:rPr>
              <w:t>2</w:t>
            </w:r>
            <w:r>
              <w:rPr>
                <w:color w:val="auto"/>
                <w:sz w:val="24"/>
              </w:rPr>
              <w:t>0m</w:t>
            </w:r>
            <w:r>
              <w:rPr>
                <w:color w:val="auto"/>
                <w:sz w:val="24"/>
                <w:vertAlign w:val="superscript"/>
              </w:rPr>
              <w:t>3</w:t>
            </w:r>
            <w:r>
              <w:rPr>
                <w:color w:val="auto"/>
                <w:sz w:val="24"/>
              </w:rPr>
              <w:t>/d的污水处理</w:t>
            </w:r>
            <w:r>
              <w:rPr>
                <w:rFonts w:hint="eastAsia"/>
                <w:color w:val="auto"/>
                <w:sz w:val="24"/>
              </w:rPr>
              <w:t>设施</w:t>
            </w:r>
            <w:r>
              <w:rPr>
                <w:color w:val="auto"/>
                <w:sz w:val="24"/>
              </w:rPr>
              <w:t>，</w:t>
            </w:r>
            <w:r>
              <w:rPr>
                <w:rFonts w:hint="eastAsia"/>
                <w:color w:val="auto"/>
                <w:sz w:val="24"/>
              </w:rPr>
              <w:t>污水处理设施剩余处理能力为1</w:t>
            </w:r>
            <w:r>
              <w:rPr>
                <w:rFonts w:hint="eastAsia"/>
                <w:color w:val="auto"/>
                <w:sz w:val="24"/>
                <w:lang w:val="en-US" w:eastAsia="zh-CN"/>
              </w:rPr>
              <w:t>1</w:t>
            </w:r>
            <w:r>
              <w:rPr>
                <w:color w:val="auto"/>
                <w:sz w:val="24"/>
              </w:rPr>
              <w:t>m</w:t>
            </w:r>
            <w:r>
              <w:rPr>
                <w:color w:val="auto"/>
                <w:sz w:val="24"/>
                <w:vertAlign w:val="superscript"/>
              </w:rPr>
              <w:t>3</w:t>
            </w:r>
            <w:r>
              <w:rPr>
                <w:color w:val="auto"/>
                <w:sz w:val="24"/>
              </w:rPr>
              <w:t>/d</w:t>
            </w:r>
            <w:r>
              <w:rPr>
                <w:rFonts w:hint="eastAsia"/>
                <w:color w:val="auto"/>
                <w:sz w:val="24"/>
              </w:rPr>
              <w:t>，</w:t>
            </w:r>
            <w:r>
              <w:rPr>
                <w:color w:val="auto"/>
                <w:sz w:val="24"/>
              </w:rPr>
              <w:t>能够满足</w:t>
            </w:r>
            <w:r>
              <w:rPr>
                <w:rFonts w:hint="eastAsia"/>
                <w:color w:val="auto"/>
                <w:sz w:val="24"/>
                <w:lang w:eastAsia="zh-CN"/>
              </w:rPr>
              <w:t>扩建项目的</w:t>
            </w:r>
            <w:r>
              <w:rPr>
                <w:color w:val="auto"/>
                <w:sz w:val="24"/>
              </w:rPr>
              <w:t>需求。该污水处理设施采用“隔油+厌氧生物法”的处理工艺</w:t>
            </w:r>
            <w:r>
              <w:rPr>
                <w:rFonts w:hint="eastAsia"/>
                <w:color w:val="auto"/>
                <w:sz w:val="24"/>
              </w:rPr>
              <w:t>，该</w:t>
            </w:r>
            <w:r>
              <w:rPr>
                <w:color w:val="auto"/>
                <w:sz w:val="24"/>
              </w:rPr>
              <w:t>处理工艺应用较为广泛、成熟，能够保证水质的排放浓度满足</w:t>
            </w:r>
            <w:r>
              <w:rPr>
                <w:rFonts w:hint="eastAsia" w:eastAsiaTheme="minorEastAsia"/>
                <w:color w:val="auto"/>
                <w:sz w:val="24"/>
              </w:rPr>
              <w:t>东城污水处理厂接管水质要求</w:t>
            </w:r>
            <w:r>
              <w:rPr>
                <w:bCs/>
                <w:snapToGrid w:val="0"/>
                <w:color w:val="auto"/>
                <w:kern w:val="0"/>
                <w:sz w:val="24"/>
              </w:rPr>
              <w:t>，</w:t>
            </w:r>
            <w:r>
              <w:rPr>
                <w:color w:val="auto"/>
                <w:sz w:val="24"/>
              </w:rPr>
              <w:t>其废水处理工艺见图4.3。</w:t>
            </w:r>
          </w:p>
          <w:p>
            <w:pPr>
              <w:pStyle w:val="2"/>
              <w:jc w:val="center"/>
              <w:rPr>
                <w:color w:val="auto"/>
              </w:rPr>
            </w:pPr>
            <w:r>
              <w:rPr>
                <w:color w:val="auto"/>
              </w:rPr>
              <w:object>
                <v:shape id="_x0000_i1031" o:spt="75" type="#_x0000_t75" style="height:87.75pt;width:264pt;" o:ole="t" filled="f" o:preferrelative="t" stroked="f" coordsize="21600,21600">
                  <v:path/>
                  <v:fill on="f" focussize="0,0"/>
                  <v:stroke on="f" joinstyle="miter"/>
                  <v:imagedata r:id="rId20" o:title=""/>
                  <o:lock v:ext="edit" aspectratio="f"/>
                  <w10:wrap type="none"/>
                  <w10:anchorlock/>
                </v:shape>
                <o:OLEObject Type="Embed" ProgID="Visio.Drawing.11" ShapeID="_x0000_i1031" DrawAspect="Content" ObjectID="_1468075731" r:id="rId19">
                  <o:LockedField>false</o:LockedField>
                </o:OLEObject>
              </w:object>
            </w:r>
          </w:p>
          <w:p>
            <w:pPr>
              <w:pStyle w:val="15"/>
              <w:snapToGrid w:val="0"/>
              <w:spacing w:after="0" w:line="360" w:lineRule="auto"/>
              <w:ind w:left="0" w:leftChars="0"/>
              <w:jc w:val="center"/>
              <w:rPr>
                <w:color w:val="auto"/>
                <w:sz w:val="24"/>
              </w:rPr>
            </w:pPr>
            <w:r>
              <w:rPr>
                <w:rFonts w:hint="eastAsia"/>
                <w:color w:val="auto"/>
                <w:sz w:val="24"/>
              </w:rPr>
              <w:t>图4.3 废水治理工艺流程图</w:t>
            </w:r>
          </w:p>
          <w:p>
            <w:pPr>
              <w:tabs>
                <w:tab w:val="left" w:pos="652"/>
              </w:tabs>
              <w:snapToGrid w:val="0"/>
              <w:spacing w:line="360" w:lineRule="auto"/>
              <w:ind w:firstLine="480" w:firstLineChars="200"/>
              <w:rPr>
                <w:color w:val="auto"/>
              </w:rPr>
            </w:pPr>
            <w:r>
              <w:rPr>
                <w:rFonts w:hint="eastAsia"/>
                <w:color w:val="auto"/>
                <w:sz w:val="24"/>
              </w:rPr>
              <w:t>本项目废水类别、污染物种类及污染治理设施情况</w:t>
            </w:r>
            <w:r>
              <w:rPr>
                <w:color w:val="auto"/>
                <w:sz w:val="24"/>
              </w:rPr>
              <w:t>见表4.</w:t>
            </w:r>
            <w:r>
              <w:rPr>
                <w:rFonts w:hint="eastAsia"/>
                <w:color w:val="auto"/>
                <w:sz w:val="24"/>
              </w:rPr>
              <w:t>9、废水排放口基本信息见表4.10。</w:t>
            </w:r>
          </w:p>
          <w:p>
            <w:pPr>
              <w:pStyle w:val="2"/>
              <w:jc w:val="center"/>
              <w:rPr>
                <w:rFonts w:ascii="Times New Roman" w:cs="Times New Roman"/>
                <w:color w:val="auto"/>
                <w:sz w:val="21"/>
                <w:szCs w:val="21"/>
              </w:rPr>
            </w:pPr>
            <w:r>
              <w:rPr>
                <w:rFonts w:ascii="Times New Roman" w:cs="Times New Roman"/>
                <w:color w:val="auto"/>
                <w:sz w:val="21"/>
                <w:szCs w:val="21"/>
              </w:rPr>
              <w:t>表4.</w:t>
            </w:r>
            <w:r>
              <w:rPr>
                <w:rFonts w:hint="eastAsia" w:ascii="Times New Roman" w:cs="Times New Roman"/>
                <w:color w:val="auto"/>
                <w:sz w:val="21"/>
                <w:szCs w:val="21"/>
              </w:rPr>
              <w:t>9</w:t>
            </w:r>
            <w:r>
              <w:rPr>
                <w:rFonts w:ascii="Times New Roman" w:cs="Times New Roman"/>
                <w:color w:val="auto"/>
                <w:sz w:val="21"/>
                <w:szCs w:val="21"/>
              </w:rPr>
              <w:t xml:space="preserve"> </w:t>
            </w:r>
            <w:r>
              <w:rPr>
                <w:rFonts w:hint="eastAsia"/>
                <w:color w:val="auto"/>
                <w:sz w:val="21"/>
                <w:szCs w:val="21"/>
              </w:rPr>
              <w:t>废水类别、污染物种类及污染治理设施</w:t>
            </w:r>
            <w:r>
              <w:rPr>
                <w:rFonts w:ascii="Times New Roman" w:cs="Times New Roman"/>
                <w:color w:val="auto"/>
                <w:sz w:val="21"/>
                <w:szCs w:val="21"/>
              </w:rPr>
              <w:t>一览表</w:t>
            </w:r>
          </w:p>
          <w:tbl>
            <w:tblPr>
              <w:tblStyle w:val="23"/>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378"/>
              <w:gridCol w:w="1096"/>
              <w:gridCol w:w="1194"/>
              <w:gridCol w:w="1282"/>
              <w:gridCol w:w="1156"/>
              <w:gridCol w:w="134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7" w:type="pct"/>
                  <w:vMerge w:val="restar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ascii="Times New Roman" w:cs="Times New Roman"/>
                      <w:color w:val="auto"/>
                      <w:sz w:val="21"/>
                      <w:szCs w:val="21"/>
                    </w:rPr>
                    <w:t>废水</w:t>
                  </w:r>
                </w:p>
                <w:p>
                  <w:pPr>
                    <w:pStyle w:val="2"/>
                    <w:snapToGrid w:val="0"/>
                    <w:spacing w:line="240" w:lineRule="auto"/>
                    <w:jc w:val="center"/>
                    <w:rPr>
                      <w:rFonts w:ascii="Times New Roman" w:cs="Times New Roman"/>
                      <w:color w:val="auto"/>
                      <w:sz w:val="21"/>
                      <w:szCs w:val="21"/>
                    </w:rPr>
                  </w:pPr>
                  <w:r>
                    <w:rPr>
                      <w:rFonts w:ascii="Times New Roman" w:cs="Times New Roman"/>
                      <w:color w:val="auto"/>
                      <w:sz w:val="21"/>
                      <w:szCs w:val="21"/>
                    </w:rPr>
                    <w:t>类别</w:t>
                  </w:r>
                </w:p>
              </w:tc>
              <w:tc>
                <w:tcPr>
                  <w:tcW w:w="845" w:type="pct"/>
                  <w:vMerge w:val="restar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ascii="Times New Roman" w:cs="Times New Roman"/>
                      <w:color w:val="auto"/>
                      <w:sz w:val="21"/>
                      <w:szCs w:val="21"/>
                    </w:rPr>
                    <w:t>污染物</w:t>
                  </w:r>
                </w:p>
                <w:p>
                  <w:pPr>
                    <w:pStyle w:val="2"/>
                    <w:snapToGrid w:val="0"/>
                    <w:spacing w:line="240" w:lineRule="auto"/>
                    <w:jc w:val="center"/>
                    <w:rPr>
                      <w:rFonts w:ascii="Times New Roman" w:cs="Times New Roman"/>
                      <w:color w:val="auto"/>
                      <w:sz w:val="21"/>
                      <w:szCs w:val="21"/>
                    </w:rPr>
                  </w:pPr>
                  <w:r>
                    <w:rPr>
                      <w:rFonts w:ascii="Times New Roman" w:cs="Times New Roman"/>
                      <w:color w:val="auto"/>
                      <w:sz w:val="21"/>
                      <w:szCs w:val="21"/>
                    </w:rPr>
                    <w:t>种类</w:t>
                  </w:r>
                </w:p>
              </w:tc>
              <w:tc>
                <w:tcPr>
                  <w:tcW w:w="2899" w:type="pct"/>
                  <w:gridSpan w:val="4"/>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ascii="Times New Roman" w:cs="Times New Roman"/>
                      <w:color w:val="auto"/>
                      <w:sz w:val="21"/>
                      <w:szCs w:val="21"/>
                    </w:rPr>
                    <w:t>污染治理设施</w:t>
                  </w:r>
                </w:p>
              </w:tc>
              <w:tc>
                <w:tcPr>
                  <w:tcW w:w="827" w:type="pct"/>
                  <w:vMerge w:val="restar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ascii="Times New Roman" w:cs="Times New Roman"/>
                      <w:color w:val="auto"/>
                      <w:sz w:val="21"/>
                      <w:szCs w:val="21"/>
                    </w:rPr>
                    <w:t>排放标准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pct"/>
                  <w:vMerge w:val="continue"/>
                  <w:tcBorders>
                    <w:tl2br w:val="nil"/>
                    <w:tr2bl w:val="nil"/>
                  </w:tcBorders>
                  <w:vAlign w:val="center"/>
                </w:tcPr>
                <w:p>
                  <w:pPr>
                    <w:pStyle w:val="2"/>
                    <w:snapToGrid w:val="0"/>
                    <w:spacing w:line="240" w:lineRule="auto"/>
                    <w:jc w:val="center"/>
                    <w:rPr>
                      <w:rFonts w:ascii="Times New Roman" w:cs="Times New Roman"/>
                      <w:color w:val="auto"/>
                      <w:sz w:val="21"/>
                      <w:szCs w:val="21"/>
                    </w:rPr>
                  </w:pPr>
                </w:p>
              </w:tc>
              <w:tc>
                <w:tcPr>
                  <w:tcW w:w="845" w:type="pct"/>
                  <w:vMerge w:val="continue"/>
                  <w:tcBorders>
                    <w:tl2br w:val="nil"/>
                    <w:tr2bl w:val="nil"/>
                  </w:tcBorders>
                  <w:vAlign w:val="center"/>
                </w:tcPr>
                <w:p>
                  <w:pPr>
                    <w:pStyle w:val="2"/>
                    <w:snapToGrid w:val="0"/>
                    <w:spacing w:line="240" w:lineRule="auto"/>
                    <w:jc w:val="center"/>
                    <w:rPr>
                      <w:rFonts w:ascii="Times New Roman" w:cs="Times New Roman"/>
                      <w:color w:val="auto"/>
                      <w:sz w:val="21"/>
                      <w:szCs w:val="21"/>
                    </w:rPr>
                  </w:pPr>
                </w:p>
              </w:tc>
              <w:tc>
                <w:tcPr>
                  <w:tcW w:w="672" w:type="pc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ascii="Times New Roman" w:cs="Times New Roman"/>
                      <w:color w:val="auto"/>
                      <w:sz w:val="21"/>
                      <w:szCs w:val="21"/>
                    </w:rPr>
                    <w:t>设施名称</w:t>
                  </w:r>
                </w:p>
              </w:tc>
              <w:tc>
                <w:tcPr>
                  <w:tcW w:w="732" w:type="pc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ascii="Times New Roman" w:cs="Times New Roman"/>
                      <w:color w:val="auto"/>
                      <w:sz w:val="21"/>
                      <w:szCs w:val="21"/>
                    </w:rPr>
                    <w:t>处理能力</w:t>
                  </w:r>
                </w:p>
              </w:tc>
              <w:tc>
                <w:tcPr>
                  <w:tcW w:w="786" w:type="pc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ascii="Times New Roman" w:cs="Times New Roman"/>
                      <w:color w:val="auto"/>
                      <w:sz w:val="21"/>
                      <w:szCs w:val="21"/>
                    </w:rPr>
                    <w:t>治理工艺</w:t>
                  </w:r>
                </w:p>
              </w:tc>
              <w:tc>
                <w:tcPr>
                  <w:tcW w:w="709" w:type="pc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ascii="Times New Roman" w:cs="Times New Roman"/>
                      <w:color w:val="auto"/>
                      <w:sz w:val="21"/>
                      <w:szCs w:val="21"/>
                    </w:rPr>
                    <w:t>是否为可行技术</w:t>
                  </w:r>
                </w:p>
              </w:tc>
              <w:tc>
                <w:tcPr>
                  <w:tcW w:w="827" w:type="pct"/>
                  <w:vMerge w:val="continue"/>
                  <w:tcBorders>
                    <w:tl2br w:val="nil"/>
                    <w:tr2bl w:val="nil"/>
                  </w:tcBorders>
                  <w:vAlign w:val="center"/>
                </w:tcPr>
                <w:p>
                  <w:pPr>
                    <w:pStyle w:val="2"/>
                    <w:snapToGrid w:val="0"/>
                    <w:spacing w:line="240" w:lineRule="auto"/>
                    <w:jc w:val="center"/>
                    <w:rPr>
                      <w:rFonts w:ascii="Times New Roman" w:cs="Times New Roman"/>
                      <w:color w:val="auto"/>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27" w:type="pct"/>
                  <w:vMerge w:val="restar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ascii="Times New Roman" w:cs="Times New Roman"/>
                      <w:color w:val="auto"/>
                      <w:sz w:val="21"/>
                      <w:szCs w:val="21"/>
                    </w:rPr>
                    <w:t>综合</w:t>
                  </w:r>
                </w:p>
                <w:p>
                  <w:pPr>
                    <w:pStyle w:val="2"/>
                    <w:snapToGrid w:val="0"/>
                    <w:spacing w:line="240" w:lineRule="auto"/>
                    <w:jc w:val="center"/>
                    <w:rPr>
                      <w:rFonts w:ascii="Times New Roman" w:cs="Times New Roman"/>
                      <w:color w:val="auto"/>
                      <w:sz w:val="21"/>
                      <w:szCs w:val="21"/>
                    </w:rPr>
                  </w:pPr>
                  <w:r>
                    <w:rPr>
                      <w:rFonts w:ascii="Times New Roman" w:cs="Times New Roman"/>
                      <w:color w:val="auto"/>
                      <w:sz w:val="21"/>
                      <w:szCs w:val="21"/>
                    </w:rPr>
                    <w:t>废水</w:t>
                  </w:r>
                </w:p>
              </w:tc>
              <w:tc>
                <w:tcPr>
                  <w:tcW w:w="845" w:type="pct"/>
                  <w:vMerge w:val="restar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ascii="Times New Roman" w:cs="Times New Roman"/>
                      <w:color w:val="auto"/>
                      <w:sz w:val="21"/>
                      <w:szCs w:val="21"/>
                    </w:rPr>
                    <w:t>pH、COD、BOD</w:t>
                  </w:r>
                  <w:r>
                    <w:rPr>
                      <w:rFonts w:ascii="Times New Roman" w:cs="Times New Roman"/>
                      <w:color w:val="auto"/>
                      <w:sz w:val="21"/>
                      <w:szCs w:val="21"/>
                      <w:vertAlign w:val="subscript"/>
                    </w:rPr>
                    <w:t>5</w:t>
                  </w:r>
                  <w:r>
                    <w:rPr>
                      <w:rFonts w:ascii="Times New Roman" w:cs="Times New Roman"/>
                      <w:color w:val="auto"/>
                      <w:sz w:val="21"/>
                      <w:szCs w:val="21"/>
                    </w:rPr>
                    <w:t>、SS、氨氮、</w:t>
                  </w:r>
                  <w:r>
                    <w:rPr>
                      <w:rFonts w:hint="eastAsia" w:ascii="Times New Roman" w:cs="Times New Roman"/>
                      <w:color w:val="auto"/>
                      <w:sz w:val="21"/>
                      <w:szCs w:val="21"/>
                    </w:rPr>
                    <w:t>动植物油</w:t>
                  </w:r>
                </w:p>
              </w:tc>
              <w:tc>
                <w:tcPr>
                  <w:tcW w:w="672" w:type="pc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隔油池</w:t>
                  </w:r>
                </w:p>
              </w:tc>
              <w:tc>
                <w:tcPr>
                  <w:tcW w:w="732" w:type="pc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2.0</w:t>
                  </w:r>
                  <w:r>
                    <w:rPr>
                      <w:rFonts w:ascii="Times New Roman" w:cs="Times New Roman"/>
                      <w:color w:val="auto"/>
                      <w:sz w:val="21"/>
                      <w:szCs w:val="21"/>
                    </w:rPr>
                    <w:t>m</w:t>
                  </w:r>
                  <w:r>
                    <w:rPr>
                      <w:rFonts w:ascii="Times New Roman" w:cs="Times New Roman"/>
                      <w:color w:val="auto"/>
                      <w:sz w:val="21"/>
                      <w:szCs w:val="21"/>
                      <w:vertAlign w:val="superscript"/>
                    </w:rPr>
                    <w:t>3</w:t>
                  </w:r>
                  <w:r>
                    <w:rPr>
                      <w:rFonts w:ascii="Times New Roman" w:cs="Times New Roman"/>
                      <w:color w:val="auto"/>
                      <w:sz w:val="21"/>
                      <w:szCs w:val="21"/>
                    </w:rPr>
                    <w:t>/d</w:t>
                  </w:r>
                </w:p>
              </w:tc>
              <w:tc>
                <w:tcPr>
                  <w:tcW w:w="786" w:type="pct"/>
                  <w:vMerge w:val="restar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隔油</w:t>
                  </w:r>
                  <w:r>
                    <w:rPr>
                      <w:rFonts w:ascii="Times New Roman" w:cs="Times New Roman"/>
                      <w:color w:val="auto"/>
                      <w:sz w:val="21"/>
                      <w:szCs w:val="21"/>
                    </w:rPr>
                    <w:t>+</w:t>
                  </w:r>
                  <w:r>
                    <w:rPr>
                      <w:rFonts w:hint="eastAsia" w:ascii="Times New Roman" w:cs="Times New Roman"/>
                      <w:color w:val="auto"/>
                      <w:sz w:val="21"/>
                      <w:szCs w:val="21"/>
                    </w:rPr>
                    <w:t>厌氧生物法</w:t>
                  </w:r>
                </w:p>
              </w:tc>
              <w:tc>
                <w:tcPr>
                  <w:tcW w:w="709" w:type="pct"/>
                  <w:vMerge w:val="restar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ascii="Times New Roman" w:cs="Times New Roman"/>
                      <w:color w:val="auto"/>
                      <w:sz w:val="21"/>
                      <w:szCs w:val="21"/>
                    </w:rPr>
                    <w:t>是</w:t>
                  </w:r>
                </w:p>
              </w:tc>
              <w:tc>
                <w:tcPr>
                  <w:tcW w:w="827" w:type="pct"/>
                  <w:vMerge w:val="restart"/>
                  <w:tcBorders>
                    <w:tl2br w:val="nil"/>
                    <w:tr2bl w:val="nil"/>
                  </w:tcBorders>
                  <w:vAlign w:val="center"/>
                </w:tcPr>
                <w:p>
                  <w:pPr>
                    <w:pStyle w:val="2"/>
                    <w:snapToGrid w:val="0"/>
                    <w:spacing w:line="240" w:lineRule="auto"/>
                    <w:rPr>
                      <w:rFonts w:ascii="Times New Roman" w:cs="Times New Roman"/>
                      <w:color w:val="auto"/>
                      <w:sz w:val="21"/>
                      <w:szCs w:val="21"/>
                    </w:rPr>
                  </w:pPr>
                  <w:r>
                    <w:rPr>
                      <w:rFonts w:ascii="Times New Roman" w:cs="Times New Roman"/>
                      <w:color w:val="auto"/>
                      <w:sz w:val="21"/>
                      <w:szCs w:val="21"/>
                    </w:rPr>
                    <w:t>GB8979-199三级标准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27" w:type="pct"/>
                  <w:vMerge w:val="continue"/>
                  <w:tcBorders>
                    <w:tl2br w:val="nil"/>
                    <w:tr2bl w:val="nil"/>
                  </w:tcBorders>
                  <w:vAlign w:val="center"/>
                </w:tcPr>
                <w:p>
                  <w:pPr>
                    <w:pStyle w:val="2"/>
                    <w:snapToGrid w:val="0"/>
                    <w:spacing w:line="240" w:lineRule="auto"/>
                    <w:jc w:val="center"/>
                    <w:rPr>
                      <w:rFonts w:ascii="Times New Roman" w:cs="Times New Roman"/>
                      <w:color w:val="auto"/>
                      <w:sz w:val="21"/>
                      <w:szCs w:val="21"/>
                    </w:rPr>
                  </w:pPr>
                </w:p>
              </w:tc>
              <w:tc>
                <w:tcPr>
                  <w:tcW w:w="845" w:type="pct"/>
                  <w:vMerge w:val="continue"/>
                  <w:tcBorders>
                    <w:tl2br w:val="nil"/>
                    <w:tr2bl w:val="nil"/>
                  </w:tcBorders>
                  <w:vAlign w:val="center"/>
                </w:tcPr>
                <w:p>
                  <w:pPr>
                    <w:pStyle w:val="2"/>
                    <w:snapToGrid w:val="0"/>
                    <w:spacing w:line="240" w:lineRule="auto"/>
                    <w:jc w:val="center"/>
                    <w:rPr>
                      <w:rFonts w:ascii="Times New Roman" w:cs="Times New Roman"/>
                      <w:color w:val="auto"/>
                      <w:sz w:val="21"/>
                      <w:szCs w:val="21"/>
                    </w:rPr>
                  </w:pPr>
                </w:p>
              </w:tc>
              <w:tc>
                <w:tcPr>
                  <w:tcW w:w="672" w:type="pc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生化池</w:t>
                  </w:r>
                </w:p>
              </w:tc>
              <w:tc>
                <w:tcPr>
                  <w:tcW w:w="732" w:type="pct"/>
                  <w:tcBorders>
                    <w:tl2br w:val="nil"/>
                    <w:tr2bl w:val="nil"/>
                  </w:tcBorders>
                  <w:vAlign w:val="center"/>
                </w:tcPr>
                <w:p>
                  <w:pPr>
                    <w:pStyle w:val="2"/>
                    <w:snapToGrid w:val="0"/>
                    <w:spacing w:line="240" w:lineRule="auto"/>
                    <w:jc w:val="center"/>
                    <w:rPr>
                      <w:rFonts w:ascii="Times New Roman" w:cs="Times New Roman"/>
                      <w:color w:val="auto"/>
                      <w:sz w:val="21"/>
                      <w:szCs w:val="21"/>
                    </w:rPr>
                  </w:pPr>
                  <w:r>
                    <w:rPr>
                      <w:rFonts w:hint="eastAsia" w:ascii="Times New Roman" w:cs="Times New Roman"/>
                      <w:color w:val="auto"/>
                      <w:sz w:val="21"/>
                      <w:szCs w:val="21"/>
                    </w:rPr>
                    <w:t>20</w:t>
                  </w:r>
                  <w:r>
                    <w:rPr>
                      <w:rFonts w:ascii="Times New Roman" w:cs="Times New Roman"/>
                      <w:color w:val="auto"/>
                      <w:sz w:val="21"/>
                      <w:szCs w:val="21"/>
                    </w:rPr>
                    <w:t>m</w:t>
                  </w:r>
                  <w:r>
                    <w:rPr>
                      <w:rFonts w:ascii="Times New Roman" w:cs="Times New Roman"/>
                      <w:color w:val="auto"/>
                      <w:sz w:val="21"/>
                      <w:szCs w:val="21"/>
                      <w:vertAlign w:val="superscript"/>
                    </w:rPr>
                    <w:t>3</w:t>
                  </w:r>
                  <w:r>
                    <w:rPr>
                      <w:rFonts w:ascii="Times New Roman" w:cs="Times New Roman"/>
                      <w:color w:val="auto"/>
                      <w:sz w:val="21"/>
                      <w:szCs w:val="21"/>
                    </w:rPr>
                    <w:t>/d</w:t>
                  </w:r>
                </w:p>
              </w:tc>
              <w:tc>
                <w:tcPr>
                  <w:tcW w:w="786" w:type="pct"/>
                  <w:vMerge w:val="continue"/>
                  <w:tcBorders>
                    <w:tl2br w:val="nil"/>
                    <w:tr2bl w:val="nil"/>
                  </w:tcBorders>
                  <w:vAlign w:val="center"/>
                </w:tcPr>
                <w:p>
                  <w:pPr>
                    <w:pStyle w:val="2"/>
                    <w:snapToGrid w:val="0"/>
                    <w:spacing w:line="240" w:lineRule="auto"/>
                    <w:jc w:val="center"/>
                    <w:rPr>
                      <w:rFonts w:ascii="Times New Roman" w:cs="Times New Roman"/>
                      <w:color w:val="auto"/>
                      <w:sz w:val="21"/>
                      <w:szCs w:val="21"/>
                    </w:rPr>
                  </w:pPr>
                </w:p>
              </w:tc>
              <w:tc>
                <w:tcPr>
                  <w:tcW w:w="709" w:type="pct"/>
                  <w:vMerge w:val="continue"/>
                  <w:tcBorders>
                    <w:tl2br w:val="nil"/>
                    <w:tr2bl w:val="nil"/>
                  </w:tcBorders>
                  <w:vAlign w:val="center"/>
                </w:tcPr>
                <w:p>
                  <w:pPr>
                    <w:pStyle w:val="2"/>
                    <w:snapToGrid w:val="0"/>
                    <w:spacing w:line="240" w:lineRule="auto"/>
                    <w:jc w:val="center"/>
                    <w:rPr>
                      <w:rFonts w:ascii="Times New Roman" w:cs="Times New Roman"/>
                      <w:color w:val="auto"/>
                      <w:sz w:val="21"/>
                      <w:szCs w:val="21"/>
                    </w:rPr>
                  </w:pPr>
                </w:p>
              </w:tc>
              <w:tc>
                <w:tcPr>
                  <w:tcW w:w="827" w:type="pct"/>
                  <w:vMerge w:val="continue"/>
                  <w:tcBorders>
                    <w:tl2br w:val="nil"/>
                    <w:tr2bl w:val="nil"/>
                  </w:tcBorders>
                  <w:vAlign w:val="center"/>
                </w:tcPr>
                <w:p>
                  <w:pPr>
                    <w:pStyle w:val="2"/>
                    <w:snapToGrid w:val="0"/>
                    <w:spacing w:line="240" w:lineRule="auto"/>
                    <w:rPr>
                      <w:rFonts w:ascii="Times New Roman" w:cs="Times New Roman"/>
                      <w:color w:val="auto"/>
                      <w:sz w:val="21"/>
                      <w:szCs w:val="21"/>
                    </w:rPr>
                  </w:pPr>
                </w:p>
              </w:tc>
            </w:tr>
          </w:tbl>
          <w:p>
            <w:pPr>
              <w:pStyle w:val="2"/>
              <w:jc w:val="center"/>
              <w:rPr>
                <w:rFonts w:ascii="Times New Roman" w:cs="Times New Roman"/>
                <w:color w:val="auto"/>
                <w:sz w:val="21"/>
                <w:szCs w:val="21"/>
              </w:rPr>
            </w:pPr>
            <w:r>
              <w:rPr>
                <w:rFonts w:ascii="Times New Roman" w:cs="Times New Roman"/>
                <w:color w:val="auto"/>
                <w:sz w:val="21"/>
                <w:szCs w:val="21"/>
              </w:rPr>
              <w:t>表4.</w:t>
            </w:r>
            <w:r>
              <w:rPr>
                <w:rFonts w:hint="eastAsia" w:ascii="Times New Roman" w:cs="Times New Roman"/>
                <w:color w:val="auto"/>
                <w:sz w:val="21"/>
                <w:szCs w:val="21"/>
              </w:rPr>
              <w:t>10 废水排放口基本信息</w:t>
            </w:r>
            <w:r>
              <w:rPr>
                <w:rFonts w:ascii="Times New Roman" w:cs="Times New Roman"/>
                <w:color w:val="auto"/>
                <w:sz w:val="21"/>
                <w:szCs w:val="21"/>
              </w:rPr>
              <w:t>一览表</w:t>
            </w:r>
          </w:p>
          <w:tbl>
            <w:tblPr>
              <w:tblStyle w:val="23"/>
              <w:tblW w:w="4997"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615"/>
              <w:gridCol w:w="949"/>
              <w:gridCol w:w="949"/>
              <w:gridCol w:w="949"/>
              <w:gridCol w:w="1421"/>
              <w:gridCol w:w="131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9" w:type="pct"/>
                  <w:vMerge w:val="restart"/>
                  <w:tcBorders>
                    <w:tl2br w:val="nil"/>
                    <w:tr2bl w:val="nil"/>
                  </w:tcBorders>
                  <w:vAlign w:val="center"/>
                </w:tcPr>
                <w:p>
                  <w:pPr>
                    <w:pStyle w:val="2"/>
                    <w:spacing w:line="240" w:lineRule="auto"/>
                    <w:jc w:val="center"/>
                    <w:rPr>
                      <w:rFonts w:ascii="Times New Roman" w:cs="Times New Roman"/>
                      <w:color w:val="auto"/>
                      <w:sz w:val="21"/>
                      <w:szCs w:val="21"/>
                    </w:rPr>
                  </w:pPr>
                  <w:r>
                    <w:rPr>
                      <w:rFonts w:ascii="Times New Roman" w:cs="Times New Roman"/>
                      <w:color w:val="auto"/>
                      <w:sz w:val="21"/>
                      <w:szCs w:val="21"/>
                    </w:rPr>
                    <w:t>排放口</w:t>
                  </w:r>
                </w:p>
                <w:p>
                  <w:pPr>
                    <w:pStyle w:val="2"/>
                    <w:spacing w:line="240" w:lineRule="auto"/>
                    <w:jc w:val="center"/>
                    <w:rPr>
                      <w:rFonts w:ascii="Times New Roman" w:cs="Times New Roman"/>
                      <w:color w:val="auto"/>
                      <w:sz w:val="21"/>
                      <w:szCs w:val="21"/>
                    </w:rPr>
                  </w:pPr>
                  <w:r>
                    <w:rPr>
                      <w:rFonts w:ascii="Times New Roman" w:cs="Times New Roman"/>
                      <w:color w:val="auto"/>
                      <w:sz w:val="21"/>
                      <w:szCs w:val="21"/>
                    </w:rPr>
                    <w:t>名称</w:t>
                  </w:r>
                </w:p>
              </w:tc>
              <w:tc>
                <w:tcPr>
                  <w:tcW w:w="1037" w:type="pct"/>
                  <w:vMerge w:val="restart"/>
                  <w:tcBorders>
                    <w:tl2br w:val="nil"/>
                    <w:tr2bl w:val="nil"/>
                  </w:tcBorders>
                  <w:vAlign w:val="center"/>
                </w:tcPr>
                <w:p>
                  <w:pPr>
                    <w:pStyle w:val="2"/>
                    <w:spacing w:line="240" w:lineRule="auto"/>
                    <w:jc w:val="center"/>
                    <w:rPr>
                      <w:rFonts w:ascii="Times New Roman" w:cs="Times New Roman"/>
                      <w:color w:val="auto"/>
                      <w:sz w:val="21"/>
                      <w:szCs w:val="21"/>
                    </w:rPr>
                  </w:pPr>
                  <w:r>
                    <w:rPr>
                      <w:rFonts w:ascii="Times New Roman" w:cs="Times New Roman"/>
                      <w:color w:val="auto"/>
                      <w:sz w:val="21"/>
                      <w:szCs w:val="21"/>
                    </w:rPr>
                    <w:t>污染物种类</w:t>
                  </w:r>
                </w:p>
              </w:tc>
              <w:tc>
                <w:tcPr>
                  <w:tcW w:w="629" w:type="pct"/>
                  <w:vMerge w:val="restart"/>
                  <w:tcBorders>
                    <w:tl2br w:val="nil"/>
                    <w:tr2bl w:val="nil"/>
                  </w:tcBorders>
                  <w:vAlign w:val="center"/>
                </w:tcPr>
                <w:p>
                  <w:pPr>
                    <w:pStyle w:val="2"/>
                    <w:spacing w:line="240" w:lineRule="auto"/>
                    <w:jc w:val="center"/>
                    <w:rPr>
                      <w:rFonts w:ascii="Times New Roman" w:cs="Times New Roman"/>
                      <w:color w:val="auto"/>
                      <w:sz w:val="21"/>
                      <w:szCs w:val="21"/>
                    </w:rPr>
                  </w:pPr>
                  <w:r>
                    <w:rPr>
                      <w:rFonts w:ascii="Times New Roman" w:cs="Times New Roman"/>
                      <w:color w:val="auto"/>
                      <w:sz w:val="21"/>
                      <w:szCs w:val="21"/>
                    </w:rPr>
                    <w:t>排放方式</w:t>
                  </w:r>
                </w:p>
              </w:tc>
              <w:tc>
                <w:tcPr>
                  <w:tcW w:w="629" w:type="pct"/>
                  <w:vMerge w:val="restart"/>
                  <w:tcBorders>
                    <w:tl2br w:val="nil"/>
                    <w:tr2bl w:val="nil"/>
                  </w:tcBorders>
                  <w:vAlign w:val="center"/>
                </w:tcPr>
                <w:p>
                  <w:pPr>
                    <w:pStyle w:val="2"/>
                    <w:spacing w:line="240" w:lineRule="auto"/>
                    <w:jc w:val="center"/>
                    <w:rPr>
                      <w:rFonts w:ascii="Times New Roman" w:cs="Times New Roman"/>
                      <w:color w:val="auto"/>
                      <w:sz w:val="21"/>
                      <w:szCs w:val="21"/>
                    </w:rPr>
                  </w:pPr>
                  <w:r>
                    <w:rPr>
                      <w:rFonts w:ascii="Times New Roman" w:cs="Times New Roman"/>
                      <w:color w:val="auto"/>
                      <w:sz w:val="21"/>
                      <w:szCs w:val="21"/>
                    </w:rPr>
                    <w:t>排放去向</w:t>
                  </w:r>
                </w:p>
              </w:tc>
              <w:tc>
                <w:tcPr>
                  <w:tcW w:w="629" w:type="pct"/>
                  <w:vMerge w:val="restart"/>
                  <w:tcBorders>
                    <w:tl2br w:val="nil"/>
                    <w:tr2bl w:val="nil"/>
                  </w:tcBorders>
                  <w:vAlign w:val="center"/>
                </w:tcPr>
                <w:p>
                  <w:pPr>
                    <w:pStyle w:val="2"/>
                    <w:spacing w:line="240" w:lineRule="auto"/>
                    <w:jc w:val="center"/>
                    <w:rPr>
                      <w:rFonts w:ascii="Times New Roman" w:cs="Times New Roman"/>
                      <w:color w:val="auto"/>
                      <w:sz w:val="21"/>
                      <w:szCs w:val="21"/>
                    </w:rPr>
                  </w:pPr>
                  <w:r>
                    <w:rPr>
                      <w:rFonts w:ascii="Times New Roman" w:cs="Times New Roman"/>
                      <w:color w:val="auto"/>
                      <w:sz w:val="21"/>
                      <w:szCs w:val="21"/>
                    </w:rPr>
                    <w:t>排放规律</w:t>
                  </w:r>
                </w:p>
              </w:tc>
              <w:tc>
                <w:tcPr>
                  <w:tcW w:w="1446" w:type="pct"/>
                  <w:gridSpan w:val="2"/>
                  <w:tcBorders>
                    <w:tl2br w:val="nil"/>
                    <w:tr2bl w:val="nil"/>
                  </w:tcBorders>
                  <w:vAlign w:val="center"/>
                </w:tcPr>
                <w:p>
                  <w:pPr>
                    <w:pStyle w:val="2"/>
                    <w:spacing w:line="240" w:lineRule="auto"/>
                    <w:jc w:val="center"/>
                    <w:rPr>
                      <w:rFonts w:ascii="Times New Roman" w:cs="Times New Roman"/>
                      <w:color w:val="auto"/>
                      <w:sz w:val="21"/>
                      <w:szCs w:val="21"/>
                    </w:rPr>
                  </w:pPr>
                  <w:r>
                    <w:rPr>
                      <w:rFonts w:ascii="Times New Roman" w:cs="Times New Roman"/>
                      <w:color w:val="auto"/>
                      <w:sz w:val="21"/>
                      <w:szCs w:val="21"/>
                    </w:rPr>
                    <w:t>地理坐标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9" w:type="pct"/>
                  <w:vMerge w:val="continue"/>
                  <w:tcBorders>
                    <w:tl2br w:val="nil"/>
                    <w:tr2bl w:val="nil"/>
                  </w:tcBorders>
                  <w:vAlign w:val="center"/>
                </w:tcPr>
                <w:p>
                  <w:pPr>
                    <w:pStyle w:val="2"/>
                    <w:spacing w:line="240" w:lineRule="auto"/>
                    <w:jc w:val="center"/>
                    <w:rPr>
                      <w:rFonts w:ascii="Times New Roman" w:cs="Times New Roman"/>
                      <w:color w:val="auto"/>
                      <w:sz w:val="21"/>
                      <w:szCs w:val="21"/>
                    </w:rPr>
                  </w:pPr>
                </w:p>
              </w:tc>
              <w:tc>
                <w:tcPr>
                  <w:tcW w:w="1037" w:type="pct"/>
                  <w:vMerge w:val="continue"/>
                  <w:tcBorders>
                    <w:tl2br w:val="nil"/>
                    <w:tr2bl w:val="nil"/>
                  </w:tcBorders>
                  <w:vAlign w:val="center"/>
                </w:tcPr>
                <w:p>
                  <w:pPr>
                    <w:pStyle w:val="2"/>
                    <w:spacing w:line="240" w:lineRule="auto"/>
                    <w:jc w:val="center"/>
                    <w:rPr>
                      <w:rFonts w:ascii="Times New Roman" w:cs="Times New Roman"/>
                      <w:color w:val="auto"/>
                      <w:sz w:val="21"/>
                      <w:szCs w:val="21"/>
                    </w:rPr>
                  </w:pPr>
                </w:p>
              </w:tc>
              <w:tc>
                <w:tcPr>
                  <w:tcW w:w="629" w:type="pct"/>
                  <w:vMerge w:val="continue"/>
                  <w:tcBorders>
                    <w:tl2br w:val="nil"/>
                    <w:tr2bl w:val="nil"/>
                  </w:tcBorders>
                  <w:vAlign w:val="center"/>
                </w:tcPr>
                <w:p>
                  <w:pPr>
                    <w:pStyle w:val="2"/>
                    <w:spacing w:line="240" w:lineRule="auto"/>
                    <w:jc w:val="center"/>
                    <w:rPr>
                      <w:rFonts w:ascii="Times New Roman" w:cs="Times New Roman"/>
                      <w:color w:val="auto"/>
                      <w:sz w:val="21"/>
                      <w:szCs w:val="21"/>
                    </w:rPr>
                  </w:pPr>
                </w:p>
              </w:tc>
              <w:tc>
                <w:tcPr>
                  <w:tcW w:w="629" w:type="pct"/>
                  <w:vMerge w:val="continue"/>
                  <w:tcBorders>
                    <w:tl2br w:val="nil"/>
                    <w:tr2bl w:val="nil"/>
                  </w:tcBorders>
                  <w:vAlign w:val="center"/>
                </w:tcPr>
                <w:p>
                  <w:pPr>
                    <w:pStyle w:val="2"/>
                    <w:spacing w:line="240" w:lineRule="auto"/>
                    <w:jc w:val="center"/>
                    <w:rPr>
                      <w:rFonts w:ascii="Times New Roman" w:cs="Times New Roman"/>
                      <w:color w:val="auto"/>
                      <w:sz w:val="21"/>
                      <w:szCs w:val="21"/>
                    </w:rPr>
                  </w:pPr>
                </w:p>
              </w:tc>
              <w:tc>
                <w:tcPr>
                  <w:tcW w:w="629" w:type="pct"/>
                  <w:vMerge w:val="continue"/>
                  <w:tcBorders>
                    <w:tl2br w:val="nil"/>
                    <w:tr2bl w:val="nil"/>
                  </w:tcBorders>
                  <w:vAlign w:val="center"/>
                </w:tcPr>
                <w:p>
                  <w:pPr>
                    <w:pStyle w:val="2"/>
                    <w:spacing w:line="240" w:lineRule="auto"/>
                    <w:jc w:val="center"/>
                    <w:rPr>
                      <w:rFonts w:ascii="Times New Roman" w:cs="Times New Roman"/>
                      <w:color w:val="auto"/>
                      <w:sz w:val="21"/>
                      <w:szCs w:val="21"/>
                    </w:rPr>
                  </w:pPr>
                </w:p>
              </w:tc>
              <w:tc>
                <w:tcPr>
                  <w:tcW w:w="753" w:type="pct"/>
                  <w:tcBorders>
                    <w:tl2br w:val="nil"/>
                    <w:tr2bl w:val="nil"/>
                  </w:tcBorders>
                  <w:vAlign w:val="center"/>
                </w:tcPr>
                <w:p>
                  <w:pPr>
                    <w:pStyle w:val="2"/>
                    <w:spacing w:line="240" w:lineRule="auto"/>
                    <w:jc w:val="center"/>
                    <w:rPr>
                      <w:rFonts w:ascii="Times New Roman" w:cs="Times New Roman"/>
                      <w:color w:val="auto"/>
                      <w:sz w:val="21"/>
                      <w:szCs w:val="21"/>
                    </w:rPr>
                  </w:pPr>
                  <w:r>
                    <w:rPr>
                      <w:rFonts w:ascii="Times New Roman" w:cs="Times New Roman"/>
                      <w:color w:val="auto"/>
                      <w:sz w:val="21"/>
                      <w:szCs w:val="21"/>
                    </w:rPr>
                    <w:t>经度</w:t>
                  </w:r>
                </w:p>
              </w:tc>
              <w:tc>
                <w:tcPr>
                  <w:tcW w:w="692" w:type="pct"/>
                  <w:tcBorders>
                    <w:tl2br w:val="nil"/>
                    <w:tr2bl w:val="nil"/>
                  </w:tcBorders>
                  <w:vAlign w:val="center"/>
                </w:tcPr>
                <w:p>
                  <w:pPr>
                    <w:pStyle w:val="2"/>
                    <w:spacing w:line="240" w:lineRule="auto"/>
                    <w:jc w:val="center"/>
                    <w:rPr>
                      <w:rFonts w:ascii="Times New Roman" w:cs="Times New Roman"/>
                      <w:color w:val="auto"/>
                      <w:sz w:val="21"/>
                      <w:szCs w:val="21"/>
                    </w:rPr>
                  </w:pPr>
                  <w:r>
                    <w:rPr>
                      <w:rFonts w:ascii="Times New Roman" w:cs="Times New Roman"/>
                      <w:color w:val="auto"/>
                      <w:sz w:val="21"/>
                      <w:szCs w:val="21"/>
                    </w:rPr>
                    <w:t>纬度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9" w:type="pct"/>
                  <w:tcBorders>
                    <w:tl2br w:val="nil"/>
                    <w:tr2bl w:val="nil"/>
                  </w:tcBorders>
                  <w:vAlign w:val="center"/>
                </w:tcPr>
                <w:p>
                  <w:pPr>
                    <w:pStyle w:val="2"/>
                    <w:spacing w:line="240" w:lineRule="auto"/>
                    <w:jc w:val="center"/>
                    <w:rPr>
                      <w:rFonts w:ascii="Times New Roman" w:cs="Times New Roman"/>
                      <w:color w:val="auto"/>
                      <w:sz w:val="21"/>
                      <w:szCs w:val="21"/>
                    </w:rPr>
                  </w:pPr>
                  <w:r>
                    <w:rPr>
                      <w:rFonts w:ascii="Times New Roman" w:cs="Times New Roman"/>
                      <w:color w:val="auto"/>
                      <w:sz w:val="21"/>
                      <w:szCs w:val="21"/>
                    </w:rPr>
                    <w:t>废水</w:t>
                  </w:r>
                </w:p>
                <w:p>
                  <w:pPr>
                    <w:pStyle w:val="2"/>
                    <w:spacing w:line="240" w:lineRule="auto"/>
                    <w:jc w:val="center"/>
                    <w:rPr>
                      <w:rFonts w:ascii="Times New Roman" w:cs="Times New Roman"/>
                      <w:color w:val="auto"/>
                      <w:sz w:val="21"/>
                      <w:szCs w:val="21"/>
                    </w:rPr>
                  </w:pPr>
                  <w:r>
                    <w:rPr>
                      <w:rFonts w:ascii="Times New Roman" w:cs="Times New Roman"/>
                      <w:color w:val="auto"/>
                      <w:sz w:val="21"/>
                      <w:szCs w:val="21"/>
                    </w:rPr>
                    <w:t>总排口</w:t>
                  </w:r>
                </w:p>
              </w:tc>
              <w:tc>
                <w:tcPr>
                  <w:tcW w:w="1037" w:type="pct"/>
                  <w:tcBorders>
                    <w:tl2br w:val="nil"/>
                    <w:tr2bl w:val="nil"/>
                  </w:tcBorders>
                  <w:vAlign w:val="center"/>
                </w:tcPr>
                <w:p>
                  <w:pPr>
                    <w:pStyle w:val="2"/>
                    <w:spacing w:line="240" w:lineRule="auto"/>
                    <w:jc w:val="center"/>
                    <w:rPr>
                      <w:rFonts w:ascii="Times New Roman" w:cs="Times New Roman"/>
                      <w:color w:val="auto"/>
                      <w:sz w:val="21"/>
                      <w:szCs w:val="21"/>
                    </w:rPr>
                  </w:pPr>
                  <w:r>
                    <w:rPr>
                      <w:rFonts w:ascii="Times New Roman" w:cs="Times New Roman"/>
                      <w:color w:val="auto"/>
                      <w:sz w:val="21"/>
                      <w:szCs w:val="21"/>
                    </w:rPr>
                    <w:t>pH、COD、BOD</w:t>
                  </w:r>
                  <w:r>
                    <w:rPr>
                      <w:rFonts w:ascii="Times New Roman" w:cs="Times New Roman"/>
                      <w:color w:val="auto"/>
                      <w:sz w:val="21"/>
                      <w:szCs w:val="21"/>
                      <w:vertAlign w:val="subscript"/>
                    </w:rPr>
                    <w:t>5</w:t>
                  </w:r>
                  <w:r>
                    <w:rPr>
                      <w:rFonts w:ascii="Times New Roman" w:cs="Times New Roman"/>
                      <w:color w:val="auto"/>
                      <w:sz w:val="21"/>
                      <w:szCs w:val="21"/>
                    </w:rPr>
                    <w:t>、SS、氨氮、</w:t>
                  </w:r>
                  <w:r>
                    <w:rPr>
                      <w:rFonts w:hint="eastAsia" w:ascii="Times New Roman" w:cs="Times New Roman"/>
                      <w:color w:val="auto"/>
                      <w:sz w:val="21"/>
                      <w:szCs w:val="21"/>
                    </w:rPr>
                    <w:t>动植物油</w:t>
                  </w:r>
                </w:p>
              </w:tc>
              <w:tc>
                <w:tcPr>
                  <w:tcW w:w="629" w:type="pct"/>
                  <w:tcBorders>
                    <w:tl2br w:val="nil"/>
                    <w:tr2bl w:val="nil"/>
                  </w:tcBorders>
                  <w:vAlign w:val="center"/>
                </w:tcPr>
                <w:p>
                  <w:pPr>
                    <w:pStyle w:val="2"/>
                    <w:spacing w:line="240" w:lineRule="auto"/>
                    <w:jc w:val="center"/>
                    <w:rPr>
                      <w:rFonts w:ascii="Times New Roman" w:cs="Times New Roman"/>
                      <w:color w:val="auto"/>
                      <w:sz w:val="21"/>
                      <w:szCs w:val="21"/>
                    </w:rPr>
                  </w:pPr>
                  <w:r>
                    <w:rPr>
                      <w:rFonts w:ascii="Times New Roman" w:cs="Times New Roman"/>
                      <w:color w:val="auto"/>
                      <w:sz w:val="21"/>
                      <w:szCs w:val="21"/>
                    </w:rPr>
                    <w:t>间接排放</w:t>
                  </w:r>
                </w:p>
              </w:tc>
              <w:tc>
                <w:tcPr>
                  <w:tcW w:w="629" w:type="pct"/>
                  <w:tcBorders>
                    <w:tl2br w:val="nil"/>
                    <w:tr2bl w:val="nil"/>
                  </w:tcBorders>
                  <w:vAlign w:val="center"/>
                </w:tcPr>
                <w:p>
                  <w:pPr>
                    <w:pStyle w:val="2"/>
                    <w:spacing w:line="240" w:lineRule="auto"/>
                    <w:jc w:val="center"/>
                    <w:rPr>
                      <w:rFonts w:ascii="Times New Roman" w:cs="Times New Roman"/>
                      <w:color w:val="auto"/>
                      <w:sz w:val="21"/>
                      <w:szCs w:val="21"/>
                    </w:rPr>
                  </w:pPr>
                  <w:r>
                    <w:rPr>
                      <w:rFonts w:hint="eastAsia" w:ascii="Times New Roman" w:cs="Times New Roman"/>
                      <w:color w:val="auto"/>
                      <w:sz w:val="21"/>
                      <w:szCs w:val="21"/>
                    </w:rPr>
                    <w:t>东城污水处理厂</w:t>
                  </w:r>
                </w:p>
              </w:tc>
              <w:tc>
                <w:tcPr>
                  <w:tcW w:w="629" w:type="pct"/>
                  <w:tcBorders>
                    <w:tl2br w:val="nil"/>
                    <w:tr2bl w:val="nil"/>
                  </w:tcBorders>
                  <w:vAlign w:val="center"/>
                </w:tcPr>
                <w:p>
                  <w:pPr>
                    <w:pStyle w:val="2"/>
                    <w:spacing w:line="240" w:lineRule="auto"/>
                    <w:jc w:val="center"/>
                    <w:rPr>
                      <w:rFonts w:ascii="Times New Roman" w:cs="Times New Roman"/>
                      <w:color w:val="auto"/>
                      <w:sz w:val="21"/>
                      <w:szCs w:val="21"/>
                    </w:rPr>
                  </w:pPr>
                  <w:r>
                    <w:rPr>
                      <w:rFonts w:ascii="Times New Roman" w:cs="Times New Roman"/>
                      <w:color w:val="auto"/>
                      <w:sz w:val="21"/>
                      <w:szCs w:val="21"/>
                    </w:rPr>
                    <w:t>连续排放，流量不稳定，但有规律</w:t>
                  </w:r>
                </w:p>
              </w:tc>
              <w:tc>
                <w:tcPr>
                  <w:tcW w:w="1275" w:type="dxa"/>
                  <w:tcBorders>
                    <w:tl2br w:val="nil"/>
                    <w:tr2bl w:val="nil"/>
                  </w:tcBorders>
                  <w:vAlign w:val="center"/>
                </w:tcPr>
                <w:p>
                  <w:pPr>
                    <w:tabs>
                      <w:tab w:val="left" w:pos="600"/>
                    </w:tabs>
                    <w:jc w:val="center"/>
                    <w:rPr>
                      <w:color w:val="auto"/>
                      <w:szCs w:val="21"/>
                    </w:rPr>
                  </w:pPr>
                  <w:r>
                    <w:rPr>
                      <w:color w:val="auto"/>
                      <w:szCs w:val="21"/>
                    </w:rPr>
                    <w:t>106°</w:t>
                  </w:r>
                  <w:r>
                    <w:rPr>
                      <w:rFonts w:hint="eastAsia"/>
                      <w:color w:val="auto"/>
                      <w:szCs w:val="21"/>
                    </w:rPr>
                    <w:t>7</w:t>
                  </w:r>
                  <w:r>
                    <w:rPr>
                      <w:color w:val="auto"/>
                      <w:szCs w:val="21"/>
                    </w:rPr>
                    <w:t>ʹ</w:t>
                  </w:r>
                  <w:r>
                    <w:rPr>
                      <w:rFonts w:hint="eastAsia"/>
                      <w:color w:val="auto"/>
                      <w:szCs w:val="21"/>
                    </w:rPr>
                    <w:t>32.820</w:t>
                  </w:r>
                  <w:r>
                    <w:rPr>
                      <w:color w:val="auto"/>
                      <w:szCs w:val="21"/>
                    </w:rPr>
                    <w:t>ʺ</w:t>
                  </w:r>
                </w:p>
              </w:tc>
              <w:tc>
                <w:tcPr>
                  <w:tcW w:w="1174" w:type="dxa"/>
                  <w:tcBorders>
                    <w:tl2br w:val="nil"/>
                    <w:tr2bl w:val="nil"/>
                  </w:tcBorders>
                  <w:vAlign w:val="center"/>
                </w:tcPr>
                <w:p>
                  <w:pPr>
                    <w:tabs>
                      <w:tab w:val="left" w:pos="600"/>
                    </w:tabs>
                    <w:jc w:val="center"/>
                    <w:rPr>
                      <w:color w:val="auto"/>
                      <w:szCs w:val="21"/>
                    </w:rPr>
                  </w:pPr>
                  <w:r>
                    <w:rPr>
                      <w:color w:val="auto"/>
                      <w:szCs w:val="21"/>
                    </w:rPr>
                    <w:t>29°</w:t>
                  </w:r>
                  <w:r>
                    <w:rPr>
                      <w:rFonts w:hint="eastAsia"/>
                      <w:color w:val="auto"/>
                      <w:szCs w:val="21"/>
                    </w:rPr>
                    <w:t>51</w:t>
                  </w:r>
                  <w:r>
                    <w:rPr>
                      <w:color w:val="auto"/>
                      <w:szCs w:val="21"/>
                    </w:rPr>
                    <w:t>ʹ</w:t>
                  </w:r>
                  <w:r>
                    <w:rPr>
                      <w:rFonts w:hint="eastAsia"/>
                      <w:color w:val="auto"/>
                      <w:szCs w:val="21"/>
                    </w:rPr>
                    <w:t>2.890</w:t>
                  </w:r>
                  <w:r>
                    <w:rPr>
                      <w:color w:val="auto"/>
                      <w:szCs w:val="21"/>
                    </w:rPr>
                    <w:t>ʺ</w:t>
                  </w:r>
                </w:p>
              </w:tc>
            </w:tr>
          </w:tbl>
          <w:p>
            <w:pPr>
              <w:pStyle w:val="2"/>
              <w:ind w:firstLine="480" w:firstLineChars="200"/>
              <w:rPr>
                <w:rFonts w:ascii="Times New Roman" w:cs="Times New Roman"/>
                <w:color w:val="auto"/>
              </w:rPr>
            </w:pPr>
            <w:r>
              <w:rPr>
                <w:rFonts w:hint="eastAsia" w:ascii="Times New Roman" w:cs="Times New Roman"/>
                <w:color w:val="auto"/>
              </w:rPr>
              <w:t>（4</w:t>
            </w:r>
            <w:r>
              <w:rPr>
                <w:rFonts w:ascii="Times New Roman" w:cs="Times New Roman"/>
                <w:color w:val="auto"/>
              </w:rPr>
              <w:t>）</w:t>
            </w:r>
            <w:r>
              <w:rPr>
                <w:rFonts w:hint="eastAsia" w:ascii="Times New Roman" w:cs="Times New Roman"/>
                <w:color w:val="auto"/>
              </w:rPr>
              <w:t>废水</w:t>
            </w:r>
            <w:r>
              <w:rPr>
                <w:rFonts w:ascii="Times New Roman" w:cs="Times New Roman"/>
                <w:color w:val="auto"/>
              </w:rPr>
              <w:t>例行监测要求</w:t>
            </w:r>
          </w:p>
          <w:p>
            <w:pPr>
              <w:widowControl/>
              <w:spacing w:line="360" w:lineRule="auto"/>
              <w:ind w:firstLine="480" w:firstLineChars="200"/>
              <w:jc w:val="left"/>
              <w:rPr>
                <w:color w:val="auto"/>
              </w:rPr>
            </w:pPr>
            <w:r>
              <w:rPr>
                <w:color w:val="auto"/>
                <w:sz w:val="24"/>
              </w:rPr>
              <w:t>根据《排污单位自行监测技术指南—</w:t>
            </w:r>
            <w:r>
              <w:rPr>
                <w:rFonts w:hint="eastAsia"/>
                <w:color w:val="auto"/>
                <w:sz w:val="24"/>
              </w:rPr>
              <w:t>总则</w:t>
            </w:r>
            <w:r>
              <w:rPr>
                <w:color w:val="auto"/>
                <w:sz w:val="24"/>
              </w:rPr>
              <w:t>》(HJ</w:t>
            </w:r>
            <w:r>
              <w:rPr>
                <w:rFonts w:hint="eastAsia"/>
                <w:color w:val="auto"/>
                <w:sz w:val="24"/>
              </w:rPr>
              <w:t>819</w:t>
            </w:r>
            <w:r>
              <w:rPr>
                <w:color w:val="auto"/>
                <w:sz w:val="24"/>
              </w:rPr>
              <w:t>-20</w:t>
            </w:r>
            <w:r>
              <w:rPr>
                <w:rFonts w:hint="eastAsia"/>
                <w:color w:val="auto"/>
                <w:sz w:val="24"/>
              </w:rPr>
              <w:t>17</w:t>
            </w:r>
            <w:r>
              <w:rPr>
                <w:color w:val="auto"/>
                <w:sz w:val="24"/>
              </w:rPr>
              <w:t>)</w:t>
            </w:r>
            <w:r>
              <w:rPr>
                <w:rFonts w:hint="eastAsia"/>
                <w:color w:val="auto"/>
                <w:sz w:val="24"/>
              </w:rPr>
              <w:t>，结合</w:t>
            </w:r>
            <w:r>
              <w:rPr>
                <w:color w:val="auto"/>
                <w:sz w:val="24"/>
              </w:rPr>
              <w:t>《排污许可证申请与核发技术规范—</w:t>
            </w:r>
            <w:r>
              <w:rPr>
                <w:rFonts w:hint="eastAsia"/>
                <w:color w:val="auto"/>
                <w:sz w:val="24"/>
              </w:rPr>
              <w:t>汽车制造业</w:t>
            </w:r>
            <w:r>
              <w:rPr>
                <w:color w:val="auto"/>
                <w:sz w:val="24"/>
              </w:rPr>
              <w:t>》（HJ861-2017），详见表4.</w:t>
            </w:r>
            <w:r>
              <w:rPr>
                <w:rFonts w:hint="eastAsia"/>
                <w:color w:val="auto"/>
                <w:sz w:val="24"/>
              </w:rPr>
              <w:t>11</w:t>
            </w:r>
            <w:r>
              <w:rPr>
                <w:color w:val="auto"/>
                <w:sz w:val="24"/>
              </w:rPr>
              <w:t>。</w:t>
            </w:r>
          </w:p>
          <w:p>
            <w:pPr>
              <w:adjustRightInd w:val="0"/>
              <w:snapToGrid w:val="0"/>
              <w:spacing w:line="360" w:lineRule="auto"/>
              <w:jc w:val="center"/>
              <w:rPr>
                <w:color w:val="auto"/>
                <w:sz w:val="21"/>
                <w:szCs w:val="21"/>
              </w:rPr>
            </w:pPr>
            <w:r>
              <w:rPr>
                <w:color w:val="auto"/>
                <w:sz w:val="21"/>
                <w:szCs w:val="21"/>
              </w:rPr>
              <w:t>表4.</w:t>
            </w:r>
            <w:r>
              <w:rPr>
                <w:rFonts w:hint="eastAsia"/>
                <w:color w:val="auto"/>
                <w:sz w:val="21"/>
                <w:szCs w:val="21"/>
              </w:rPr>
              <w:t>11废水</w:t>
            </w:r>
            <w:r>
              <w:rPr>
                <w:color w:val="auto"/>
                <w:sz w:val="21"/>
                <w:szCs w:val="21"/>
              </w:rPr>
              <w:t>监</w:t>
            </w:r>
            <w:r>
              <w:rPr>
                <w:rFonts w:hint="eastAsia"/>
                <w:color w:val="auto"/>
                <w:sz w:val="21"/>
                <w:szCs w:val="21"/>
              </w:rPr>
              <w:t>例行监</w:t>
            </w:r>
            <w:r>
              <w:rPr>
                <w:color w:val="auto"/>
                <w:sz w:val="21"/>
                <w:szCs w:val="21"/>
              </w:rPr>
              <w:t>测要求一览表</w:t>
            </w:r>
          </w:p>
          <w:tbl>
            <w:tblPr>
              <w:tblStyle w:val="22"/>
              <w:tblW w:w="5000" w:type="pct"/>
              <w:tblInd w:w="0"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47"/>
              <w:gridCol w:w="1026"/>
              <w:gridCol w:w="2352"/>
              <w:gridCol w:w="935"/>
              <w:gridCol w:w="3094"/>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58" w:type="pct"/>
                  <w:tcBorders>
                    <w:top w:val="single" w:color="auto" w:sz="6" w:space="0"/>
                    <w:left w:val="nil"/>
                    <w:bottom w:val="single" w:color="auto" w:sz="6" w:space="0"/>
                    <w:right w:val="single" w:color="auto" w:sz="6" w:space="0"/>
                  </w:tcBorders>
                  <w:vAlign w:val="center"/>
                </w:tcPr>
                <w:p>
                  <w:pPr>
                    <w:adjustRightInd w:val="0"/>
                    <w:snapToGrid w:val="0"/>
                    <w:jc w:val="center"/>
                    <w:rPr>
                      <w:color w:val="auto"/>
                      <w:szCs w:val="21"/>
                    </w:rPr>
                  </w:pPr>
                  <w:r>
                    <w:rPr>
                      <w:color w:val="auto"/>
                      <w:szCs w:val="21"/>
                    </w:rPr>
                    <w:t>污染物类型</w:t>
                  </w:r>
                </w:p>
              </w:tc>
              <w:tc>
                <w:tcPr>
                  <w:tcW w:w="62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Cs w:val="21"/>
                    </w:rPr>
                  </w:pPr>
                  <w:r>
                    <w:rPr>
                      <w:color w:val="auto"/>
                      <w:szCs w:val="21"/>
                    </w:rPr>
                    <w:t>监测</w:t>
                  </w:r>
                </w:p>
                <w:p>
                  <w:pPr>
                    <w:adjustRightInd w:val="0"/>
                    <w:snapToGrid w:val="0"/>
                    <w:jc w:val="center"/>
                    <w:rPr>
                      <w:color w:val="auto"/>
                      <w:szCs w:val="21"/>
                    </w:rPr>
                  </w:pPr>
                  <w:r>
                    <w:rPr>
                      <w:color w:val="auto"/>
                      <w:szCs w:val="21"/>
                    </w:rPr>
                    <w:t>点位</w:t>
                  </w:r>
                </w:p>
              </w:tc>
              <w:tc>
                <w:tcPr>
                  <w:tcW w:w="1442"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Cs w:val="21"/>
                    </w:rPr>
                  </w:pPr>
                  <w:r>
                    <w:rPr>
                      <w:color w:val="auto"/>
                      <w:szCs w:val="21"/>
                    </w:rPr>
                    <w:t>监测指标</w:t>
                  </w:r>
                </w:p>
              </w:tc>
              <w:tc>
                <w:tcPr>
                  <w:tcW w:w="573" w:type="pct"/>
                  <w:tcBorders>
                    <w:top w:val="single" w:color="auto" w:sz="6" w:space="0"/>
                    <w:left w:val="single" w:color="auto" w:sz="6" w:space="0"/>
                    <w:bottom w:val="single" w:color="auto" w:sz="6" w:space="0"/>
                    <w:right w:val="nil"/>
                  </w:tcBorders>
                  <w:vAlign w:val="center"/>
                </w:tcPr>
                <w:p>
                  <w:pPr>
                    <w:adjustRightInd w:val="0"/>
                    <w:snapToGrid w:val="0"/>
                    <w:jc w:val="center"/>
                    <w:rPr>
                      <w:color w:val="auto"/>
                      <w:szCs w:val="21"/>
                    </w:rPr>
                  </w:pPr>
                  <w:r>
                    <w:rPr>
                      <w:color w:val="auto"/>
                      <w:szCs w:val="21"/>
                    </w:rPr>
                    <w:t>监测</w:t>
                  </w:r>
                </w:p>
                <w:p>
                  <w:pPr>
                    <w:adjustRightInd w:val="0"/>
                    <w:snapToGrid w:val="0"/>
                    <w:jc w:val="center"/>
                    <w:rPr>
                      <w:color w:val="auto"/>
                      <w:szCs w:val="21"/>
                    </w:rPr>
                  </w:pPr>
                  <w:r>
                    <w:rPr>
                      <w:color w:val="auto"/>
                      <w:szCs w:val="21"/>
                    </w:rPr>
                    <w:t>频次</w:t>
                  </w:r>
                </w:p>
              </w:tc>
              <w:tc>
                <w:tcPr>
                  <w:tcW w:w="1896" w:type="pct"/>
                  <w:tcBorders>
                    <w:top w:val="single" w:color="auto" w:sz="6" w:space="0"/>
                    <w:left w:val="single" w:color="auto" w:sz="6" w:space="0"/>
                    <w:bottom w:val="single" w:color="auto" w:sz="6" w:space="0"/>
                    <w:right w:val="nil"/>
                  </w:tcBorders>
                  <w:vAlign w:val="center"/>
                </w:tcPr>
                <w:p>
                  <w:pPr>
                    <w:adjustRightInd w:val="0"/>
                    <w:snapToGrid w:val="0"/>
                    <w:jc w:val="center"/>
                    <w:rPr>
                      <w:color w:val="auto"/>
                      <w:szCs w:val="21"/>
                    </w:rPr>
                  </w:pPr>
                  <w:r>
                    <w:rPr>
                      <w:color w:val="auto"/>
                      <w:szCs w:val="21"/>
                    </w:rPr>
                    <w:t>执行标准</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 w:hRule="atLeast"/>
              </w:trPr>
              <w:tc>
                <w:tcPr>
                  <w:tcW w:w="458" w:type="pct"/>
                  <w:tcBorders>
                    <w:top w:val="single" w:color="auto" w:sz="4" w:space="0"/>
                    <w:left w:val="nil"/>
                    <w:bottom w:val="single" w:color="auto" w:sz="4" w:space="0"/>
                    <w:right w:val="single" w:color="auto" w:sz="6" w:space="0"/>
                  </w:tcBorders>
                  <w:vAlign w:val="center"/>
                </w:tcPr>
                <w:p>
                  <w:pPr>
                    <w:adjustRightInd w:val="0"/>
                    <w:snapToGrid w:val="0"/>
                    <w:jc w:val="center"/>
                    <w:rPr>
                      <w:color w:val="auto"/>
                      <w:szCs w:val="21"/>
                    </w:rPr>
                  </w:pPr>
                  <w:r>
                    <w:rPr>
                      <w:color w:val="auto"/>
                      <w:szCs w:val="21"/>
                    </w:rPr>
                    <w:t>废水</w:t>
                  </w:r>
                </w:p>
              </w:tc>
              <w:tc>
                <w:tcPr>
                  <w:tcW w:w="629" w:type="pct"/>
                  <w:tcBorders>
                    <w:top w:val="single" w:color="auto" w:sz="4" w:space="0"/>
                    <w:left w:val="single" w:color="auto" w:sz="6" w:space="0"/>
                    <w:bottom w:val="single" w:color="auto" w:sz="4" w:space="0"/>
                    <w:right w:val="single" w:color="auto" w:sz="6" w:space="0"/>
                  </w:tcBorders>
                  <w:vAlign w:val="center"/>
                </w:tcPr>
                <w:p>
                  <w:pPr>
                    <w:adjustRightInd w:val="0"/>
                    <w:snapToGrid w:val="0"/>
                    <w:jc w:val="center"/>
                    <w:rPr>
                      <w:color w:val="auto"/>
                      <w:szCs w:val="21"/>
                    </w:rPr>
                  </w:pPr>
                  <w:r>
                    <w:rPr>
                      <w:rFonts w:hint="eastAsia"/>
                      <w:bCs/>
                      <w:color w:val="auto"/>
                      <w:szCs w:val="21"/>
                    </w:rPr>
                    <w:t>厂区总排口</w:t>
                  </w:r>
                </w:p>
              </w:tc>
              <w:tc>
                <w:tcPr>
                  <w:tcW w:w="2352" w:type="dxa"/>
                  <w:tcBorders>
                    <w:top w:val="single" w:color="auto" w:sz="6" w:space="0"/>
                    <w:left w:val="single" w:color="auto" w:sz="6" w:space="0"/>
                    <w:bottom w:val="single" w:color="auto" w:sz="6" w:space="0"/>
                    <w:right w:val="single" w:color="auto" w:sz="6" w:space="0"/>
                  </w:tcBorders>
                  <w:vAlign w:val="center"/>
                </w:tcPr>
                <w:p>
                  <w:pPr>
                    <w:jc w:val="center"/>
                    <w:rPr>
                      <w:color w:val="auto"/>
                      <w:szCs w:val="21"/>
                    </w:rPr>
                  </w:pPr>
                  <w:r>
                    <w:rPr>
                      <w:color w:val="auto"/>
                      <w:szCs w:val="21"/>
                    </w:rPr>
                    <w:t>pH、COD、BOD</w:t>
                  </w:r>
                  <w:r>
                    <w:rPr>
                      <w:color w:val="auto"/>
                      <w:szCs w:val="21"/>
                      <w:vertAlign w:val="subscript"/>
                    </w:rPr>
                    <w:t>5</w:t>
                  </w:r>
                  <w:r>
                    <w:rPr>
                      <w:color w:val="auto"/>
                      <w:szCs w:val="21"/>
                    </w:rPr>
                    <w:t>、SS、氨氮、</w:t>
                  </w:r>
                  <w:r>
                    <w:rPr>
                      <w:rFonts w:hint="eastAsia"/>
                      <w:color w:val="auto"/>
                      <w:szCs w:val="21"/>
                    </w:rPr>
                    <w:t>动植物油</w:t>
                  </w:r>
                </w:p>
              </w:tc>
              <w:tc>
                <w:tcPr>
                  <w:tcW w:w="935" w:type="dxa"/>
                  <w:tcBorders>
                    <w:top w:val="single" w:color="auto" w:sz="6" w:space="0"/>
                    <w:left w:val="single" w:color="auto" w:sz="6" w:space="0"/>
                    <w:bottom w:val="single" w:color="auto" w:sz="6" w:space="0"/>
                    <w:right w:val="nil"/>
                  </w:tcBorders>
                  <w:vAlign w:val="center"/>
                </w:tcPr>
                <w:p>
                  <w:pPr>
                    <w:jc w:val="center"/>
                    <w:rPr>
                      <w:color w:val="auto"/>
                      <w:szCs w:val="21"/>
                    </w:rPr>
                  </w:pPr>
                  <w:r>
                    <w:rPr>
                      <w:rFonts w:hint="eastAsia"/>
                      <w:color w:val="auto"/>
                      <w:szCs w:val="21"/>
                    </w:rPr>
                    <w:t>1年</w:t>
                  </w:r>
                </w:p>
              </w:tc>
              <w:tc>
                <w:tcPr>
                  <w:tcW w:w="3094" w:type="dxa"/>
                  <w:tcBorders>
                    <w:top w:val="single" w:color="auto" w:sz="6" w:space="0"/>
                    <w:left w:val="single" w:color="auto" w:sz="6" w:space="0"/>
                    <w:bottom w:val="single" w:color="auto" w:sz="6" w:space="0"/>
                    <w:right w:val="nil"/>
                  </w:tcBorders>
                  <w:vAlign w:val="center"/>
                </w:tcPr>
                <w:p>
                  <w:pPr>
                    <w:jc w:val="center"/>
                    <w:rPr>
                      <w:color w:val="auto"/>
                      <w:szCs w:val="21"/>
                    </w:rPr>
                  </w:pPr>
                  <w:r>
                    <w:rPr>
                      <w:bCs/>
                      <w:color w:val="auto"/>
                      <w:szCs w:val="21"/>
                    </w:rPr>
                    <w:t>GB8978-1996三级标准</w:t>
                  </w:r>
                </w:p>
              </w:tc>
            </w:tr>
          </w:tbl>
          <w:p>
            <w:pPr>
              <w:adjustRightInd w:val="0"/>
              <w:snapToGrid w:val="0"/>
              <w:spacing w:line="360" w:lineRule="auto"/>
              <w:rPr>
                <w:color w:val="auto"/>
                <w:sz w:val="24"/>
              </w:rPr>
            </w:pPr>
          </w:p>
          <w:p>
            <w:pPr>
              <w:adjustRightInd w:val="0"/>
              <w:snapToGrid w:val="0"/>
              <w:spacing w:line="360" w:lineRule="auto"/>
              <w:rPr>
                <w:color w:val="auto"/>
                <w:sz w:val="24"/>
              </w:rPr>
            </w:pPr>
          </w:p>
          <w:p>
            <w:pPr>
              <w:adjustRightInd w:val="0"/>
              <w:snapToGrid w:val="0"/>
              <w:spacing w:line="360" w:lineRule="auto"/>
              <w:rPr>
                <w:color w:val="auto"/>
                <w:sz w:val="24"/>
              </w:rPr>
            </w:pPr>
          </w:p>
          <w:p>
            <w:pPr>
              <w:adjustRightInd w:val="0"/>
              <w:snapToGrid w:val="0"/>
              <w:spacing w:line="360" w:lineRule="auto"/>
              <w:rPr>
                <w:color w:val="auto"/>
                <w:sz w:val="24"/>
              </w:rPr>
            </w:pPr>
          </w:p>
          <w:p>
            <w:pPr>
              <w:pStyle w:val="2"/>
              <w:rPr>
                <w:color w:val="auto"/>
              </w:rPr>
            </w:pPr>
          </w:p>
          <w:p>
            <w:pPr>
              <w:pStyle w:val="3"/>
              <w:rPr>
                <w:color w:val="auto"/>
              </w:rPr>
            </w:pPr>
          </w:p>
          <w:p>
            <w:pPr>
              <w:tabs>
                <w:tab w:val="left" w:pos="1535"/>
              </w:tabs>
              <w:snapToGrid w:val="0"/>
              <w:spacing w:line="360" w:lineRule="auto"/>
              <w:rPr>
                <w:color w:val="auto"/>
                <w:sz w:val="24"/>
              </w:rPr>
            </w:pPr>
          </w:p>
        </w:tc>
      </w:tr>
    </w:tbl>
    <w:p>
      <w:pPr>
        <w:pStyle w:val="19"/>
        <w:adjustRightInd w:val="0"/>
        <w:snapToGrid w:val="0"/>
        <w:spacing w:before="0" w:beforeAutospacing="0" w:after="0" w:afterAutospacing="0"/>
        <w:jc w:val="center"/>
        <w:rPr>
          <w:rFonts w:cs="宋体"/>
          <w:color w:val="auto"/>
          <w:sz w:val="21"/>
          <w:szCs w:val="21"/>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22"/>
        <w:tblW w:w="505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27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 w:type="pct"/>
            <w:tcMar>
              <w:left w:w="28" w:type="dxa"/>
              <w:right w:w="28" w:type="dxa"/>
            </w:tcMar>
            <w:vAlign w:val="center"/>
          </w:tcPr>
          <w:p>
            <w:pPr>
              <w:adjustRightInd w:val="0"/>
              <w:snapToGrid w:val="0"/>
              <w:jc w:val="center"/>
              <w:rPr>
                <w:rFonts w:ascii="宋体" w:hAnsi="宋体" w:cs="宋体"/>
                <w:bCs/>
                <w:color w:val="auto"/>
                <w:szCs w:val="21"/>
              </w:rPr>
            </w:pPr>
            <w:r>
              <w:rPr>
                <w:rFonts w:hint="eastAsia" w:ascii="宋体" w:hAnsi="宋体" w:cs="宋体"/>
                <w:bCs/>
                <w:color w:val="auto"/>
                <w:szCs w:val="21"/>
              </w:rPr>
              <w:t>运营</w:t>
            </w:r>
          </w:p>
          <w:p>
            <w:pPr>
              <w:adjustRightInd w:val="0"/>
              <w:snapToGrid w:val="0"/>
              <w:jc w:val="center"/>
              <w:rPr>
                <w:rFonts w:ascii="宋体" w:hAnsi="宋体" w:cs="宋体"/>
                <w:bCs/>
                <w:color w:val="auto"/>
                <w:szCs w:val="21"/>
              </w:rPr>
            </w:pPr>
            <w:r>
              <w:rPr>
                <w:rFonts w:hint="eastAsia" w:ascii="宋体" w:hAnsi="宋体" w:cs="宋体"/>
                <w:bCs/>
                <w:color w:val="auto"/>
                <w:szCs w:val="21"/>
              </w:rPr>
              <w:t>期环</w:t>
            </w:r>
          </w:p>
          <w:p>
            <w:pPr>
              <w:adjustRightInd w:val="0"/>
              <w:snapToGrid w:val="0"/>
              <w:jc w:val="center"/>
              <w:rPr>
                <w:rFonts w:ascii="宋体" w:hAnsi="宋体" w:cs="宋体"/>
                <w:bCs/>
                <w:color w:val="auto"/>
                <w:szCs w:val="21"/>
              </w:rPr>
            </w:pPr>
            <w:r>
              <w:rPr>
                <w:rFonts w:hint="eastAsia" w:ascii="宋体" w:hAnsi="宋体" w:cs="宋体"/>
                <w:bCs/>
                <w:color w:val="auto"/>
                <w:szCs w:val="21"/>
              </w:rPr>
              <w:t>境影</w:t>
            </w:r>
          </w:p>
          <w:p>
            <w:pPr>
              <w:adjustRightInd w:val="0"/>
              <w:snapToGrid w:val="0"/>
              <w:jc w:val="center"/>
              <w:rPr>
                <w:rFonts w:ascii="宋体" w:hAnsi="宋体" w:cs="宋体"/>
                <w:bCs/>
                <w:color w:val="auto"/>
                <w:szCs w:val="21"/>
              </w:rPr>
            </w:pPr>
            <w:r>
              <w:rPr>
                <w:rFonts w:hint="eastAsia" w:ascii="宋体" w:hAnsi="宋体" w:cs="宋体"/>
                <w:bCs/>
                <w:color w:val="auto"/>
                <w:szCs w:val="21"/>
              </w:rPr>
              <w:t>响和</w:t>
            </w:r>
          </w:p>
          <w:p>
            <w:pPr>
              <w:adjustRightInd w:val="0"/>
              <w:snapToGrid w:val="0"/>
              <w:jc w:val="center"/>
              <w:rPr>
                <w:rFonts w:ascii="宋体" w:hAnsi="宋体" w:cs="宋体"/>
                <w:bCs/>
                <w:color w:val="auto"/>
                <w:szCs w:val="21"/>
              </w:rPr>
            </w:pPr>
            <w:r>
              <w:rPr>
                <w:rFonts w:hint="eastAsia" w:ascii="宋体" w:hAnsi="宋体" w:cs="宋体"/>
                <w:bCs/>
                <w:color w:val="auto"/>
                <w:szCs w:val="21"/>
              </w:rPr>
              <w:t>保护</w:t>
            </w:r>
          </w:p>
          <w:p>
            <w:pPr>
              <w:pStyle w:val="19"/>
              <w:adjustRightInd w:val="0"/>
              <w:snapToGrid w:val="0"/>
              <w:spacing w:before="0" w:beforeAutospacing="0" w:after="0" w:afterAutospacing="0"/>
              <w:jc w:val="center"/>
              <w:rPr>
                <w:rFonts w:cs="宋体"/>
                <w:color w:val="auto"/>
                <w:sz w:val="21"/>
                <w:szCs w:val="21"/>
              </w:rPr>
            </w:pPr>
            <w:r>
              <w:rPr>
                <w:rFonts w:hint="eastAsia" w:cs="宋体"/>
                <w:bCs/>
                <w:color w:val="auto"/>
                <w:szCs w:val="21"/>
              </w:rPr>
              <w:t>措施</w:t>
            </w:r>
          </w:p>
        </w:tc>
        <w:tc>
          <w:tcPr>
            <w:tcW w:w="4782" w:type="pct"/>
          </w:tcPr>
          <w:p>
            <w:pPr>
              <w:pStyle w:val="2"/>
              <w:rPr>
                <w:rFonts w:ascii="Times New Roman" w:cs="Times New Roman"/>
                <w:b/>
                <w:bCs/>
                <w:color w:val="auto"/>
              </w:rPr>
            </w:pPr>
            <w:r>
              <w:rPr>
                <w:rFonts w:ascii="Times New Roman" w:cs="Times New Roman"/>
                <w:b/>
                <w:bCs/>
                <w:color w:val="auto"/>
              </w:rPr>
              <w:t>3.噪声</w:t>
            </w:r>
          </w:p>
          <w:p>
            <w:pPr>
              <w:pStyle w:val="2"/>
              <w:ind w:firstLine="480" w:firstLineChars="200"/>
              <w:rPr>
                <w:rFonts w:ascii="Times New Roman" w:cs="Times New Roman"/>
                <w:color w:val="auto"/>
                <w:highlight w:val="none"/>
              </w:rPr>
            </w:pPr>
            <w:r>
              <w:rPr>
                <w:rFonts w:ascii="Times New Roman" w:cs="Times New Roman"/>
                <w:color w:val="auto"/>
              </w:rPr>
              <w:t>（</w:t>
            </w:r>
            <w:r>
              <w:rPr>
                <w:rFonts w:ascii="Times New Roman" w:cs="Times New Roman"/>
                <w:color w:val="auto"/>
                <w:highlight w:val="none"/>
              </w:rPr>
              <w:t>1）主要噪声源情况及降噪措施</w:t>
            </w:r>
          </w:p>
          <w:p>
            <w:pPr>
              <w:adjustRightInd w:val="0"/>
              <w:snapToGrid w:val="0"/>
              <w:spacing w:line="360" w:lineRule="auto"/>
              <w:ind w:firstLine="480" w:firstLineChars="200"/>
              <w:rPr>
                <w:color w:val="auto"/>
                <w:sz w:val="24"/>
              </w:rPr>
            </w:pPr>
            <w:r>
              <w:rPr>
                <w:rFonts w:hint="eastAsia"/>
                <w:color w:val="auto"/>
                <w:sz w:val="24"/>
                <w:highlight w:val="none"/>
              </w:rPr>
              <w:t>根据</w:t>
            </w:r>
            <w:r>
              <w:rPr>
                <w:snapToGrid w:val="0"/>
                <w:color w:val="auto"/>
                <w:sz w:val="24"/>
                <w:highlight w:val="none"/>
              </w:rPr>
              <w:t>《环境影响评价技术导则 声环境》（HJ2.4－2021）</w:t>
            </w:r>
            <w:r>
              <w:rPr>
                <w:rFonts w:hint="eastAsia"/>
                <w:snapToGrid w:val="0"/>
                <w:color w:val="auto"/>
                <w:sz w:val="24"/>
                <w:highlight w:val="none"/>
              </w:rPr>
              <w:t>，</w:t>
            </w:r>
            <w:r>
              <w:rPr>
                <w:color w:val="auto"/>
                <w:sz w:val="24"/>
                <w:highlight w:val="none"/>
              </w:rPr>
              <w:t>本项目</w:t>
            </w:r>
            <w:r>
              <w:rPr>
                <w:rFonts w:hint="eastAsia"/>
                <w:color w:val="auto"/>
                <w:sz w:val="24"/>
                <w:highlight w:val="none"/>
                <w:lang w:eastAsia="zh-CN"/>
              </w:rPr>
              <w:t>扩建完成后</w:t>
            </w:r>
            <w:r>
              <w:rPr>
                <w:rFonts w:hint="eastAsia"/>
                <w:color w:val="auto"/>
                <w:sz w:val="24"/>
                <w:highlight w:val="none"/>
              </w:rPr>
              <w:t>噪声源强调查清单见表4.12</w:t>
            </w:r>
            <w:r>
              <w:rPr>
                <w:rFonts w:hint="eastAsia"/>
                <w:color w:val="auto"/>
                <w:sz w:val="24"/>
                <w:highlight w:val="none"/>
                <w:lang w:eastAsia="zh-CN"/>
              </w:rPr>
              <w:t>、表</w:t>
            </w:r>
            <w:r>
              <w:rPr>
                <w:rFonts w:hint="eastAsia"/>
                <w:color w:val="auto"/>
                <w:sz w:val="24"/>
                <w:highlight w:val="none"/>
                <w:lang w:val="en-US" w:eastAsia="zh-CN"/>
              </w:rPr>
              <w:t>4.13</w:t>
            </w:r>
            <w:r>
              <w:rPr>
                <w:color w:val="auto"/>
                <w:sz w:val="24"/>
                <w:highlight w:val="none"/>
              </w:rPr>
              <w:t>。</w:t>
            </w:r>
          </w:p>
          <w:p>
            <w:pPr>
              <w:adjustRightInd w:val="0"/>
              <w:snapToGrid w:val="0"/>
              <w:spacing w:line="360" w:lineRule="auto"/>
              <w:jc w:val="center"/>
              <w:rPr>
                <w:color w:val="auto"/>
                <w:sz w:val="21"/>
                <w:szCs w:val="21"/>
              </w:rPr>
            </w:pPr>
            <w:r>
              <w:rPr>
                <w:color w:val="auto"/>
                <w:sz w:val="21"/>
                <w:szCs w:val="21"/>
              </w:rPr>
              <w:t>表4.</w:t>
            </w:r>
            <w:r>
              <w:rPr>
                <w:rFonts w:hint="eastAsia"/>
                <w:color w:val="auto"/>
                <w:sz w:val="21"/>
                <w:szCs w:val="21"/>
              </w:rPr>
              <w:t>12噪声源强调查清单（室内声源）</w:t>
            </w:r>
          </w:p>
          <w:tbl>
            <w:tblPr>
              <w:tblStyle w:val="23"/>
              <w:tblW w:w="0" w:type="auto"/>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656"/>
              <w:gridCol w:w="1323"/>
              <w:gridCol w:w="684"/>
              <w:gridCol w:w="1395"/>
              <w:gridCol w:w="845"/>
              <w:gridCol w:w="606"/>
              <w:gridCol w:w="622"/>
              <w:gridCol w:w="579"/>
              <w:gridCol w:w="1377"/>
              <w:gridCol w:w="917"/>
              <w:gridCol w:w="899"/>
              <w:gridCol w:w="847"/>
              <w:gridCol w:w="99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序</w:t>
                  </w:r>
                </w:p>
                <w:p>
                  <w:pPr>
                    <w:adjustRightInd w:val="0"/>
                    <w:snapToGrid w:val="0"/>
                    <w:jc w:val="center"/>
                    <w:rPr>
                      <w:bCs/>
                      <w:color w:val="auto"/>
                      <w:szCs w:val="21"/>
                    </w:rPr>
                  </w:pPr>
                  <w:r>
                    <w:rPr>
                      <w:rFonts w:hint="eastAsia"/>
                      <w:bCs/>
                      <w:color w:val="auto"/>
                      <w:szCs w:val="21"/>
                    </w:rPr>
                    <w:t>号</w:t>
                  </w:r>
                </w:p>
              </w:tc>
              <w:tc>
                <w:tcPr>
                  <w:tcW w:w="656"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建筑物名称</w:t>
                  </w:r>
                </w:p>
              </w:tc>
              <w:tc>
                <w:tcPr>
                  <w:tcW w:w="1323"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声源名称</w:t>
                  </w:r>
                </w:p>
              </w:tc>
              <w:tc>
                <w:tcPr>
                  <w:tcW w:w="684"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型号</w:t>
                  </w:r>
                </w:p>
              </w:tc>
              <w:tc>
                <w:tcPr>
                  <w:tcW w:w="1395"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声压级/距声源距离（dB(A)/m）</w:t>
                  </w:r>
                </w:p>
              </w:tc>
              <w:tc>
                <w:tcPr>
                  <w:tcW w:w="845"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声源控制措施</w:t>
                  </w:r>
                </w:p>
              </w:tc>
              <w:tc>
                <w:tcPr>
                  <w:tcW w:w="1807" w:type="dxa"/>
                  <w:gridSpan w:val="3"/>
                  <w:tcBorders>
                    <w:tl2br w:val="nil"/>
                    <w:tr2bl w:val="nil"/>
                  </w:tcBorders>
                  <w:vAlign w:val="center"/>
                </w:tcPr>
                <w:p>
                  <w:pPr>
                    <w:adjustRightInd w:val="0"/>
                    <w:snapToGrid w:val="0"/>
                    <w:jc w:val="center"/>
                    <w:rPr>
                      <w:bCs/>
                      <w:color w:val="auto"/>
                      <w:szCs w:val="21"/>
                    </w:rPr>
                  </w:pPr>
                  <w:r>
                    <w:rPr>
                      <w:rFonts w:hint="eastAsia"/>
                      <w:bCs/>
                      <w:color w:val="auto"/>
                      <w:szCs w:val="21"/>
                    </w:rPr>
                    <w:t>空间相对位置/m</w:t>
                  </w:r>
                </w:p>
              </w:tc>
              <w:tc>
                <w:tcPr>
                  <w:tcW w:w="1377"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距室内边界距离/m</w:t>
                  </w:r>
                </w:p>
              </w:tc>
              <w:tc>
                <w:tcPr>
                  <w:tcW w:w="917"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室内边界声级/dB(A)</w:t>
                  </w:r>
                </w:p>
              </w:tc>
              <w:tc>
                <w:tcPr>
                  <w:tcW w:w="899"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运行</w:t>
                  </w:r>
                </w:p>
                <w:p>
                  <w:pPr>
                    <w:adjustRightInd w:val="0"/>
                    <w:snapToGrid w:val="0"/>
                    <w:jc w:val="center"/>
                    <w:rPr>
                      <w:bCs/>
                      <w:color w:val="auto"/>
                      <w:szCs w:val="21"/>
                    </w:rPr>
                  </w:pPr>
                  <w:r>
                    <w:rPr>
                      <w:rFonts w:hint="eastAsia"/>
                      <w:bCs/>
                      <w:color w:val="auto"/>
                      <w:szCs w:val="21"/>
                    </w:rPr>
                    <w:t>时段</w:t>
                  </w:r>
                </w:p>
              </w:tc>
              <w:tc>
                <w:tcPr>
                  <w:tcW w:w="847"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建筑物插入损失/dB(A)</w:t>
                  </w:r>
                </w:p>
              </w:tc>
              <w:tc>
                <w:tcPr>
                  <w:tcW w:w="997" w:type="dxa"/>
                  <w:tcBorders>
                    <w:tl2br w:val="nil"/>
                    <w:tr2bl w:val="nil"/>
                  </w:tcBorders>
                  <w:vAlign w:val="center"/>
                </w:tcPr>
                <w:p>
                  <w:pPr>
                    <w:adjustRightInd w:val="0"/>
                    <w:snapToGrid w:val="0"/>
                    <w:jc w:val="center"/>
                    <w:rPr>
                      <w:bCs/>
                      <w:color w:val="auto"/>
                      <w:szCs w:val="21"/>
                    </w:rPr>
                  </w:pPr>
                  <w:r>
                    <w:rPr>
                      <w:rFonts w:hint="eastAsia"/>
                      <w:bCs/>
                      <w:color w:val="auto"/>
                      <w:szCs w:val="21"/>
                    </w:rPr>
                    <w:t>建筑物外噪声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bCs/>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bCs/>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tcBorders>
                    <w:tl2br w:val="nil"/>
                    <w:tr2bl w:val="nil"/>
                  </w:tcBorders>
                  <w:vAlign w:val="center"/>
                </w:tcPr>
                <w:p>
                  <w:pPr>
                    <w:adjustRightInd w:val="0"/>
                    <w:snapToGrid w:val="0"/>
                    <w:jc w:val="center"/>
                    <w:rPr>
                      <w:bCs/>
                      <w:color w:val="auto"/>
                      <w:szCs w:val="21"/>
                    </w:rPr>
                  </w:pPr>
                  <w:r>
                    <w:rPr>
                      <w:rFonts w:hint="eastAsia"/>
                      <w:bCs/>
                      <w:color w:val="auto"/>
                      <w:szCs w:val="21"/>
                    </w:rPr>
                    <w:t>X</w:t>
                  </w:r>
                </w:p>
              </w:tc>
              <w:tc>
                <w:tcPr>
                  <w:tcW w:w="622" w:type="dxa"/>
                  <w:tcBorders>
                    <w:tl2br w:val="nil"/>
                    <w:tr2bl w:val="nil"/>
                  </w:tcBorders>
                  <w:vAlign w:val="center"/>
                </w:tcPr>
                <w:p>
                  <w:pPr>
                    <w:adjustRightInd w:val="0"/>
                    <w:snapToGrid w:val="0"/>
                    <w:jc w:val="center"/>
                    <w:rPr>
                      <w:bCs/>
                      <w:color w:val="auto"/>
                      <w:szCs w:val="21"/>
                    </w:rPr>
                  </w:pPr>
                  <w:r>
                    <w:rPr>
                      <w:rFonts w:hint="eastAsia"/>
                      <w:bCs/>
                      <w:color w:val="auto"/>
                      <w:szCs w:val="21"/>
                    </w:rPr>
                    <w:t>Y</w:t>
                  </w:r>
                </w:p>
              </w:tc>
              <w:tc>
                <w:tcPr>
                  <w:tcW w:w="579" w:type="dxa"/>
                  <w:tcBorders>
                    <w:tl2br w:val="nil"/>
                    <w:tr2bl w:val="nil"/>
                  </w:tcBorders>
                  <w:vAlign w:val="center"/>
                </w:tcPr>
                <w:p>
                  <w:pPr>
                    <w:adjustRightInd w:val="0"/>
                    <w:snapToGrid w:val="0"/>
                    <w:jc w:val="center"/>
                    <w:rPr>
                      <w:bCs/>
                      <w:color w:val="auto"/>
                      <w:szCs w:val="21"/>
                    </w:rPr>
                  </w:pPr>
                  <w:r>
                    <w:rPr>
                      <w:rFonts w:hint="eastAsia"/>
                      <w:bCs/>
                      <w:color w:val="auto"/>
                      <w:szCs w:val="21"/>
                    </w:rPr>
                    <w:t>Z</w:t>
                  </w:r>
                </w:p>
              </w:tc>
              <w:tc>
                <w:tcPr>
                  <w:tcW w:w="1377" w:type="dxa"/>
                  <w:vMerge w:val="continue"/>
                  <w:tcBorders>
                    <w:tl2br w:val="nil"/>
                    <w:tr2bl w:val="nil"/>
                  </w:tcBorders>
                  <w:vAlign w:val="center"/>
                </w:tcPr>
                <w:p>
                  <w:pPr>
                    <w:adjustRightInd w:val="0"/>
                    <w:snapToGrid w:val="0"/>
                    <w:jc w:val="center"/>
                    <w:rPr>
                      <w:bCs/>
                      <w:color w:val="auto"/>
                      <w:szCs w:val="21"/>
                    </w:rPr>
                  </w:pPr>
                </w:p>
              </w:tc>
              <w:tc>
                <w:tcPr>
                  <w:tcW w:w="917" w:type="dxa"/>
                  <w:vMerge w:val="continue"/>
                  <w:tcBorders>
                    <w:tl2br w:val="nil"/>
                    <w:tr2bl w:val="nil"/>
                  </w:tcBorders>
                  <w:vAlign w:val="center"/>
                </w:tcPr>
                <w:p>
                  <w:pPr>
                    <w:adjustRightInd w:val="0"/>
                    <w:snapToGrid w:val="0"/>
                    <w:jc w:val="center"/>
                    <w:rPr>
                      <w:bCs/>
                      <w:color w:val="auto"/>
                      <w:szCs w:val="21"/>
                    </w:rPr>
                  </w:pP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center"/>
                </w:tcPr>
                <w:p>
                  <w:pPr>
                    <w:adjustRightInd w:val="0"/>
                    <w:snapToGrid w:val="0"/>
                    <w:jc w:val="center"/>
                    <w:rPr>
                      <w:bCs/>
                      <w:color w:val="auto"/>
                      <w:szCs w:val="21"/>
                    </w:rPr>
                  </w:pPr>
                  <w:r>
                    <w:rPr>
                      <w:rFonts w:hint="eastAsia"/>
                      <w:bCs/>
                      <w:color w:val="auto"/>
                      <w:szCs w:val="21"/>
                    </w:rPr>
                    <w:t>声压级/dB(A)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52"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1</w:t>
                  </w:r>
                </w:p>
              </w:tc>
              <w:tc>
                <w:tcPr>
                  <w:tcW w:w="656"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厂房</w:t>
                  </w:r>
                </w:p>
              </w:tc>
              <w:tc>
                <w:tcPr>
                  <w:tcW w:w="1323" w:type="dxa"/>
                  <w:vMerge w:val="restart"/>
                  <w:tcBorders>
                    <w:tl2br w:val="nil"/>
                    <w:tr2bl w:val="nil"/>
                  </w:tcBorders>
                  <w:vAlign w:val="center"/>
                </w:tcPr>
                <w:p>
                  <w:pPr>
                    <w:adjustRightInd w:val="0"/>
                    <w:snapToGrid w:val="0"/>
                    <w:jc w:val="center"/>
                    <w:rPr>
                      <w:bCs/>
                      <w:color w:val="auto"/>
                      <w:szCs w:val="21"/>
                    </w:rPr>
                  </w:pPr>
                  <w:r>
                    <w:rPr>
                      <w:rFonts w:hint="eastAsia"/>
                      <w:color w:val="auto"/>
                      <w:szCs w:val="21"/>
                    </w:rPr>
                    <w:t>拉幅定型设备</w:t>
                  </w:r>
                </w:p>
              </w:tc>
              <w:tc>
                <w:tcPr>
                  <w:tcW w:w="684"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1395" w:type="dxa"/>
                  <w:vMerge w:val="restart"/>
                  <w:tcBorders>
                    <w:tl2br w:val="nil"/>
                    <w:tr2bl w:val="nil"/>
                  </w:tcBorders>
                  <w:vAlign w:val="center"/>
                </w:tcPr>
                <w:p>
                  <w:pPr>
                    <w:adjustRightInd w:val="0"/>
                    <w:snapToGrid w:val="0"/>
                    <w:jc w:val="center"/>
                    <w:rPr>
                      <w:bCs/>
                      <w:color w:val="auto"/>
                      <w:szCs w:val="21"/>
                    </w:rPr>
                  </w:pPr>
                  <w:r>
                    <w:rPr>
                      <w:rFonts w:hint="eastAsia"/>
                      <w:color w:val="auto"/>
                      <w:szCs w:val="21"/>
                    </w:rPr>
                    <w:t>75/5</w:t>
                  </w:r>
                </w:p>
              </w:tc>
              <w:tc>
                <w:tcPr>
                  <w:tcW w:w="845" w:type="dxa"/>
                  <w:vMerge w:val="restart"/>
                  <w:tcBorders>
                    <w:tl2br w:val="nil"/>
                    <w:tr2bl w:val="nil"/>
                  </w:tcBorders>
                  <w:vAlign w:val="center"/>
                </w:tcPr>
                <w:p>
                  <w:pPr>
                    <w:adjustRightInd w:val="0"/>
                    <w:snapToGrid w:val="0"/>
                    <w:jc w:val="center"/>
                    <w:rPr>
                      <w:bCs/>
                      <w:color w:val="auto"/>
                      <w:szCs w:val="21"/>
                    </w:rPr>
                  </w:pPr>
                  <w:r>
                    <w:rPr>
                      <w:color w:val="auto"/>
                      <w:szCs w:val="21"/>
                    </w:rPr>
                    <w:t>建筑隔声</w:t>
                  </w:r>
                </w:p>
              </w:tc>
              <w:tc>
                <w:tcPr>
                  <w:tcW w:w="606"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-22</w:t>
                  </w:r>
                </w:p>
              </w:tc>
              <w:tc>
                <w:tcPr>
                  <w:tcW w:w="622"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2</w:t>
                  </w:r>
                </w:p>
              </w:tc>
              <w:tc>
                <w:tcPr>
                  <w:tcW w:w="579"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1</w:t>
                  </w: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62（东）</w:t>
                  </w:r>
                </w:p>
              </w:tc>
              <w:tc>
                <w:tcPr>
                  <w:tcW w:w="917" w:type="dxa"/>
                  <w:tcBorders>
                    <w:tl2br w:val="nil"/>
                    <w:tr2bl w:val="nil"/>
                  </w:tcBorders>
                  <w:vAlign w:val="bottom"/>
                </w:tcPr>
                <w:p>
                  <w:pPr>
                    <w:widowControl/>
                    <w:adjustRightInd w:val="0"/>
                    <w:snapToGrid w:val="0"/>
                    <w:jc w:val="center"/>
                    <w:textAlignment w:val="bottom"/>
                    <w:rPr>
                      <w:color w:val="auto"/>
                      <w:szCs w:val="21"/>
                    </w:rPr>
                  </w:pPr>
                  <w:r>
                    <w:rPr>
                      <w:color w:val="auto"/>
                      <w:kern w:val="0"/>
                      <w:szCs w:val="21"/>
                      <w:lang w:bidi="ar"/>
                    </w:rPr>
                    <w:t>53.13</w:t>
                  </w:r>
                </w:p>
              </w:tc>
              <w:tc>
                <w:tcPr>
                  <w:tcW w:w="899" w:type="dxa"/>
                  <w:vMerge w:val="restart"/>
                  <w:tcBorders>
                    <w:tl2br w:val="nil"/>
                    <w:tr2bl w:val="nil"/>
                  </w:tcBorders>
                  <w:vAlign w:val="center"/>
                </w:tcPr>
                <w:p>
                  <w:pPr>
                    <w:adjustRightInd w:val="0"/>
                    <w:snapToGrid w:val="0"/>
                    <w:jc w:val="center"/>
                    <w:rPr>
                      <w:bCs/>
                      <w:color w:val="auto"/>
                      <w:szCs w:val="21"/>
                    </w:rPr>
                  </w:pPr>
                  <w:r>
                    <w:rPr>
                      <w:rFonts w:hint="eastAsia"/>
                      <w:color w:val="auto"/>
                      <w:szCs w:val="21"/>
                    </w:rPr>
                    <w:t>8h</w:t>
                  </w:r>
                </w:p>
              </w:tc>
              <w:tc>
                <w:tcPr>
                  <w:tcW w:w="847"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21</w:t>
                  </w:r>
                </w:p>
              </w:tc>
              <w:tc>
                <w:tcPr>
                  <w:tcW w:w="997" w:type="dxa"/>
                  <w:tcBorders>
                    <w:tl2br w:val="nil"/>
                    <w:tr2bl w:val="nil"/>
                  </w:tcBorders>
                  <w:vAlign w:val="bottom"/>
                </w:tcPr>
                <w:p>
                  <w:pPr>
                    <w:widowControl/>
                    <w:adjustRightInd w:val="0"/>
                    <w:snapToGrid w:val="0"/>
                    <w:jc w:val="center"/>
                    <w:textAlignment w:val="bottom"/>
                    <w:rPr>
                      <w:bCs/>
                      <w:color w:val="auto"/>
                      <w:szCs w:val="21"/>
                    </w:rPr>
                  </w:pPr>
                  <w:r>
                    <w:rPr>
                      <w:rFonts w:hint="eastAsia"/>
                      <w:bCs/>
                      <w:color w:val="auto"/>
                      <w:szCs w:val="21"/>
                    </w:rPr>
                    <w:t>32.12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15（南）</w:t>
                  </w:r>
                </w:p>
              </w:tc>
              <w:tc>
                <w:tcPr>
                  <w:tcW w:w="917" w:type="dxa"/>
                  <w:tcBorders>
                    <w:tl2br w:val="nil"/>
                    <w:tr2bl w:val="nil"/>
                  </w:tcBorders>
                  <w:vAlign w:val="bottom"/>
                </w:tcPr>
                <w:p>
                  <w:pPr>
                    <w:widowControl/>
                    <w:adjustRightInd w:val="0"/>
                    <w:snapToGrid w:val="0"/>
                    <w:jc w:val="center"/>
                    <w:textAlignment w:val="bottom"/>
                    <w:rPr>
                      <w:color w:val="auto"/>
                      <w:szCs w:val="21"/>
                    </w:rPr>
                  </w:pPr>
                  <w:r>
                    <w:rPr>
                      <w:color w:val="auto"/>
                      <w:kern w:val="0"/>
                      <w:szCs w:val="21"/>
                      <w:lang w:bidi="ar"/>
                    </w:rPr>
                    <w:t>65.46</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bottom"/>
                </w:tcPr>
                <w:p>
                  <w:pPr>
                    <w:widowControl/>
                    <w:adjustRightInd w:val="0"/>
                    <w:snapToGrid w:val="0"/>
                    <w:jc w:val="center"/>
                    <w:textAlignment w:val="bottom"/>
                    <w:rPr>
                      <w:bCs/>
                      <w:color w:val="auto"/>
                      <w:szCs w:val="21"/>
                    </w:rPr>
                  </w:pPr>
                  <w:r>
                    <w:rPr>
                      <w:rFonts w:hint="eastAsia"/>
                      <w:bCs/>
                      <w:color w:val="auto"/>
                      <w:szCs w:val="21"/>
                    </w:rPr>
                    <w:t>44.46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20（西）</w:t>
                  </w:r>
                </w:p>
              </w:tc>
              <w:tc>
                <w:tcPr>
                  <w:tcW w:w="917" w:type="dxa"/>
                  <w:tcBorders>
                    <w:tl2br w:val="nil"/>
                    <w:tr2bl w:val="nil"/>
                  </w:tcBorders>
                  <w:vAlign w:val="bottom"/>
                </w:tcPr>
                <w:p>
                  <w:pPr>
                    <w:widowControl/>
                    <w:adjustRightInd w:val="0"/>
                    <w:snapToGrid w:val="0"/>
                    <w:jc w:val="center"/>
                    <w:textAlignment w:val="bottom"/>
                    <w:rPr>
                      <w:color w:val="auto"/>
                      <w:szCs w:val="21"/>
                    </w:rPr>
                  </w:pPr>
                  <w:r>
                    <w:rPr>
                      <w:color w:val="auto"/>
                      <w:kern w:val="0"/>
                      <w:szCs w:val="21"/>
                      <w:lang w:bidi="ar"/>
                    </w:rPr>
                    <w:t>62.96</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bottom"/>
                </w:tcPr>
                <w:p>
                  <w:pPr>
                    <w:widowControl/>
                    <w:adjustRightInd w:val="0"/>
                    <w:snapToGrid w:val="0"/>
                    <w:jc w:val="center"/>
                    <w:textAlignment w:val="bottom"/>
                    <w:rPr>
                      <w:bCs/>
                      <w:color w:val="auto"/>
                      <w:szCs w:val="21"/>
                    </w:rPr>
                  </w:pPr>
                  <w:r>
                    <w:rPr>
                      <w:rFonts w:hint="eastAsia"/>
                      <w:bCs/>
                      <w:color w:val="auto"/>
                      <w:szCs w:val="21"/>
                    </w:rPr>
                    <w:t>41.96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15（北）</w:t>
                  </w:r>
                </w:p>
              </w:tc>
              <w:tc>
                <w:tcPr>
                  <w:tcW w:w="917" w:type="dxa"/>
                  <w:tcBorders>
                    <w:tl2br w:val="nil"/>
                    <w:tr2bl w:val="nil"/>
                  </w:tcBorders>
                  <w:vAlign w:val="bottom"/>
                </w:tcPr>
                <w:p>
                  <w:pPr>
                    <w:widowControl/>
                    <w:adjustRightInd w:val="0"/>
                    <w:snapToGrid w:val="0"/>
                    <w:jc w:val="center"/>
                    <w:textAlignment w:val="bottom"/>
                    <w:rPr>
                      <w:color w:val="auto"/>
                      <w:szCs w:val="21"/>
                    </w:rPr>
                  </w:pPr>
                  <w:r>
                    <w:rPr>
                      <w:color w:val="auto"/>
                      <w:kern w:val="0"/>
                      <w:szCs w:val="21"/>
                      <w:lang w:bidi="ar"/>
                    </w:rPr>
                    <w:t>65.46</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bottom"/>
                </w:tcPr>
                <w:p>
                  <w:pPr>
                    <w:widowControl/>
                    <w:adjustRightInd w:val="0"/>
                    <w:snapToGrid w:val="0"/>
                    <w:jc w:val="center"/>
                    <w:textAlignment w:val="bottom"/>
                    <w:rPr>
                      <w:bCs/>
                      <w:color w:val="auto"/>
                      <w:szCs w:val="21"/>
                    </w:rPr>
                  </w:pPr>
                  <w:r>
                    <w:rPr>
                      <w:rFonts w:hint="eastAsia"/>
                      <w:bCs/>
                      <w:color w:val="auto"/>
                      <w:szCs w:val="21"/>
                    </w:rPr>
                    <w:t>44.46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2"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2</w:t>
                  </w: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restart"/>
                  <w:tcBorders>
                    <w:tl2br w:val="nil"/>
                    <w:tr2bl w:val="nil"/>
                  </w:tcBorders>
                  <w:vAlign w:val="center"/>
                </w:tcPr>
                <w:p>
                  <w:pPr>
                    <w:adjustRightInd w:val="0"/>
                    <w:snapToGrid w:val="0"/>
                    <w:jc w:val="center"/>
                    <w:rPr>
                      <w:bCs/>
                      <w:color w:val="auto"/>
                      <w:szCs w:val="21"/>
                    </w:rPr>
                  </w:pPr>
                  <w:r>
                    <w:rPr>
                      <w:rFonts w:hint="eastAsia"/>
                      <w:color w:val="auto"/>
                      <w:szCs w:val="21"/>
                    </w:rPr>
                    <w:t>淋膜机</w:t>
                  </w:r>
                </w:p>
              </w:tc>
              <w:tc>
                <w:tcPr>
                  <w:tcW w:w="684"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1395" w:type="dxa"/>
                  <w:vMerge w:val="restart"/>
                  <w:tcBorders>
                    <w:tl2br w:val="nil"/>
                    <w:tr2bl w:val="nil"/>
                  </w:tcBorders>
                  <w:vAlign w:val="center"/>
                </w:tcPr>
                <w:p>
                  <w:pPr>
                    <w:adjustRightInd w:val="0"/>
                    <w:snapToGrid w:val="0"/>
                    <w:jc w:val="center"/>
                    <w:rPr>
                      <w:bCs/>
                      <w:color w:val="auto"/>
                      <w:szCs w:val="21"/>
                    </w:rPr>
                  </w:pPr>
                  <w:r>
                    <w:rPr>
                      <w:rFonts w:hint="eastAsia"/>
                      <w:color w:val="auto"/>
                      <w:szCs w:val="21"/>
                    </w:rPr>
                    <w:t>75/5</w:t>
                  </w:r>
                </w:p>
              </w:tc>
              <w:tc>
                <w:tcPr>
                  <w:tcW w:w="845" w:type="dxa"/>
                  <w:vMerge w:val="restart"/>
                  <w:tcBorders>
                    <w:tl2br w:val="nil"/>
                    <w:tr2bl w:val="nil"/>
                  </w:tcBorders>
                  <w:vAlign w:val="center"/>
                </w:tcPr>
                <w:p>
                  <w:pPr>
                    <w:adjustRightInd w:val="0"/>
                    <w:snapToGrid w:val="0"/>
                    <w:jc w:val="center"/>
                    <w:rPr>
                      <w:bCs/>
                      <w:color w:val="auto"/>
                      <w:szCs w:val="21"/>
                    </w:rPr>
                  </w:pPr>
                  <w:r>
                    <w:rPr>
                      <w:rFonts w:hint="eastAsia"/>
                      <w:color w:val="auto"/>
                      <w:szCs w:val="21"/>
                    </w:rPr>
                    <w:t>建筑隔声</w:t>
                  </w:r>
                </w:p>
              </w:tc>
              <w:tc>
                <w:tcPr>
                  <w:tcW w:w="606"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0</w:t>
                  </w:r>
                </w:p>
              </w:tc>
              <w:tc>
                <w:tcPr>
                  <w:tcW w:w="622"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16</w:t>
                  </w:r>
                </w:p>
              </w:tc>
              <w:tc>
                <w:tcPr>
                  <w:tcW w:w="579"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1</w:t>
                  </w: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12（东）</w:t>
                  </w:r>
                </w:p>
              </w:tc>
              <w:tc>
                <w:tcPr>
                  <w:tcW w:w="917" w:type="dxa"/>
                  <w:tcBorders>
                    <w:tl2br w:val="nil"/>
                    <w:tr2bl w:val="nil"/>
                  </w:tcBorders>
                  <w:vAlign w:val="bottom"/>
                </w:tcPr>
                <w:p>
                  <w:pPr>
                    <w:widowControl/>
                    <w:adjustRightInd w:val="0"/>
                    <w:snapToGrid w:val="0"/>
                    <w:jc w:val="center"/>
                    <w:textAlignment w:val="bottom"/>
                    <w:rPr>
                      <w:color w:val="auto"/>
                      <w:szCs w:val="21"/>
                    </w:rPr>
                  </w:pPr>
                  <w:r>
                    <w:rPr>
                      <w:color w:val="auto"/>
                      <w:kern w:val="0"/>
                      <w:szCs w:val="21"/>
                      <w:lang w:bidi="ar"/>
                    </w:rPr>
                    <w:t>67.40</w:t>
                  </w:r>
                </w:p>
              </w:tc>
              <w:tc>
                <w:tcPr>
                  <w:tcW w:w="899" w:type="dxa"/>
                  <w:vMerge w:val="restart"/>
                  <w:tcBorders>
                    <w:tl2br w:val="nil"/>
                    <w:tr2bl w:val="nil"/>
                  </w:tcBorders>
                  <w:vAlign w:val="center"/>
                </w:tcPr>
                <w:p>
                  <w:pPr>
                    <w:adjustRightInd w:val="0"/>
                    <w:snapToGrid w:val="0"/>
                    <w:jc w:val="center"/>
                    <w:rPr>
                      <w:bCs/>
                      <w:color w:val="auto"/>
                      <w:szCs w:val="21"/>
                    </w:rPr>
                  </w:pPr>
                  <w:r>
                    <w:rPr>
                      <w:rFonts w:hint="eastAsia"/>
                      <w:color w:val="auto"/>
                      <w:szCs w:val="21"/>
                    </w:rPr>
                    <w:t>8h</w:t>
                  </w:r>
                </w:p>
              </w:tc>
              <w:tc>
                <w:tcPr>
                  <w:tcW w:w="847"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21</w:t>
                  </w:r>
                </w:p>
              </w:tc>
              <w:tc>
                <w:tcPr>
                  <w:tcW w:w="997" w:type="dxa"/>
                  <w:tcBorders>
                    <w:tl2br w:val="nil"/>
                    <w:tr2bl w:val="nil"/>
                  </w:tcBorders>
                  <w:vAlign w:val="center"/>
                </w:tcPr>
                <w:p>
                  <w:pPr>
                    <w:widowControl/>
                    <w:adjustRightInd w:val="0"/>
                    <w:snapToGrid w:val="0"/>
                    <w:jc w:val="center"/>
                    <w:textAlignment w:val="bottom"/>
                    <w:rPr>
                      <w:color w:val="auto"/>
                    </w:rPr>
                  </w:pPr>
                  <w:r>
                    <w:rPr>
                      <w:rFonts w:hint="eastAsia"/>
                      <w:color w:val="auto"/>
                    </w:rPr>
                    <w:t>46.40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46（南）</w:t>
                  </w:r>
                </w:p>
              </w:tc>
              <w:tc>
                <w:tcPr>
                  <w:tcW w:w="917" w:type="dxa"/>
                  <w:tcBorders>
                    <w:tl2br w:val="nil"/>
                    <w:tr2bl w:val="nil"/>
                  </w:tcBorders>
                  <w:vAlign w:val="bottom"/>
                </w:tcPr>
                <w:p>
                  <w:pPr>
                    <w:widowControl/>
                    <w:adjustRightInd w:val="0"/>
                    <w:snapToGrid w:val="0"/>
                    <w:jc w:val="center"/>
                    <w:textAlignment w:val="bottom"/>
                    <w:rPr>
                      <w:color w:val="auto"/>
                      <w:szCs w:val="21"/>
                    </w:rPr>
                  </w:pPr>
                  <w:r>
                    <w:rPr>
                      <w:color w:val="auto"/>
                      <w:kern w:val="0"/>
                      <w:szCs w:val="21"/>
                      <w:lang w:bidi="ar"/>
                    </w:rPr>
                    <w:t>55.72</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bottom"/>
                </w:tcPr>
                <w:p>
                  <w:pPr>
                    <w:widowControl/>
                    <w:adjustRightInd w:val="0"/>
                    <w:snapToGrid w:val="0"/>
                    <w:jc w:val="center"/>
                    <w:textAlignment w:val="bottom"/>
                    <w:rPr>
                      <w:bCs/>
                      <w:color w:val="auto"/>
                      <w:szCs w:val="21"/>
                    </w:rPr>
                  </w:pPr>
                  <w:r>
                    <w:rPr>
                      <w:rFonts w:hint="eastAsia"/>
                      <w:bCs/>
                      <w:color w:val="auto"/>
                      <w:szCs w:val="21"/>
                    </w:rPr>
                    <w:t>34.72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12（西）</w:t>
                  </w:r>
                </w:p>
              </w:tc>
              <w:tc>
                <w:tcPr>
                  <w:tcW w:w="917" w:type="dxa"/>
                  <w:tcBorders>
                    <w:tl2br w:val="nil"/>
                    <w:tr2bl w:val="nil"/>
                  </w:tcBorders>
                  <w:vAlign w:val="bottom"/>
                </w:tcPr>
                <w:p>
                  <w:pPr>
                    <w:widowControl/>
                    <w:adjustRightInd w:val="0"/>
                    <w:snapToGrid w:val="0"/>
                    <w:jc w:val="center"/>
                    <w:textAlignment w:val="bottom"/>
                    <w:rPr>
                      <w:color w:val="auto"/>
                      <w:szCs w:val="21"/>
                    </w:rPr>
                  </w:pPr>
                  <w:r>
                    <w:rPr>
                      <w:color w:val="auto"/>
                      <w:kern w:val="0"/>
                      <w:szCs w:val="21"/>
                      <w:lang w:bidi="ar"/>
                    </w:rPr>
                    <w:t>67.40</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bottom"/>
                </w:tcPr>
                <w:p>
                  <w:pPr>
                    <w:widowControl/>
                    <w:adjustRightInd w:val="0"/>
                    <w:snapToGrid w:val="0"/>
                    <w:jc w:val="center"/>
                    <w:textAlignment w:val="bottom"/>
                    <w:rPr>
                      <w:bCs/>
                      <w:color w:val="auto"/>
                      <w:szCs w:val="21"/>
                    </w:rPr>
                  </w:pPr>
                  <w:r>
                    <w:rPr>
                      <w:rFonts w:hint="eastAsia"/>
                      <w:bCs/>
                      <w:color w:val="auto"/>
                      <w:szCs w:val="21"/>
                    </w:rPr>
                    <w:t>46.40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16（北）</w:t>
                  </w:r>
                </w:p>
              </w:tc>
              <w:tc>
                <w:tcPr>
                  <w:tcW w:w="917" w:type="dxa"/>
                  <w:tcBorders>
                    <w:tl2br w:val="nil"/>
                    <w:tr2bl w:val="nil"/>
                  </w:tcBorders>
                  <w:vAlign w:val="bottom"/>
                </w:tcPr>
                <w:p>
                  <w:pPr>
                    <w:widowControl/>
                    <w:adjustRightInd w:val="0"/>
                    <w:snapToGrid w:val="0"/>
                    <w:jc w:val="center"/>
                    <w:textAlignment w:val="bottom"/>
                    <w:rPr>
                      <w:color w:val="auto"/>
                      <w:szCs w:val="21"/>
                    </w:rPr>
                  </w:pPr>
                  <w:r>
                    <w:rPr>
                      <w:color w:val="auto"/>
                      <w:kern w:val="0"/>
                      <w:szCs w:val="21"/>
                      <w:lang w:bidi="ar"/>
                    </w:rPr>
                    <w:t>64.90</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bottom"/>
                </w:tcPr>
                <w:p>
                  <w:pPr>
                    <w:widowControl/>
                    <w:adjustRightInd w:val="0"/>
                    <w:snapToGrid w:val="0"/>
                    <w:jc w:val="center"/>
                    <w:textAlignment w:val="bottom"/>
                    <w:rPr>
                      <w:bCs/>
                      <w:color w:val="auto"/>
                      <w:szCs w:val="21"/>
                    </w:rPr>
                  </w:pPr>
                  <w:r>
                    <w:rPr>
                      <w:rFonts w:hint="eastAsia"/>
                      <w:bCs/>
                      <w:color w:val="auto"/>
                      <w:szCs w:val="21"/>
                    </w:rPr>
                    <w:t>43.90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restart"/>
                  <w:tcBorders>
                    <w:tl2br w:val="nil"/>
                    <w:tr2bl w:val="nil"/>
                  </w:tcBorders>
                  <w:vAlign w:val="center"/>
                </w:tcPr>
                <w:p>
                  <w:pPr>
                    <w:adjustRightInd w:val="0"/>
                    <w:snapToGrid w:val="0"/>
                    <w:jc w:val="center"/>
                    <w:rPr>
                      <w:rFonts w:hint="eastAsia" w:eastAsia="宋体"/>
                      <w:bCs/>
                      <w:color w:val="auto"/>
                      <w:szCs w:val="21"/>
                      <w:lang w:val="en-US" w:eastAsia="zh-CN"/>
                    </w:rPr>
                  </w:pPr>
                  <w:r>
                    <w:rPr>
                      <w:rFonts w:hint="eastAsia"/>
                      <w:bCs/>
                      <w:color w:val="auto"/>
                      <w:szCs w:val="21"/>
                      <w:lang w:val="en-US" w:eastAsia="zh-CN"/>
                    </w:rPr>
                    <w:t>3</w:t>
                  </w: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restart"/>
                  <w:tcBorders>
                    <w:tl2br w:val="nil"/>
                    <w:tr2bl w:val="nil"/>
                  </w:tcBorders>
                  <w:vAlign w:val="center"/>
                </w:tcPr>
                <w:p>
                  <w:pPr>
                    <w:adjustRightInd w:val="0"/>
                    <w:snapToGrid w:val="0"/>
                    <w:jc w:val="center"/>
                    <w:rPr>
                      <w:color w:val="auto"/>
                      <w:szCs w:val="21"/>
                    </w:rPr>
                  </w:pPr>
                  <w:r>
                    <w:rPr>
                      <w:rFonts w:hint="eastAsia"/>
                      <w:color w:val="auto"/>
                      <w:szCs w:val="21"/>
                    </w:rPr>
                    <w:t>全密闭无纺布生产设备</w:t>
                  </w:r>
                </w:p>
              </w:tc>
              <w:tc>
                <w:tcPr>
                  <w:tcW w:w="684"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1395" w:type="dxa"/>
                  <w:vMerge w:val="restart"/>
                  <w:tcBorders>
                    <w:tl2br w:val="nil"/>
                    <w:tr2bl w:val="nil"/>
                  </w:tcBorders>
                  <w:vAlign w:val="center"/>
                </w:tcPr>
                <w:p>
                  <w:pPr>
                    <w:adjustRightInd w:val="0"/>
                    <w:snapToGrid w:val="0"/>
                    <w:jc w:val="center"/>
                    <w:rPr>
                      <w:color w:val="auto"/>
                      <w:szCs w:val="21"/>
                    </w:rPr>
                  </w:pPr>
                  <w:r>
                    <w:rPr>
                      <w:rFonts w:hint="eastAsia"/>
                      <w:color w:val="auto"/>
                      <w:szCs w:val="21"/>
                    </w:rPr>
                    <w:t>70/5</w:t>
                  </w:r>
                </w:p>
              </w:tc>
              <w:tc>
                <w:tcPr>
                  <w:tcW w:w="845" w:type="dxa"/>
                  <w:vMerge w:val="restart"/>
                  <w:tcBorders>
                    <w:tl2br w:val="nil"/>
                    <w:tr2bl w:val="nil"/>
                  </w:tcBorders>
                  <w:vAlign w:val="center"/>
                </w:tcPr>
                <w:p>
                  <w:pPr>
                    <w:adjustRightInd w:val="0"/>
                    <w:snapToGrid w:val="0"/>
                    <w:jc w:val="center"/>
                    <w:rPr>
                      <w:bCs/>
                      <w:color w:val="auto"/>
                      <w:szCs w:val="21"/>
                    </w:rPr>
                  </w:pPr>
                  <w:r>
                    <w:rPr>
                      <w:color w:val="auto"/>
                      <w:szCs w:val="21"/>
                    </w:rPr>
                    <w:t>建筑隔声</w:t>
                  </w:r>
                </w:p>
              </w:tc>
              <w:tc>
                <w:tcPr>
                  <w:tcW w:w="606"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17</w:t>
                  </w:r>
                </w:p>
              </w:tc>
              <w:tc>
                <w:tcPr>
                  <w:tcW w:w="622"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-6</w:t>
                  </w:r>
                </w:p>
              </w:tc>
              <w:tc>
                <w:tcPr>
                  <w:tcW w:w="579"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1</w:t>
                  </w: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25（东）</w:t>
                  </w:r>
                </w:p>
              </w:tc>
              <w:tc>
                <w:tcPr>
                  <w:tcW w:w="917" w:type="dxa"/>
                  <w:tcBorders>
                    <w:tl2br w:val="nil"/>
                    <w:tr2bl w:val="nil"/>
                  </w:tcBorders>
                  <w:vAlign w:val="bottom"/>
                </w:tcPr>
                <w:p>
                  <w:pPr>
                    <w:widowControl/>
                    <w:adjustRightInd w:val="0"/>
                    <w:snapToGrid w:val="0"/>
                    <w:jc w:val="center"/>
                    <w:textAlignment w:val="bottom"/>
                    <w:rPr>
                      <w:color w:val="auto"/>
                      <w:szCs w:val="21"/>
                    </w:rPr>
                  </w:pPr>
                  <w:r>
                    <w:rPr>
                      <w:color w:val="auto"/>
                      <w:kern w:val="0"/>
                      <w:szCs w:val="21"/>
                      <w:lang w:bidi="ar"/>
                    </w:rPr>
                    <w:t>56.02</w:t>
                  </w:r>
                </w:p>
              </w:tc>
              <w:tc>
                <w:tcPr>
                  <w:tcW w:w="899" w:type="dxa"/>
                  <w:vMerge w:val="restart"/>
                  <w:tcBorders>
                    <w:tl2br w:val="nil"/>
                    <w:tr2bl w:val="nil"/>
                  </w:tcBorders>
                  <w:vAlign w:val="center"/>
                </w:tcPr>
                <w:p>
                  <w:pPr>
                    <w:adjustRightInd w:val="0"/>
                    <w:snapToGrid w:val="0"/>
                    <w:jc w:val="center"/>
                    <w:rPr>
                      <w:bCs/>
                      <w:color w:val="auto"/>
                      <w:szCs w:val="21"/>
                    </w:rPr>
                  </w:pPr>
                  <w:r>
                    <w:rPr>
                      <w:rFonts w:hint="eastAsia"/>
                      <w:color w:val="auto"/>
                      <w:szCs w:val="21"/>
                    </w:rPr>
                    <w:t>16h</w:t>
                  </w:r>
                </w:p>
              </w:tc>
              <w:tc>
                <w:tcPr>
                  <w:tcW w:w="847"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21</w:t>
                  </w:r>
                </w:p>
              </w:tc>
              <w:tc>
                <w:tcPr>
                  <w:tcW w:w="997" w:type="dxa"/>
                  <w:tcBorders>
                    <w:tl2br w:val="nil"/>
                    <w:tr2bl w:val="nil"/>
                  </w:tcBorders>
                  <w:vAlign w:val="bottom"/>
                </w:tcPr>
                <w:p>
                  <w:pPr>
                    <w:widowControl/>
                    <w:adjustRightInd w:val="0"/>
                    <w:snapToGrid w:val="0"/>
                    <w:jc w:val="center"/>
                    <w:textAlignment w:val="bottom"/>
                    <w:rPr>
                      <w:bCs/>
                      <w:color w:val="auto"/>
                      <w:szCs w:val="21"/>
                    </w:rPr>
                  </w:pPr>
                  <w:r>
                    <w:rPr>
                      <w:rFonts w:hint="eastAsia"/>
                      <w:bCs/>
                      <w:color w:val="auto"/>
                      <w:szCs w:val="21"/>
                    </w:rPr>
                    <w:t>35.02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25（南）</w:t>
                  </w:r>
                </w:p>
              </w:tc>
              <w:tc>
                <w:tcPr>
                  <w:tcW w:w="917" w:type="dxa"/>
                  <w:tcBorders>
                    <w:tl2br w:val="nil"/>
                    <w:tr2bl w:val="nil"/>
                  </w:tcBorders>
                  <w:vAlign w:val="bottom"/>
                </w:tcPr>
                <w:p>
                  <w:pPr>
                    <w:widowControl/>
                    <w:adjustRightInd w:val="0"/>
                    <w:snapToGrid w:val="0"/>
                    <w:jc w:val="center"/>
                    <w:textAlignment w:val="bottom"/>
                    <w:rPr>
                      <w:color w:val="auto"/>
                      <w:szCs w:val="21"/>
                    </w:rPr>
                  </w:pPr>
                  <w:r>
                    <w:rPr>
                      <w:color w:val="auto"/>
                      <w:kern w:val="0"/>
                      <w:szCs w:val="21"/>
                      <w:lang w:bidi="ar"/>
                    </w:rPr>
                    <w:t>56.02</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bottom"/>
                </w:tcPr>
                <w:p>
                  <w:pPr>
                    <w:widowControl/>
                    <w:adjustRightInd w:val="0"/>
                    <w:snapToGrid w:val="0"/>
                    <w:jc w:val="center"/>
                    <w:textAlignment w:val="bottom"/>
                    <w:rPr>
                      <w:bCs/>
                      <w:color w:val="auto"/>
                      <w:szCs w:val="21"/>
                    </w:rPr>
                  </w:pPr>
                  <w:r>
                    <w:rPr>
                      <w:rFonts w:hint="eastAsia"/>
                      <w:bCs/>
                      <w:color w:val="auto"/>
                      <w:szCs w:val="21"/>
                    </w:rPr>
                    <w:t>35.02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59（西）</w:t>
                  </w:r>
                </w:p>
              </w:tc>
              <w:tc>
                <w:tcPr>
                  <w:tcW w:w="917" w:type="dxa"/>
                  <w:tcBorders>
                    <w:tl2br w:val="nil"/>
                    <w:tr2bl w:val="nil"/>
                  </w:tcBorders>
                  <w:vAlign w:val="bottom"/>
                </w:tcPr>
                <w:p>
                  <w:pPr>
                    <w:widowControl/>
                    <w:adjustRightInd w:val="0"/>
                    <w:snapToGrid w:val="0"/>
                    <w:jc w:val="center"/>
                    <w:textAlignment w:val="bottom"/>
                    <w:rPr>
                      <w:color w:val="auto"/>
                      <w:szCs w:val="21"/>
                    </w:rPr>
                  </w:pPr>
                  <w:r>
                    <w:rPr>
                      <w:color w:val="auto"/>
                      <w:kern w:val="0"/>
                      <w:szCs w:val="21"/>
                      <w:lang w:bidi="ar"/>
                    </w:rPr>
                    <w:t>48.56</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bottom"/>
                </w:tcPr>
                <w:p>
                  <w:pPr>
                    <w:widowControl/>
                    <w:adjustRightInd w:val="0"/>
                    <w:snapToGrid w:val="0"/>
                    <w:jc w:val="center"/>
                    <w:textAlignment w:val="bottom"/>
                    <w:rPr>
                      <w:bCs/>
                      <w:color w:val="auto"/>
                      <w:szCs w:val="21"/>
                    </w:rPr>
                  </w:pPr>
                  <w:r>
                    <w:rPr>
                      <w:rFonts w:hint="eastAsia"/>
                      <w:bCs/>
                      <w:color w:val="auto"/>
                      <w:szCs w:val="21"/>
                    </w:rPr>
                    <w:t>47.56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37（北）</w:t>
                  </w:r>
                </w:p>
              </w:tc>
              <w:tc>
                <w:tcPr>
                  <w:tcW w:w="917" w:type="dxa"/>
                  <w:tcBorders>
                    <w:tl2br w:val="nil"/>
                    <w:tr2bl w:val="nil"/>
                  </w:tcBorders>
                  <w:vAlign w:val="bottom"/>
                </w:tcPr>
                <w:p>
                  <w:pPr>
                    <w:widowControl/>
                    <w:adjustRightInd w:val="0"/>
                    <w:snapToGrid w:val="0"/>
                    <w:jc w:val="center"/>
                    <w:textAlignment w:val="bottom"/>
                    <w:rPr>
                      <w:color w:val="auto"/>
                      <w:szCs w:val="21"/>
                    </w:rPr>
                  </w:pPr>
                  <w:r>
                    <w:rPr>
                      <w:color w:val="auto"/>
                      <w:kern w:val="0"/>
                      <w:szCs w:val="21"/>
                      <w:lang w:bidi="ar"/>
                    </w:rPr>
                    <w:t>52.62</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bottom"/>
                </w:tcPr>
                <w:p>
                  <w:pPr>
                    <w:widowControl/>
                    <w:adjustRightInd w:val="0"/>
                    <w:snapToGrid w:val="0"/>
                    <w:jc w:val="center"/>
                    <w:textAlignment w:val="bottom"/>
                    <w:rPr>
                      <w:bCs/>
                      <w:color w:val="auto"/>
                      <w:szCs w:val="21"/>
                    </w:rPr>
                  </w:pPr>
                  <w:r>
                    <w:rPr>
                      <w:rFonts w:hint="eastAsia"/>
                      <w:bCs/>
                      <w:color w:val="auto"/>
                      <w:szCs w:val="21"/>
                    </w:rPr>
                    <w:t>31.62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restart"/>
                  <w:tcBorders>
                    <w:tl2br w:val="nil"/>
                    <w:tr2bl w:val="nil"/>
                  </w:tcBorders>
                  <w:vAlign w:val="center"/>
                </w:tcPr>
                <w:p>
                  <w:pPr>
                    <w:adjustRightInd w:val="0"/>
                    <w:snapToGrid w:val="0"/>
                    <w:jc w:val="center"/>
                    <w:rPr>
                      <w:rFonts w:hint="eastAsia" w:eastAsia="宋体"/>
                      <w:bCs/>
                      <w:color w:val="auto"/>
                      <w:szCs w:val="21"/>
                      <w:lang w:val="en-US" w:eastAsia="zh-CN"/>
                    </w:rPr>
                  </w:pPr>
                  <w:r>
                    <w:rPr>
                      <w:rFonts w:hint="eastAsia"/>
                      <w:bCs/>
                      <w:color w:val="auto"/>
                      <w:szCs w:val="21"/>
                      <w:lang w:val="en-US" w:eastAsia="zh-CN"/>
                    </w:rPr>
                    <w:t>4</w:t>
                  </w: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restart"/>
                  <w:tcBorders>
                    <w:tl2br w:val="nil"/>
                    <w:tr2bl w:val="nil"/>
                  </w:tcBorders>
                  <w:vAlign w:val="center"/>
                </w:tcPr>
                <w:p>
                  <w:pPr>
                    <w:adjustRightInd w:val="0"/>
                    <w:snapToGrid w:val="0"/>
                    <w:jc w:val="center"/>
                    <w:rPr>
                      <w:color w:val="auto"/>
                      <w:szCs w:val="21"/>
                    </w:rPr>
                  </w:pPr>
                  <w:r>
                    <w:rPr>
                      <w:rFonts w:hint="eastAsia"/>
                      <w:color w:val="auto"/>
                      <w:szCs w:val="21"/>
                    </w:rPr>
                    <w:t>冲切机</w:t>
                  </w:r>
                </w:p>
              </w:tc>
              <w:tc>
                <w:tcPr>
                  <w:tcW w:w="684"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1395" w:type="dxa"/>
                  <w:vMerge w:val="restart"/>
                  <w:tcBorders>
                    <w:tl2br w:val="nil"/>
                    <w:tr2bl w:val="nil"/>
                  </w:tcBorders>
                  <w:vAlign w:val="center"/>
                </w:tcPr>
                <w:p>
                  <w:pPr>
                    <w:adjustRightInd w:val="0"/>
                    <w:snapToGrid w:val="0"/>
                    <w:jc w:val="center"/>
                    <w:rPr>
                      <w:color w:val="auto"/>
                      <w:szCs w:val="21"/>
                    </w:rPr>
                  </w:pPr>
                  <w:r>
                    <w:rPr>
                      <w:rFonts w:hint="eastAsia"/>
                      <w:color w:val="auto"/>
                      <w:szCs w:val="21"/>
                    </w:rPr>
                    <w:t>75/5</w:t>
                  </w:r>
                </w:p>
              </w:tc>
              <w:tc>
                <w:tcPr>
                  <w:tcW w:w="845" w:type="dxa"/>
                  <w:vMerge w:val="restart"/>
                  <w:tcBorders>
                    <w:tl2br w:val="nil"/>
                    <w:tr2bl w:val="nil"/>
                  </w:tcBorders>
                  <w:vAlign w:val="center"/>
                </w:tcPr>
                <w:p>
                  <w:pPr>
                    <w:adjustRightInd w:val="0"/>
                    <w:snapToGrid w:val="0"/>
                    <w:jc w:val="center"/>
                    <w:rPr>
                      <w:bCs/>
                      <w:color w:val="auto"/>
                      <w:szCs w:val="21"/>
                    </w:rPr>
                  </w:pPr>
                  <w:r>
                    <w:rPr>
                      <w:color w:val="auto"/>
                      <w:szCs w:val="21"/>
                    </w:rPr>
                    <w:t>建筑隔声</w:t>
                  </w:r>
                  <w:r>
                    <w:rPr>
                      <w:rFonts w:hint="eastAsia"/>
                      <w:color w:val="auto"/>
                      <w:szCs w:val="21"/>
                    </w:rPr>
                    <w:t>、减震垫</w:t>
                  </w:r>
                </w:p>
              </w:tc>
              <w:tc>
                <w:tcPr>
                  <w:tcW w:w="606"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-26</w:t>
                  </w:r>
                </w:p>
              </w:tc>
              <w:tc>
                <w:tcPr>
                  <w:tcW w:w="622"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-5</w:t>
                  </w:r>
                </w:p>
              </w:tc>
              <w:tc>
                <w:tcPr>
                  <w:tcW w:w="579"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1</w:t>
                  </w: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57（东）</w:t>
                  </w:r>
                </w:p>
              </w:tc>
              <w:tc>
                <w:tcPr>
                  <w:tcW w:w="917" w:type="dxa"/>
                  <w:tcBorders>
                    <w:tl2br w:val="nil"/>
                    <w:tr2bl w:val="nil"/>
                  </w:tcBorders>
                  <w:vAlign w:val="bottom"/>
                </w:tcPr>
                <w:p>
                  <w:pPr>
                    <w:widowControl/>
                    <w:adjustRightInd w:val="0"/>
                    <w:snapToGrid w:val="0"/>
                    <w:jc w:val="center"/>
                    <w:textAlignment w:val="bottom"/>
                    <w:rPr>
                      <w:color w:val="auto"/>
                      <w:szCs w:val="21"/>
                    </w:rPr>
                  </w:pPr>
                  <w:r>
                    <w:rPr>
                      <w:color w:val="auto"/>
                      <w:kern w:val="0"/>
                      <w:szCs w:val="21"/>
                      <w:lang w:bidi="ar"/>
                    </w:rPr>
                    <w:t>53.86</w:t>
                  </w:r>
                </w:p>
              </w:tc>
              <w:tc>
                <w:tcPr>
                  <w:tcW w:w="899" w:type="dxa"/>
                  <w:vMerge w:val="restart"/>
                  <w:tcBorders>
                    <w:tl2br w:val="nil"/>
                    <w:tr2bl w:val="nil"/>
                  </w:tcBorders>
                  <w:vAlign w:val="center"/>
                </w:tcPr>
                <w:p>
                  <w:pPr>
                    <w:adjustRightInd w:val="0"/>
                    <w:snapToGrid w:val="0"/>
                    <w:jc w:val="center"/>
                    <w:rPr>
                      <w:bCs/>
                      <w:color w:val="auto"/>
                      <w:szCs w:val="21"/>
                    </w:rPr>
                  </w:pPr>
                  <w:r>
                    <w:rPr>
                      <w:rFonts w:hint="eastAsia"/>
                      <w:color w:val="auto"/>
                      <w:szCs w:val="21"/>
                    </w:rPr>
                    <w:t>16h</w:t>
                  </w:r>
                </w:p>
              </w:tc>
              <w:tc>
                <w:tcPr>
                  <w:tcW w:w="847"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21</w:t>
                  </w:r>
                </w:p>
              </w:tc>
              <w:tc>
                <w:tcPr>
                  <w:tcW w:w="997" w:type="dxa"/>
                  <w:tcBorders>
                    <w:tl2br w:val="nil"/>
                    <w:tr2bl w:val="nil"/>
                  </w:tcBorders>
                  <w:vAlign w:val="bottom"/>
                </w:tcPr>
                <w:p>
                  <w:pPr>
                    <w:widowControl/>
                    <w:adjustRightInd w:val="0"/>
                    <w:snapToGrid w:val="0"/>
                    <w:jc w:val="center"/>
                    <w:textAlignment w:val="bottom"/>
                    <w:rPr>
                      <w:bCs/>
                      <w:color w:val="auto"/>
                      <w:szCs w:val="21"/>
                    </w:rPr>
                  </w:pPr>
                  <w:r>
                    <w:rPr>
                      <w:rFonts w:hint="eastAsia"/>
                      <w:bCs/>
                      <w:color w:val="auto"/>
                      <w:szCs w:val="21"/>
                    </w:rPr>
                    <w:t>32.86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37（南）</w:t>
                  </w:r>
                </w:p>
              </w:tc>
              <w:tc>
                <w:tcPr>
                  <w:tcW w:w="917" w:type="dxa"/>
                  <w:tcBorders>
                    <w:tl2br w:val="nil"/>
                    <w:tr2bl w:val="nil"/>
                  </w:tcBorders>
                  <w:vAlign w:val="bottom"/>
                </w:tcPr>
                <w:p>
                  <w:pPr>
                    <w:widowControl/>
                    <w:adjustRightInd w:val="0"/>
                    <w:snapToGrid w:val="0"/>
                    <w:jc w:val="center"/>
                    <w:textAlignment w:val="bottom"/>
                    <w:rPr>
                      <w:color w:val="auto"/>
                      <w:szCs w:val="21"/>
                    </w:rPr>
                  </w:pPr>
                  <w:r>
                    <w:rPr>
                      <w:color w:val="auto"/>
                      <w:kern w:val="0"/>
                      <w:szCs w:val="21"/>
                      <w:lang w:bidi="ar"/>
                    </w:rPr>
                    <w:t>57.62</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bottom"/>
                </w:tcPr>
                <w:p>
                  <w:pPr>
                    <w:widowControl/>
                    <w:adjustRightInd w:val="0"/>
                    <w:snapToGrid w:val="0"/>
                    <w:jc w:val="center"/>
                    <w:textAlignment w:val="bottom"/>
                    <w:rPr>
                      <w:bCs/>
                      <w:color w:val="auto"/>
                      <w:szCs w:val="21"/>
                    </w:rPr>
                  </w:pPr>
                  <w:r>
                    <w:rPr>
                      <w:rFonts w:hint="eastAsia"/>
                      <w:bCs/>
                      <w:color w:val="auto"/>
                      <w:szCs w:val="21"/>
                    </w:rPr>
                    <w:t>36.63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5（西）</w:t>
                  </w:r>
                </w:p>
              </w:tc>
              <w:tc>
                <w:tcPr>
                  <w:tcW w:w="917" w:type="dxa"/>
                  <w:tcBorders>
                    <w:tl2br w:val="nil"/>
                    <w:tr2bl w:val="nil"/>
                  </w:tcBorders>
                  <w:vAlign w:val="bottom"/>
                </w:tcPr>
                <w:p>
                  <w:pPr>
                    <w:widowControl/>
                    <w:adjustRightInd w:val="0"/>
                    <w:snapToGrid w:val="0"/>
                    <w:jc w:val="center"/>
                    <w:textAlignment w:val="bottom"/>
                    <w:rPr>
                      <w:color w:val="auto"/>
                      <w:szCs w:val="21"/>
                    </w:rPr>
                  </w:pPr>
                  <w:r>
                    <w:rPr>
                      <w:color w:val="auto"/>
                      <w:kern w:val="0"/>
                      <w:szCs w:val="21"/>
                      <w:lang w:bidi="ar"/>
                    </w:rPr>
                    <w:t>75.00</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bottom"/>
                </w:tcPr>
                <w:p>
                  <w:pPr>
                    <w:widowControl/>
                    <w:adjustRightInd w:val="0"/>
                    <w:snapToGrid w:val="0"/>
                    <w:jc w:val="center"/>
                    <w:textAlignment w:val="bottom"/>
                    <w:rPr>
                      <w:bCs/>
                      <w:color w:val="auto"/>
                      <w:szCs w:val="21"/>
                    </w:rPr>
                  </w:pPr>
                  <w:r>
                    <w:rPr>
                      <w:rFonts w:hint="eastAsia"/>
                      <w:bCs/>
                      <w:color w:val="auto"/>
                      <w:szCs w:val="21"/>
                    </w:rPr>
                    <w:t>54.00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47（北）</w:t>
                  </w:r>
                </w:p>
              </w:tc>
              <w:tc>
                <w:tcPr>
                  <w:tcW w:w="917" w:type="dxa"/>
                  <w:tcBorders>
                    <w:tl2br w:val="nil"/>
                    <w:tr2bl w:val="nil"/>
                  </w:tcBorders>
                  <w:vAlign w:val="bottom"/>
                </w:tcPr>
                <w:p>
                  <w:pPr>
                    <w:widowControl/>
                    <w:adjustRightInd w:val="0"/>
                    <w:snapToGrid w:val="0"/>
                    <w:jc w:val="center"/>
                    <w:textAlignment w:val="bottom"/>
                    <w:rPr>
                      <w:color w:val="auto"/>
                      <w:szCs w:val="21"/>
                    </w:rPr>
                  </w:pPr>
                  <w:r>
                    <w:rPr>
                      <w:color w:val="auto"/>
                      <w:kern w:val="0"/>
                      <w:szCs w:val="21"/>
                      <w:lang w:bidi="ar"/>
                    </w:rPr>
                    <w:t>55.54</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bottom"/>
                </w:tcPr>
                <w:p>
                  <w:pPr>
                    <w:widowControl/>
                    <w:adjustRightInd w:val="0"/>
                    <w:snapToGrid w:val="0"/>
                    <w:jc w:val="center"/>
                    <w:textAlignment w:val="bottom"/>
                    <w:rPr>
                      <w:bCs/>
                      <w:color w:val="auto"/>
                      <w:szCs w:val="21"/>
                    </w:rPr>
                  </w:pPr>
                  <w:r>
                    <w:rPr>
                      <w:rFonts w:hint="eastAsia"/>
                      <w:bCs/>
                      <w:color w:val="auto"/>
                      <w:szCs w:val="21"/>
                    </w:rPr>
                    <w:t>34.54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restart"/>
                  <w:tcBorders>
                    <w:tl2br w:val="nil"/>
                    <w:tr2bl w:val="nil"/>
                  </w:tcBorders>
                  <w:vAlign w:val="center"/>
                </w:tcPr>
                <w:p>
                  <w:pPr>
                    <w:adjustRightInd w:val="0"/>
                    <w:snapToGrid w:val="0"/>
                    <w:jc w:val="center"/>
                    <w:rPr>
                      <w:rFonts w:hint="eastAsia" w:eastAsia="宋体"/>
                      <w:bCs/>
                      <w:color w:val="auto"/>
                      <w:szCs w:val="21"/>
                      <w:lang w:val="en-US" w:eastAsia="zh-CN"/>
                    </w:rPr>
                  </w:pPr>
                  <w:r>
                    <w:rPr>
                      <w:rFonts w:hint="eastAsia"/>
                      <w:bCs/>
                      <w:color w:val="auto"/>
                      <w:szCs w:val="21"/>
                      <w:lang w:val="en-US" w:eastAsia="zh-CN"/>
                    </w:rPr>
                    <w:t>5</w:t>
                  </w: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restart"/>
                  <w:tcBorders>
                    <w:tl2br w:val="nil"/>
                    <w:tr2bl w:val="nil"/>
                  </w:tcBorders>
                  <w:vAlign w:val="center"/>
                </w:tcPr>
                <w:p>
                  <w:pPr>
                    <w:adjustRightInd w:val="0"/>
                    <w:snapToGrid w:val="0"/>
                    <w:jc w:val="center"/>
                    <w:rPr>
                      <w:color w:val="auto"/>
                      <w:szCs w:val="21"/>
                    </w:rPr>
                  </w:pPr>
                  <w:r>
                    <w:rPr>
                      <w:rFonts w:hint="eastAsia"/>
                      <w:color w:val="auto"/>
                      <w:szCs w:val="21"/>
                    </w:rPr>
                    <w:t>平切机</w:t>
                  </w:r>
                </w:p>
              </w:tc>
              <w:tc>
                <w:tcPr>
                  <w:tcW w:w="684"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1395" w:type="dxa"/>
                  <w:vMerge w:val="restart"/>
                  <w:tcBorders>
                    <w:tl2br w:val="nil"/>
                    <w:tr2bl w:val="nil"/>
                  </w:tcBorders>
                  <w:vAlign w:val="center"/>
                </w:tcPr>
                <w:p>
                  <w:pPr>
                    <w:adjustRightInd w:val="0"/>
                    <w:snapToGrid w:val="0"/>
                    <w:jc w:val="center"/>
                    <w:rPr>
                      <w:color w:val="auto"/>
                      <w:szCs w:val="21"/>
                    </w:rPr>
                  </w:pPr>
                  <w:r>
                    <w:rPr>
                      <w:rFonts w:hint="eastAsia"/>
                      <w:color w:val="auto"/>
                      <w:szCs w:val="21"/>
                    </w:rPr>
                    <w:t>75/5</w:t>
                  </w:r>
                </w:p>
              </w:tc>
              <w:tc>
                <w:tcPr>
                  <w:tcW w:w="845" w:type="dxa"/>
                  <w:vMerge w:val="restart"/>
                  <w:tcBorders>
                    <w:tl2br w:val="nil"/>
                    <w:tr2bl w:val="nil"/>
                  </w:tcBorders>
                  <w:vAlign w:val="center"/>
                </w:tcPr>
                <w:p>
                  <w:pPr>
                    <w:adjustRightInd w:val="0"/>
                    <w:snapToGrid w:val="0"/>
                    <w:jc w:val="center"/>
                    <w:rPr>
                      <w:bCs/>
                      <w:color w:val="auto"/>
                      <w:szCs w:val="21"/>
                    </w:rPr>
                  </w:pPr>
                  <w:r>
                    <w:rPr>
                      <w:color w:val="auto"/>
                      <w:szCs w:val="21"/>
                    </w:rPr>
                    <w:t>建筑隔声</w:t>
                  </w:r>
                  <w:r>
                    <w:rPr>
                      <w:rFonts w:hint="eastAsia"/>
                      <w:color w:val="auto"/>
                      <w:szCs w:val="21"/>
                    </w:rPr>
                    <w:t>、减震垫</w:t>
                  </w:r>
                </w:p>
              </w:tc>
              <w:tc>
                <w:tcPr>
                  <w:tcW w:w="606"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-26</w:t>
                  </w:r>
                </w:p>
              </w:tc>
              <w:tc>
                <w:tcPr>
                  <w:tcW w:w="622"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-3</w:t>
                  </w:r>
                </w:p>
              </w:tc>
              <w:tc>
                <w:tcPr>
                  <w:tcW w:w="579"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1</w:t>
                  </w: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57（东）</w:t>
                  </w:r>
                </w:p>
              </w:tc>
              <w:tc>
                <w:tcPr>
                  <w:tcW w:w="917" w:type="dxa"/>
                  <w:tcBorders>
                    <w:tl2br w:val="nil"/>
                    <w:tr2bl w:val="nil"/>
                  </w:tcBorders>
                  <w:vAlign w:val="bottom"/>
                </w:tcPr>
                <w:p>
                  <w:pPr>
                    <w:widowControl/>
                    <w:adjustRightInd w:val="0"/>
                    <w:snapToGrid w:val="0"/>
                    <w:jc w:val="center"/>
                    <w:textAlignment w:val="bottom"/>
                    <w:rPr>
                      <w:color w:val="auto"/>
                      <w:szCs w:val="21"/>
                    </w:rPr>
                  </w:pPr>
                  <w:r>
                    <w:rPr>
                      <w:color w:val="auto"/>
                      <w:kern w:val="0"/>
                      <w:szCs w:val="21"/>
                      <w:lang w:bidi="ar"/>
                    </w:rPr>
                    <w:t>53.86</w:t>
                  </w:r>
                </w:p>
              </w:tc>
              <w:tc>
                <w:tcPr>
                  <w:tcW w:w="899" w:type="dxa"/>
                  <w:vMerge w:val="restart"/>
                  <w:tcBorders>
                    <w:tl2br w:val="nil"/>
                    <w:tr2bl w:val="nil"/>
                  </w:tcBorders>
                  <w:vAlign w:val="center"/>
                </w:tcPr>
                <w:p>
                  <w:pPr>
                    <w:adjustRightInd w:val="0"/>
                    <w:snapToGrid w:val="0"/>
                    <w:jc w:val="center"/>
                    <w:rPr>
                      <w:bCs/>
                      <w:color w:val="auto"/>
                      <w:szCs w:val="21"/>
                    </w:rPr>
                  </w:pPr>
                  <w:r>
                    <w:rPr>
                      <w:rFonts w:hint="eastAsia"/>
                      <w:color w:val="auto"/>
                      <w:szCs w:val="21"/>
                    </w:rPr>
                    <w:t>16h</w:t>
                  </w:r>
                </w:p>
              </w:tc>
              <w:tc>
                <w:tcPr>
                  <w:tcW w:w="847"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21</w:t>
                  </w:r>
                </w:p>
              </w:tc>
              <w:tc>
                <w:tcPr>
                  <w:tcW w:w="997" w:type="dxa"/>
                  <w:tcBorders>
                    <w:tl2br w:val="nil"/>
                    <w:tr2bl w:val="nil"/>
                  </w:tcBorders>
                  <w:vAlign w:val="bottom"/>
                </w:tcPr>
                <w:p>
                  <w:pPr>
                    <w:widowControl/>
                    <w:adjustRightInd w:val="0"/>
                    <w:snapToGrid w:val="0"/>
                    <w:jc w:val="center"/>
                    <w:textAlignment w:val="bottom"/>
                    <w:rPr>
                      <w:bCs/>
                      <w:color w:val="auto"/>
                      <w:szCs w:val="21"/>
                    </w:rPr>
                  </w:pPr>
                  <w:r>
                    <w:rPr>
                      <w:rFonts w:hint="eastAsia"/>
                      <w:bCs/>
                      <w:color w:val="auto"/>
                      <w:szCs w:val="21"/>
                    </w:rPr>
                    <w:t>32.86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39（南）</w:t>
                  </w:r>
                </w:p>
              </w:tc>
              <w:tc>
                <w:tcPr>
                  <w:tcW w:w="917" w:type="dxa"/>
                  <w:tcBorders>
                    <w:tl2br w:val="nil"/>
                    <w:tr2bl w:val="nil"/>
                  </w:tcBorders>
                  <w:vAlign w:val="bottom"/>
                </w:tcPr>
                <w:p>
                  <w:pPr>
                    <w:widowControl/>
                    <w:adjustRightInd w:val="0"/>
                    <w:snapToGrid w:val="0"/>
                    <w:jc w:val="center"/>
                    <w:textAlignment w:val="bottom"/>
                    <w:rPr>
                      <w:color w:val="auto"/>
                      <w:szCs w:val="21"/>
                    </w:rPr>
                  </w:pPr>
                  <w:r>
                    <w:rPr>
                      <w:color w:val="auto"/>
                      <w:kern w:val="0"/>
                      <w:szCs w:val="21"/>
                      <w:lang w:bidi="ar"/>
                    </w:rPr>
                    <w:t>57.16</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bottom"/>
                </w:tcPr>
                <w:p>
                  <w:pPr>
                    <w:widowControl/>
                    <w:adjustRightInd w:val="0"/>
                    <w:snapToGrid w:val="0"/>
                    <w:jc w:val="center"/>
                    <w:textAlignment w:val="bottom"/>
                    <w:rPr>
                      <w:bCs/>
                      <w:color w:val="auto"/>
                      <w:szCs w:val="21"/>
                    </w:rPr>
                  </w:pPr>
                  <w:r>
                    <w:rPr>
                      <w:rFonts w:hint="eastAsia"/>
                      <w:bCs/>
                      <w:color w:val="auto"/>
                      <w:szCs w:val="21"/>
                    </w:rPr>
                    <w:t>35.16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5（西）</w:t>
                  </w:r>
                </w:p>
              </w:tc>
              <w:tc>
                <w:tcPr>
                  <w:tcW w:w="917" w:type="dxa"/>
                  <w:tcBorders>
                    <w:tl2br w:val="nil"/>
                    <w:tr2bl w:val="nil"/>
                  </w:tcBorders>
                  <w:vAlign w:val="bottom"/>
                </w:tcPr>
                <w:p>
                  <w:pPr>
                    <w:widowControl/>
                    <w:adjustRightInd w:val="0"/>
                    <w:snapToGrid w:val="0"/>
                    <w:jc w:val="center"/>
                    <w:textAlignment w:val="bottom"/>
                    <w:rPr>
                      <w:color w:val="auto"/>
                      <w:szCs w:val="21"/>
                    </w:rPr>
                  </w:pPr>
                  <w:r>
                    <w:rPr>
                      <w:color w:val="auto"/>
                      <w:kern w:val="0"/>
                      <w:szCs w:val="21"/>
                      <w:lang w:bidi="ar"/>
                    </w:rPr>
                    <w:t>75.00</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bottom"/>
                </w:tcPr>
                <w:p>
                  <w:pPr>
                    <w:widowControl/>
                    <w:adjustRightInd w:val="0"/>
                    <w:snapToGrid w:val="0"/>
                    <w:jc w:val="center"/>
                    <w:textAlignment w:val="bottom"/>
                    <w:rPr>
                      <w:bCs/>
                      <w:color w:val="auto"/>
                      <w:szCs w:val="21"/>
                    </w:rPr>
                  </w:pPr>
                  <w:r>
                    <w:rPr>
                      <w:rFonts w:hint="eastAsia"/>
                      <w:bCs/>
                      <w:color w:val="auto"/>
                      <w:szCs w:val="21"/>
                    </w:rPr>
                    <w:t>54.00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45（北）</w:t>
                  </w:r>
                </w:p>
              </w:tc>
              <w:tc>
                <w:tcPr>
                  <w:tcW w:w="917" w:type="dxa"/>
                  <w:tcBorders>
                    <w:tl2br w:val="nil"/>
                    <w:tr2bl w:val="nil"/>
                  </w:tcBorders>
                  <w:vAlign w:val="bottom"/>
                </w:tcPr>
                <w:p>
                  <w:pPr>
                    <w:widowControl/>
                    <w:adjustRightInd w:val="0"/>
                    <w:snapToGrid w:val="0"/>
                    <w:jc w:val="center"/>
                    <w:textAlignment w:val="bottom"/>
                    <w:rPr>
                      <w:color w:val="auto"/>
                      <w:szCs w:val="21"/>
                    </w:rPr>
                  </w:pPr>
                  <w:r>
                    <w:rPr>
                      <w:color w:val="auto"/>
                      <w:kern w:val="0"/>
                      <w:szCs w:val="21"/>
                      <w:lang w:bidi="ar"/>
                    </w:rPr>
                    <w:t>55.92</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center"/>
                </w:tcPr>
                <w:p>
                  <w:pPr>
                    <w:widowControl/>
                    <w:adjustRightInd w:val="0"/>
                    <w:snapToGrid w:val="0"/>
                    <w:jc w:val="center"/>
                    <w:textAlignment w:val="bottom"/>
                    <w:rPr>
                      <w:bCs/>
                      <w:color w:val="auto"/>
                      <w:szCs w:val="21"/>
                    </w:rPr>
                  </w:pPr>
                  <w:r>
                    <w:rPr>
                      <w:rFonts w:hint="eastAsia"/>
                      <w:bCs/>
                      <w:color w:val="auto"/>
                      <w:szCs w:val="21"/>
                    </w:rPr>
                    <w:t>34.92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restart"/>
                  <w:tcBorders>
                    <w:tl2br w:val="nil"/>
                    <w:tr2bl w:val="nil"/>
                  </w:tcBorders>
                  <w:vAlign w:val="center"/>
                </w:tcPr>
                <w:p>
                  <w:pPr>
                    <w:adjustRightInd w:val="0"/>
                    <w:snapToGrid w:val="0"/>
                    <w:jc w:val="center"/>
                    <w:rPr>
                      <w:rFonts w:hint="eastAsia" w:eastAsia="宋体"/>
                      <w:bCs/>
                      <w:color w:val="auto"/>
                      <w:szCs w:val="21"/>
                      <w:lang w:val="en-US" w:eastAsia="zh-CN"/>
                    </w:rPr>
                  </w:pPr>
                  <w:r>
                    <w:rPr>
                      <w:rFonts w:hint="eastAsia"/>
                      <w:bCs/>
                      <w:color w:val="auto"/>
                      <w:szCs w:val="21"/>
                      <w:lang w:val="en-US" w:eastAsia="zh-CN"/>
                    </w:rPr>
                    <w:t>6</w:t>
                  </w: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restart"/>
                  <w:tcBorders>
                    <w:tl2br w:val="nil"/>
                    <w:tr2bl w:val="nil"/>
                  </w:tcBorders>
                  <w:vAlign w:val="center"/>
                </w:tcPr>
                <w:p>
                  <w:pPr>
                    <w:adjustRightInd w:val="0"/>
                    <w:snapToGrid w:val="0"/>
                    <w:jc w:val="center"/>
                    <w:rPr>
                      <w:color w:val="auto"/>
                      <w:szCs w:val="21"/>
                    </w:rPr>
                  </w:pPr>
                  <w:r>
                    <w:rPr>
                      <w:rFonts w:hint="eastAsia"/>
                      <w:color w:val="auto"/>
                      <w:szCs w:val="21"/>
                    </w:rPr>
                    <w:t>横切机</w:t>
                  </w:r>
                </w:p>
              </w:tc>
              <w:tc>
                <w:tcPr>
                  <w:tcW w:w="684"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1395" w:type="dxa"/>
                  <w:vMerge w:val="restart"/>
                  <w:tcBorders>
                    <w:tl2br w:val="nil"/>
                    <w:tr2bl w:val="nil"/>
                  </w:tcBorders>
                  <w:vAlign w:val="center"/>
                </w:tcPr>
                <w:p>
                  <w:pPr>
                    <w:adjustRightInd w:val="0"/>
                    <w:snapToGrid w:val="0"/>
                    <w:jc w:val="center"/>
                    <w:rPr>
                      <w:color w:val="auto"/>
                      <w:szCs w:val="21"/>
                    </w:rPr>
                  </w:pPr>
                  <w:r>
                    <w:rPr>
                      <w:rFonts w:hint="eastAsia"/>
                      <w:color w:val="auto"/>
                      <w:szCs w:val="21"/>
                    </w:rPr>
                    <w:t>75/5</w:t>
                  </w:r>
                </w:p>
              </w:tc>
              <w:tc>
                <w:tcPr>
                  <w:tcW w:w="845" w:type="dxa"/>
                  <w:vMerge w:val="restart"/>
                  <w:tcBorders>
                    <w:tl2br w:val="nil"/>
                    <w:tr2bl w:val="nil"/>
                  </w:tcBorders>
                  <w:vAlign w:val="center"/>
                </w:tcPr>
                <w:p>
                  <w:pPr>
                    <w:adjustRightInd w:val="0"/>
                    <w:snapToGrid w:val="0"/>
                    <w:jc w:val="center"/>
                    <w:rPr>
                      <w:bCs/>
                      <w:color w:val="auto"/>
                      <w:szCs w:val="21"/>
                    </w:rPr>
                  </w:pPr>
                  <w:r>
                    <w:rPr>
                      <w:color w:val="auto"/>
                      <w:szCs w:val="21"/>
                    </w:rPr>
                    <w:t>建筑隔声</w:t>
                  </w:r>
                  <w:r>
                    <w:rPr>
                      <w:rFonts w:hint="eastAsia"/>
                      <w:color w:val="auto"/>
                      <w:szCs w:val="21"/>
                    </w:rPr>
                    <w:t>、减震垫</w:t>
                  </w:r>
                </w:p>
              </w:tc>
              <w:tc>
                <w:tcPr>
                  <w:tcW w:w="606"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-15</w:t>
                  </w:r>
                </w:p>
              </w:tc>
              <w:tc>
                <w:tcPr>
                  <w:tcW w:w="622"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-37</w:t>
                  </w:r>
                </w:p>
              </w:tc>
              <w:tc>
                <w:tcPr>
                  <w:tcW w:w="579"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1</w:t>
                  </w: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46（东）</w:t>
                  </w:r>
                </w:p>
              </w:tc>
              <w:tc>
                <w:tcPr>
                  <w:tcW w:w="917" w:type="dxa"/>
                  <w:tcBorders>
                    <w:tl2br w:val="nil"/>
                    <w:tr2bl w:val="nil"/>
                  </w:tcBorders>
                  <w:vAlign w:val="bottom"/>
                </w:tcPr>
                <w:p>
                  <w:pPr>
                    <w:widowControl/>
                    <w:adjustRightInd w:val="0"/>
                    <w:snapToGrid w:val="0"/>
                    <w:jc w:val="center"/>
                    <w:textAlignment w:val="bottom"/>
                    <w:rPr>
                      <w:color w:val="auto"/>
                      <w:kern w:val="0"/>
                      <w:szCs w:val="21"/>
                      <w:lang w:bidi="ar"/>
                    </w:rPr>
                  </w:pPr>
                  <w:r>
                    <w:rPr>
                      <w:color w:val="auto"/>
                      <w:kern w:val="0"/>
                      <w:szCs w:val="21"/>
                      <w:lang w:bidi="ar"/>
                    </w:rPr>
                    <w:t>55.72</w:t>
                  </w:r>
                </w:p>
              </w:tc>
              <w:tc>
                <w:tcPr>
                  <w:tcW w:w="899" w:type="dxa"/>
                  <w:vMerge w:val="restart"/>
                  <w:tcBorders>
                    <w:tl2br w:val="nil"/>
                    <w:tr2bl w:val="nil"/>
                  </w:tcBorders>
                  <w:vAlign w:val="center"/>
                </w:tcPr>
                <w:p>
                  <w:pPr>
                    <w:adjustRightInd w:val="0"/>
                    <w:snapToGrid w:val="0"/>
                    <w:jc w:val="center"/>
                    <w:rPr>
                      <w:bCs/>
                      <w:color w:val="auto"/>
                      <w:szCs w:val="21"/>
                    </w:rPr>
                  </w:pPr>
                  <w:r>
                    <w:rPr>
                      <w:rFonts w:hint="eastAsia"/>
                      <w:color w:val="auto"/>
                      <w:szCs w:val="21"/>
                    </w:rPr>
                    <w:t>16h</w:t>
                  </w:r>
                </w:p>
              </w:tc>
              <w:tc>
                <w:tcPr>
                  <w:tcW w:w="847"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21</w:t>
                  </w:r>
                </w:p>
              </w:tc>
              <w:tc>
                <w:tcPr>
                  <w:tcW w:w="997" w:type="dxa"/>
                  <w:tcBorders>
                    <w:tl2br w:val="nil"/>
                    <w:tr2bl w:val="nil"/>
                  </w:tcBorders>
                  <w:vAlign w:val="center"/>
                </w:tcPr>
                <w:p>
                  <w:pPr>
                    <w:widowControl/>
                    <w:adjustRightInd w:val="0"/>
                    <w:snapToGrid w:val="0"/>
                    <w:jc w:val="center"/>
                    <w:textAlignment w:val="bottom"/>
                    <w:rPr>
                      <w:bCs/>
                      <w:color w:val="auto"/>
                      <w:szCs w:val="21"/>
                    </w:rPr>
                  </w:pPr>
                  <w:r>
                    <w:rPr>
                      <w:rFonts w:hint="eastAsia"/>
                      <w:bCs/>
                      <w:color w:val="auto"/>
                      <w:szCs w:val="21"/>
                    </w:rPr>
                    <w:t>34.72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5（南）</w:t>
                  </w:r>
                </w:p>
              </w:tc>
              <w:tc>
                <w:tcPr>
                  <w:tcW w:w="917" w:type="dxa"/>
                  <w:tcBorders>
                    <w:tl2br w:val="nil"/>
                    <w:tr2bl w:val="nil"/>
                  </w:tcBorders>
                  <w:vAlign w:val="bottom"/>
                </w:tcPr>
                <w:p>
                  <w:pPr>
                    <w:widowControl/>
                    <w:adjustRightInd w:val="0"/>
                    <w:snapToGrid w:val="0"/>
                    <w:jc w:val="center"/>
                    <w:textAlignment w:val="bottom"/>
                    <w:rPr>
                      <w:color w:val="auto"/>
                      <w:kern w:val="0"/>
                      <w:szCs w:val="21"/>
                      <w:lang w:bidi="ar"/>
                    </w:rPr>
                  </w:pPr>
                  <w:r>
                    <w:rPr>
                      <w:color w:val="auto"/>
                      <w:kern w:val="0"/>
                      <w:szCs w:val="21"/>
                      <w:lang w:bidi="ar"/>
                    </w:rPr>
                    <w:t>75.00</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center"/>
                </w:tcPr>
                <w:p>
                  <w:pPr>
                    <w:widowControl/>
                    <w:adjustRightInd w:val="0"/>
                    <w:snapToGrid w:val="0"/>
                    <w:jc w:val="center"/>
                    <w:textAlignment w:val="bottom"/>
                    <w:rPr>
                      <w:bCs/>
                      <w:color w:val="auto"/>
                      <w:szCs w:val="21"/>
                    </w:rPr>
                  </w:pPr>
                  <w:r>
                    <w:rPr>
                      <w:rFonts w:hint="eastAsia"/>
                      <w:bCs/>
                      <w:color w:val="auto"/>
                      <w:szCs w:val="21"/>
                    </w:rPr>
                    <w:t>54.00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15（西）</w:t>
                  </w:r>
                </w:p>
              </w:tc>
              <w:tc>
                <w:tcPr>
                  <w:tcW w:w="917" w:type="dxa"/>
                  <w:tcBorders>
                    <w:tl2br w:val="nil"/>
                    <w:tr2bl w:val="nil"/>
                  </w:tcBorders>
                  <w:vAlign w:val="bottom"/>
                </w:tcPr>
                <w:p>
                  <w:pPr>
                    <w:widowControl/>
                    <w:adjustRightInd w:val="0"/>
                    <w:snapToGrid w:val="0"/>
                    <w:jc w:val="center"/>
                    <w:textAlignment w:val="bottom"/>
                    <w:rPr>
                      <w:color w:val="auto"/>
                      <w:kern w:val="0"/>
                      <w:szCs w:val="21"/>
                      <w:lang w:bidi="ar"/>
                    </w:rPr>
                  </w:pPr>
                  <w:r>
                    <w:rPr>
                      <w:color w:val="auto"/>
                      <w:kern w:val="0"/>
                      <w:szCs w:val="21"/>
                      <w:lang w:bidi="ar"/>
                    </w:rPr>
                    <w:t>65.46</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center"/>
                </w:tcPr>
                <w:p>
                  <w:pPr>
                    <w:widowControl/>
                    <w:adjustRightInd w:val="0"/>
                    <w:snapToGrid w:val="0"/>
                    <w:jc w:val="center"/>
                    <w:textAlignment w:val="bottom"/>
                    <w:rPr>
                      <w:bCs/>
                      <w:color w:val="auto"/>
                      <w:szCs w:val="21"/>
                    </w:rPr>
                  </w:pPr>
                  <w:r>
                    <w:rPr>
                      <w:rFonts w:hint="eastAsia"/>
                      <w:bCs/>
                      <w:color w:val="auto"/>
                      <w:szCs w:val="21"/>
                    </w:rPr>
                    <w:t>44.46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79（北）</w:t>
                  </w:r>
                </w:p>
              </w:tc>
              <w:tc>
                <w:tcPr>
                  <w:tcW w:w="917" w:type="dxa"/>
                  <w:tcBorders>
                    <w:tl2br w:val="nil"/>
                    <w:tr2bl w:val="nil"/>
                  </w:tcBorders>
                  <w:vAlign w:val="bottom"/>
                </w:tcPr>
                <w:p>
                  <w:pPr>
                    <w:widowControl/>
                    <w:adjustRightInd w:val="0"/>
                    <w:snapToGrid w:val="0"/>
                    <w:jc w:val="center"/>
                    <w:textAlignment w:val="bottom"/>
                    <w:rPr>
                      <w:color w:val="auto"/>
                      <w:kern w:val="0"/>
                      <w:szCs w:val="21"/>
                      <w:lang w:bidi="ar"/>
                    </w:rPr>
                  </w:pPr>
                  <w:r>
                    <w:rPr>
                      <w:color w:val="auto"/>
                      <w:kern w:val="0"/>
                      <w:szCs w:val="21"/>
                      <w:lang w:bidi="ar"/>
                    </w:rPr>
                    <w:t>51.03</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center"/>
                </w:tcPr>
                <w:p>
                  <w:pPr>
                    <w:widowControl/>
                    <w:adjustRightInd w:val="0"/>
                    <w:snapToGrid w:val="0"/>
                    <w:jc w:val="center"/>
                    <w:textAlignment w:val="bottom"/>
                    <w:rPr>
                      <w:bCs/>
                      <w:color w:val="auto"/>
                      <w:szCs w:val="21"/>
                    </w:rPr>
                  </w:pPr>
                  <w:r>
                    <w:rPr>
                      <w:rFonts w:hint="eastAsia"/>
                      <w:bCs/>
                      <w:color w:val="auto"/>
                      <w:szCs w:val="21"/>
                    </w:rPr>
                    <w:t>30.03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restart"/>
                  <w:tcBorders>
                    <w:tl2br w:val="nil"/>
                    <w:tr2bl w:val="nil"/>
                  </w:tcBorders>
                  <w:vAlign w:val="center"/>
                </w:tcPr>
                <w:p>
                  <w:pPr>
                    <w:adjustRightInd w:val="0"/>
                    <w:snapToGrid w:val="0"/>
                    <w:jc w:val="center"/>
                    <w:rPr>
                      <w:rFonts w:hint="eastAsia" w:eastAsia="宋体"/>
                      <w:bCs/>
                      <w:color w:val="auto"/>
                      <w:szCs w:val="21"/>
                      <w:lang w:val="en-US" w:eastAsia="zh-CN"/>
                    </w:rPr>
                  </w:pPr>
                  <w:r>
                    <w:rPr>
                      <w:rFonts w:hint="eastAsia"/>
                      <w:bCs/>
                      <w:color w:val="auto"/>
                      <w:szCs w:val="21"/>
                      <w:lang w:val="en-US" w:eastAsia="zh-CN"/>
                    </w:rPr>
                    <w:t>7</w:t>
                  </w: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restart"/>
                  <w:tcBorders>
                    <w:tl2br w:val="nil"/>
                    <w:tr2bl w:val="nil"/>
                  </w:tcBorders>
                  <w:vAlign w:val="center"/>
                </w:tcPr>
                <w:p>
                  <w:pPr>
                    <w:adjustRightInd w:val="0"/>
                    <w:snapToGrid w:val="0"/>
                    <w:jc w:val="center"/>
                    <w:rPr>
                      <w:color w:val="auto"/>
                      <w:szCs w:val="21"/>
                    </w:rPr>
                  </w:pPr>
                  <w:r>
                    <w:rPr>
                      <w:rFonts w:hint="eastAsia"/>
                      <w:color w:val="auto"/>
                      <w:szCs w:val="21"/>
                    </w:rPr>
                    <w:t>开花机</w:t>
                  </w:r>
                </w:p>
              </w:tc>
              <w:tc>
                <w:tcPr>
                  <w:tcW w:w="684"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1395" w:type="dxa"/>
                  <w:vMerge w:val="restart"/>
                  <w:tcBorders>
                    <w:tl2br w:val="nil"/>
                    <w:tr2bl w:val="nil"/>
                  </w:tcBorders>
                  <w:vAlign w:val="center"/>
                </w:tcPr>
                <w:p>
                  <w:pPr>
                    <w:adjustRightInd w:val="0"/>
                    <w:snapToGrid w:val="0"/>
                    <w:jc w:val="center"/>
                    <w:rPr>
                      <w:color w:val="auto"/>
                      <w:szCs w:val="21"/>
                    </w:rPr>
                  </w:pPr>
                  <w:r>
                    <w:rPr>
                      <w:rFonts w:hint="eastAsia"/>
                      <w:color w:val="auto"/>
                      <w:szCs w:val="21"/>
                    </w:rPr>
                    <w:t>70/5</w:t>
                  </w:r>
                </w:p>
              </w:tc>
              <w:tc>
                <w:tcPr>
                  <w:tcW w:w="845" w:type="dxa"/>
                  <w:vMerge w:val="restart"/>
                  <w:tcBorders>
                    <w:tl2br w:val="nil"/>
                    <w:tr2bl w:val="nil"/>
                  </w:tcBorders>
                  <w:vAlign w:val="center"/>
                </w:tcPr>
                <w:p>
                  <w:pPr>
                    <w:adjustRightInd w:val="0"/>
                    <w:snapToGrid w:val="0"/>
                    <w:jc w:val="center"/>
                    <w:rPr>
                      <w:bCs/>
                      <w:color w:val="auto"/>
                      <w:szCs w:val="21"/>
                    </w:rPr>
                  </w:pPr>
                  <w:r>
                    <w:rPr>
                      <w:color w:val="auto"/>
                      <w:szCs w:val="21"/>
                    </w:rPr>
                    <w:t>建筑隔声</w:t>
                  </w:r>
                </w:p>
              </w:tc>
              <w:tc>
                <w:tcPr>
                  <w:tcW w:w="606"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-12</w:t>
                  </w:r>
                </w:p>
              </w:tc>
              <w:tc>
                <w:tcPr>
                  <w:tcW w:w="622"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20</w:t>
                  </w:r>
                </w:p>
              </w:tc>
              <w:tc>
                <w:tcPr>
                  <w:tcW w:w="579"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1</w:t>
                  </w: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45（东）</w:t>
                  </w:r>
                </w:p>
              </w:tc>
              <w:tc>
                <w:tcPr>
                  <w:tcW w:w="917" w:type="dxa"/>
                  <w:tcBorders>
                    <w:tl2br w:val="nil"/>
                    <w:tr2bl w:val="nil"/>
                  </w:tcBorders>
                  <w:vAlign w:val="bottom"/>
                </w:tcPr>
                <w:p>
                  <w:pPr>
                    <w:widowControl/>
                    <w:adjustRightInd w:val="0"/>
                    <w:snapToGrid w:val="0"/>
                    <w:jc w:val="center"/>
                    <w:textAlignment w:val="bottom"/>
                    <w:rPr>
                      <w:color w:val="auto"/>
                      <w:kern w:val="0"/>
                      <w:szCs w:val="21"/>
                      <w:lang w:bidi="ar"/>
                    </w:rPr>
                  </w:pPr>
                  <w:r>
                    <w:rPr>
                      <w:color w:val="auto"/>
                      <w:kern w:val="0"/>
                      <w:szCs w:val="21"/>
                      <w:lang w:bidi="ar"/>
                    </w:rPr>
                    <w:t>50.92</w:t>
                  </w:r>
                </w:p>
              </w:tc>
              <w:tc>
                <w:tcPr>
                  <w:tcW w:w="899" w:type="dxa"/>
                  <w:vMerge w:val="restart"/>
                  <w:tcBorders>
                    <w:tl2br w:val="nil"/>
                    <w:tr2bl w:val="nil"/>
                  </w:tcBorders>
                  <w:vAlign w:val="center"/>
                </w:tcPr>
                <w:p>
                  <w:pPr>
                    <w:adjustRightInd w:val="0"/>
                    <w:snapToGrid w:val="0"/>
                    <w:jc w:val="center"/>
                    <w:rPr>
                      <w:bCs/>
                      <w:color w:val="auto"/>
                      <w:szCs w:val="21"/>
                    </w:rPr>
                  </w:pPr>
                  <w:r>
                    <w:rPr>
                      <w:rFonts w:hint="eastAsia"/>
                      <w:color w:val="auto"/>
                      <w:szCs w:val="21"/>
                    </w:rPr>
                    <w:t>16h</w:t>
                  </w:r>
                </w:p>
              </w:tc>
              <w:tc>
                <w:tcPr>
                  <w:tcW w:w="847"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21</w:t>
                  </w:r>
                </w:p>
              </w:tc>
              <w:tc>
                <w:tcPr>
                  <w:tcW w:w="997" w:type="dxa"/>
                  <w:tcBorders>
                    <w:tl2br w:val="nil"/>
                    <w:tr2bl w:val="nil"/>
                  </w:tcBorders>
                  <w:vAlign w:val="center"/>
                </w:tcPr>
                <w:p>
                  <w:pPr>
                    <w:widowControl/>
                    <w:adjustRightInd w:val="0"/>
                    <w:snapToGrid w:val="0"/>
                    <w:jc w:val="center"/>
                    <w:textAlignment w:val="bottom"/>
                    <w:rPr>
                      <w:bCs/>
                      <w:color w:val="auto"/>
                      <w:szCs w:val="21"/>
                    </w:rPr>
                  </w:pPr>
                  <w:r>
                    <w:rPr>
                      <w:rFonts w:hint="eastAsia"/>
                      <w:bCs/>
                      <w:color w:val="auto"/>
                      <w:szCs w:val="21"/>
                    </w:rPr>
                    <w:t>29.92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45（南）</w:t>
                  </w:r>
                </w:p>
              </w:tc>
              <w:tc>
                <w:tcPr>
                  <w:tcW w:w="917" w:type="dxa"/>
                  <w:tcBorders>
                    <w:tl2br w:val="nil"/>
                    <w:tr2bl w:val="nil"/>
                  </w:tcBorders>
                  <w:vAlign w:val="bottom"/>
                </w:tcPr>
                <w:p>
                  <w:pPr>
                    <w:widowControl/>
                    <w:adjustRightInd w:val="0"/>
                    <w:snapToGrid w:val="0"/>
                    <w:jc w:val="center"/>
                    <w:textAlignment w:val="bottom"/>
                    <w:rPr>
                      <w:color w:val="auto"/>
                      <w:kern w:val="0"/>
                      <w:szCs w:val="21"/>
                      <w:lang w:bidi="ar"/>
                    </w:rPr>
                  </w:pPr>
                  <w:r>
                    <w:rPr>
                      <w:color w:val="auto"/>
                      <w:kern w:val="0"/>
                      <w:szCs w:val="21"/>
                      <w:lang w:bidi="ar"/>
                    </w:rPr>
                    <w:t>50.92</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center"/>
                </w:tcPr>
                <w:p>
                  <w:pPr>
                    <w:widowControl/>
                    <w:adjustRightInd w:val="0"/>
                    <w:snapToGrid w:val="0"/>
                    <w:jc w:val="center"/>
                    <w:textAlignment w:val="bottom"/>
                    <w:rPr>
                      <w:bCs/>
                      <w:color w:val="auto"/>
                      <w:szCs w:val="21"/>
                    </w:rPr>
                  </w:pPr>
                  <w:r>
                    <w:rPr>
                      <w:rFonts w:hint="eastAsia"/>
                      <w:bCs/>
                      <w:color w:val="auto"/>
                      <w:szCs w:val="21"/>
                    </w:rPr>
                    <w:t>29.92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10（西）</w:t>
                  </w:r>
                </w:p>
              </w:tc>
              <w:tc>
                <w:tcPr>
                  <w:tcW w:w="917" w:type="dxa"/>
                  <w:tcBorders>
                    <w:tl2br w:val="nil"/>
                    <w:tr2bl w:val="nil"/>
                  </w:tcBorders>
                  <w:vAlign w:val="bottom"/>
                </w:tcPr>
                <w:p>
                  <w:pPr>
                    <w:widowControl/>
                    <w:adjustRightInd w:val="0"/>
                    <w:snapToGrid w:val="0"/>
                    <w:jc w:val="center"/>
                    <w:textAlignment w:val="bottom"/>
                    <w:rPr>
                      <w:color w:val="auto"/>
                      <w:kern w:val="0"/>
                      <w:szCs w:val="21"/>
                      <w:lang w:bidi="ar"/>
                    </w:rPr>
                  </w:pPr>
                  <w:r>
                    <w:rPr>
                      <w:color w:val="auto"/>
                      <w:kern w:val="0"/>
                      <w:szCs w:val="21"/>
                      <w:lang w:bidi="ar"/>
                    </w:rPr>
                    <w:t>63.98</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center"/>
                </w:tcPr>
                <w:p>
                  <w:pPr>
                    <w:widowControl/>
                    <w:adjustRightInd w:val="0"/>
                    <w:snapToGrid w:val="0"/>
                    <w:jc w:val="center"/>
                    <w:textAlignment w:val="bottom"/>
                    <w:rPr>
                      <w:color w:val="auto"/>
                    </w:rPr>
                  </w:pPr>
                  <w:r>
                    <w:rPr>
                      <w:rFonts w:hint="eastAsia"/>
                      <w:color w:val="auto"/>
                    </w:rPr>
                    <w:t>42.98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5（北）</w:t>
                  </w:r>
                </w:p>
              </w:tc>
              <w:tc>
                <w:tcPr>
                  <w:tcW w:w="917" w:type="dxa"/>
                  <w:tcBorders>
                    <w:tl2br w:val="nil"/>
                    <w:tr2bl w:val="nil"/>
                  </w:tcBorders>
                  <w:vAlign w:val="bottom"/>
                </w:tcPr>
                <w:p>
                  <w:pPr>
                    <w:widowControl/>
                    <w:adjustRightInd w:val="0"/>
                    <w:snapToGrid w:val="0"/>
                    <w:jc w:val="center"/>
                    <w:textAlignment w:val="bottom"/>
                    <w:rPr>
                      <w:color w:val="auto"/>
                      <w:kern w:val="0"/>
                      <w:szCs w:val="21"/>
                      <w:lang w:bidi="ar"/>
                    </w:rPr>
                  </w:pPr>
                  <w:r>
                    <w:rPr>
                      <w:color w:val="auto"/>
                      <w:kern w:val="0"/>
                      <w:szCs w:val="21"/>
                      <w:lang w:bidi="ar"/>
                    </w:rPr>
                    <w:t>70.00</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center"/>
                </w:tcPr>
                <w:p>
                  <w:pPr>
                    <w:widowControl/>
                    <w:adjustRightInd w:val="0"/>
                    <w:snapToGrid w:val="0"/>
                    <w:jc w:val="center"/>
                    <w:textAlignment w:val="bottom"/>
                    <w:rPr>
                      <w:bCs/>
                      <w:color w:val="auto"/>
                      <w:szCs w:val="21"/>
                    </w:rPr>
                  </w:pPr>
                  <w:r>
                    <w:rPr>
                      <w:rFonts w:hint="eastAsia"/>
                      <w:bCs/>
                      <w:color w:val="auto"/>
                      <w:szCs w:val="21"/>
                    </w:rPr>
                    <w:t>49.00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restart"/>
                  <w:tcBorders>
                    <w:tl2br w:val="nil"/>
                    <w:tr2bl w:val="nil"/>
                  </w:tcBorders>
                  <w:vAlign w:val="center"/>
                </w:tcPr>
                <w:p>
                  <w:pPr>
                    <w:adjustRightInd w:val="0"/>
                    <w:snapToGrid w:val="0"/>
                    <w:jc w:val="center"/>
                    <w:rPr>
                      <w:rFonts w:hint="eastAsia" w:eastAsia="宋体"/>
                      <w:bCs/>
                      <w:color w:val="auto"/>
                      <w:szCs w:val="21"/>
                      <w:lang w:val="en-US" w:eastAsia="zh-CN"/>
                    </w:rPr>
                  </w:pPr>
                  <w:r>
                    <w:rPr>
                      <w:rFonts w:hint="eastAsia"/>
                      <w:bCs/>
                      <w:color w:val="auto"/>
                      <w:szCs w:val="21"/>
                      <w:lang w:val="en-US" w:eastAsia="zh-CN"/>
                    </w:rPr>
                    <w:t>8</w:t>
                  </w: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restart"/>
                  <w:tcBorders>
                    <w:tl2br w:val="nil"/>
                    <w:tr2bl w:val="nil"/>
                  </w:tcBorders>
                  <w:vAlign w:val="center"/>
                </w:tcPr>
                <w:p>
                  <w:pPr>
                    <w:adjustRightInd w:val="0"/>
                    <w:snapToGrid w:val="0"/>
                    <w:jc w:val="center"/>
                    <w:rPr>
                      <w:color w:val="auto"/>
                      <w:szCs w:val="21"/>
                    </w:rPr>
                  </w:pPr>
                  <w:r>
                    <w:rPr>
                      <w:rFonts w:hint="eastAsia"/>
                      <w:color w:val="auto"/>
                      <w:szCs w:val="21"/>
                    </w:rPr>
                    <w:t>破碎机</w:t>
                  </w:r>
                </w:p>
              </w:tc>
              <w:tc>
                <w:tcPr>
                  <w:tcW w:w="684"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1395" w:type="dxa"/>
                  <w:vMerge w:val="restart"/>
                  <w:tcBorders>
                    <w:tl2br w:val="nil"/>
                    <w:tr2bl w:val="nil"/>
                  </w:tcBorders>
                  <w:vAlign w:val="center"/>
                </w:tcPr>
                <w:p>
                  <w:pPr>
                    <w:adjustRightInd w:val="0"/>
                    <w:snapToGrid w:val="0"/>
                    <w:jc w:val="center"/>
                    <w:rPr>
                      <w:color w:val="auto"/>
                      <w:szCs w:val="21"/>
                    </w:rPr>
                  </w:pPr>
                  <w:r>
                    <w:rPr>
                      <w:rFonts w:hint="eastAsia"/>
                      <w:color w:val="auto"/>
                      <w:szCs w:val="21"/>
                    </w:rPr>
                    <w:t>80/5</w:t>
                  </w:r>
                </w:p>
              </w:tc>
              <w:tc>
                <w:tcPr>
                  <w:tcW w:w="845" w:type="dxa"/>
                  <w:vMerge w:val="restart"/>
                  <w:tcBorders>
                    <w:tl2br w:val="nil"/>
                    <w:tr2bl w:val="nil"/>
                  </w:tcBorders>
                  <w:vAlign w:val="center"/>
                </w:tcPr>
                <w:p>
                  <w:pPr>
                    <w:adjustRightInd w:val="0"/>
                    <w:snapToGrid w:val="0"/>
                    <w:jc w:val="center"/>
                    <w:rPr>
                      <w:bCs/>
                      <w:color w:val="auto"/>
                      <w:szCs w:val="21"/>
                    </w:rPr>
                  </w:pPr>
                  <w:r>
                    <w:rPr>
                      <w:color w:val="auto"/>
                      <w:szCs w:val="21"/>
                    </w:rPr>
                    <w:t>建筑隔声</w:t>
                  </w:r>
                  <w:r>
                    <w:rPr>
                      <w:rFonts w:hint="eastAsia"/>
                      <w:color w:val="auto"/>
                      <w:szCs w:val="21"/>
                    </w:rPr>
                    <w:t>、减震垫</w:t>
                  </w:r>
                </w:p>
              </w:tc>
              <w:tc>
                <w:tcPr>
                  <w:tcW w:w="606"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-2</w:t>
                  </w:r>
                </w:p>
              </w:tc>
              <w:tc>
                <w:tcPr>
                  <w:tcW w:w="622"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20</w:t>
                  </w:r>
                </w:p>
              </w:tc>
              <w:tc>
                <w:tcPr>
                  <w:tcW w:w="579"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1</w:t>
                  </w: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42（东）</w:t>
                  </w:r>
                </w:p>
              </w:tc>
              <w:tc>
                <w:tcPr>
                  <w:tcW w:w="917" w:type="dxa"/>
                  <w:tcBorders>
                    <w:tl2br w:val="nil"/>
                    <w:tr2bl w:val="nil"/>
                  </w:tcBorders>
                  <w:vAlign w:val="bottom"/>
                </w:tcPr>
                <w:p>
                  <w:pPr>
                    <w:widowControl/>
                    <w:adjustRightInd w:val="0"/>
                    <w:snapToGrid w:val="0"/>
                    <w:jc w:val="center"/>
                    <w:textAlignment w:val="bottom"/>
                    <w:rPr>
                      <w:color w:val="auto"/>
                      <w:kern w:val="0"/>
                      <w:szCs w:val="21"/>
                      <w:lang w:bidi="ar"/>
                    </w:rPr>
                  </w:pPr>
                  <w:r>
                    <w:rPr>
                      <w:color w:val="auto"/>
                      <w:kern w:val="0"/>
                      <w:szCs w:val="21"/>
                      <w:lang w:bidi="ar"/>
                    </w:rPr>
                    <w:t>61.51</w:t>
                  </w:r>
                </w:p>
              </w:tc>
              <w:tc>
                <w:tcPr>
                  <w:tcW w:w="899" w:type="dxa"/>
                  <w:vMerge w:val="restart"/>
                  <w:tcBorders>
                    <w:tl2br w:val="nil"/>
                    <w:tr2bl w:val="nil"/>
                  </w:tcBorders>
                  <w:vAlign w:val="center"/>
                </w:tcPr>
                <w:p>
                  <w:pPr>
                    <w:adjustRightInd w:val="0"/>
                    <w:snapToGrid w:val="0"/>
                    <w:jc w:val="center"/>
                    <w:rPr>
                      <w:bCs/>
                      <w:color w:val="auto"/>
                      <w:szCs w:val="21"/>
                    </w:rPr>
                  </w:pPr>
                  <w:r>
                    <w:rPr>
                      <w:rFonts w:hint="eastAsia"/>
                      <w:color w:val="auto"/>
                      <w:szCs w:val="21"/>
                    </w:rPr>
                    <w:t>16h</w:t>
                  </w:r>
                </w:p>
              </w:tc>
              <w:tc>
                <w:tcPr>
                  <w:tcW w:w="847"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21</w:t>
                  </w:r>
                </w:p>
              </w:tc>
              <w:tc>
                <w:tcPr>
                  <w:tcW w:w="997" w:type="dxa"/>
                  <w:tcBorders>
                    <w:tl2br w:val="nil"/>
                    <w:tr2bl w:val="nil"/>
                  </w:tcBorders>
                  <w:vAlign w:val="center"/>
                </w:tcPr>
                <w:p>
                  <w:pPr>
                    <w:widowControl/>
                    <w:adjustRightInd w:val="0"/>
                    <w:snapToGrid w:val="0"/>
                    <w:jc w:val="center"/>
                    <w:textAlignment w:val="bottom"/>
                    <w:rPr>
                      <w:bCs/>
                      <w:color w:val="auto"/>
                      <w:szCs w:val="21"/>
                    </w:rPr>
                  </w:pPr>
                  <w:r>
                    <w:rPr>
                      <w:rFonts w:hint="eastAsia"/>
                      <w:bCs/>
                      <w:color w:val="auto"/>
                      <w:szCs w:val="21"/>
                    </w:rPr>
                    <w:t>40.51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35（南）</w:t>
                  </w:r>
                </w:p>
              </w:tc>
              <w:tc>
                <w:tcPr>
                  <w:tcW w:w="917" w:type="dxa"/>
                  <w:tcBorders>
                    <w:tl2br w:val="nil"/>
                    <w:tr2bl w:val="nil"/>
                  </w:tcBorders>
                  <w:vAlign w:val="bottom"/>
                </w:tcPr>
                <w:p>
                  <w:pPr>
                    <w:widowControl/>
                    <w:adjustRightInd w:val="0"/>
                    <w:snapToGrid w:val="0"/>
                    <w:jc w:val="center"/>
                    <w:textAlignment w:val="bottom"/>
                    <w:rPr>
                      <w:color w:val="auto"/>
                      <w:kern w:val="0"/>
                      <w:szCs w:val="21"/>
                      <w:lang w:bidi="ar"/>
                    </w:rPr>
                  </w:pPr>
                  <w:r>
                    <w:rPr>
                      <w:color w:val="auto"/>
                      <w:kern w:val="0"/>
                      <w:szCs w:val="21"/>
                      <w:lang w:bidi="ar"/>
                    </w:rPr>
                    <w:t>60.92</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center"/>
                </w:tcPr>
                <w:p>
                  <w:pPr>
                    <w:widowControl/>
                    <w:adjustRightInd w:val="0"/>
                    <w:snapToGrid w:val="0"/>
                    <w:jc w:val="center"/>
                    <w:textAlignment w:val="bottom"/>
                    <w:rPr>
                      <w:bCs/>
                      <w:color w:val="auto"/>
                      <w:szCs w:val="21"/>
                    </w:rPr>
                  </w:pPr>
                  <w:r>
                    <w:rPr>
                      <w:rFonts w:hint="eastAsia"/>
                      <w:bCs/>
                      <w:color w:val="auto"/>
                      <w:szCs w:val="21"/>
                    </w:rPr>
                    <w:t>39.92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20（西）</w:t>
                  </w:r>
                </w:p>
              </w:tc>
              <w:tc>
                <w:tcPr>
                  <w:tcW w:w="917" w:type="dxa"/>
                  <w:tcBorders>
                    <w:tl2br w:val="nil"/>
                    <w:tr2bl w:val="nil"/>
                  </w:tcBorders>
                  <w:vAlign w:val="bottom"/>
                </w:tcPr>
                <w:p>
                  <w:pPr>
                    <w:widowControl/>
                    <w:adjustRightInd w:val="0"/>
                    <w:snapToGrid w:val="0"/>
                    <w:jc w:val="center"/>
                    <w:textAlignment w:val="bottom"/>
                    <w:rPr>
                      <w:color w:val="auto"/>
                      <w:kern w:val="0"/>
                      <w:szCs w:val="21"/>
                      <w:lang w:bidi="ar"/>
                    </w:rPr>
                  </w:pPr>
                  <w:r>
                    <w:rPr>
                      <w:color w:val="auto"/>
                      <w:kern w:val="0"/>
                      <w:szCs w:val="21"/>
                      <w:lang w:bidi="ar"/>
                    </w:rPr>
                    <w:t>67.96</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center"/>
                </w:tcPr>
                <w:p>
                  <w:pPr>
                    <w:widowControl/>
                    <w:adjustRightInd w:val="0"/>
                    <w:snapToGrid w:val="0"/>
                    <w:jc w:val="center"/>
                    <w:textAlignment w:val="bottom"/>
                    <w:rPr>
                      <w:bCs/>
                      <w:color w:val="auto"/>
                      <w:szCs w:val="21"/>
                    </w:rPr>
                  </w:pPr>
                  <w:r>
                    <w:rPr>
                      <w:rFonts w:hint="eastAsia"/>
                      <w:bCs/>
                      <w:color w:val="auto"/>
                      <w:szCs w:val="21"/>
                    </w:rPr>
                    <w:t>46.96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15（北）</w:t>
                  </w:r>
                </w:p>
              </w:tc>
              <w:tc>
                <w:tcPr>
                  <w:tcW w:w="917" w:type="dxa"/>
                  <w:tcBorders>
                    <w:tl2br w:val="nil"/>
                    <w:tr2bl w:val="nil"/>
                  </w:tcBorders>
                  <w:vAlign w:val="bottom"/>
                </w:tcPr>
                <w:p>
                  <w:pPr>
                    <w:widowControl/>
                    <w:adjustRightInd w:val="0"/>
                    <w:snapToGrid w:val="0"/>
                    <w:jc w:val="center"/>
                    <w:textAlignment w:val="bottom"/>
                    <w:rPr>
                      <w:color w:val="auto"/>
                      <w:kern w:val="0"/>
                      <w:szCs w:val="21"/>
                      <w:lang w:bidi="ar"/>
                    </w:rPr>
                  </w:pPr>
                  <w:r>
                    <w:rPr>
                      <w:color w:val="auto"/>
                      <w:kern w:val="0"/>
                      <w:szCs w:val="21"/>
                      <w:lang w:bidi="ar"/>
                    </w:rPr>
                    <w:t>80.00</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center"/>
                </w:tcPr>
                <w:p>
                  <w:pPr>
                    <w:widowControl/>
                    <w:adjustRightInd w:val="0"/>
                    <w:snapToGrid w:val="0"/>
                    <w:jc w:val="center"/>
                    <w:textAlignment w:val="bottom"/>
                    <w:rPr>
                      <w:bCs/>
                      <w:color w:val="auto"/>
                      <w:szCs w:val="21"/>
                    </w:rPr>
                  </w:pPr>
                  <w:r>
                    <w:rPr>
                      <w:rFonts w:hint="eastAsia"/>
                      <w:bCs/>
                      <w:color w:val="auto"/>
                      <w:szCs w:val="21"/>
                    </w:rPr>
                    <w:t>50.78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restart"/>
                  <w:tcBorders>
                    <w:tl2br w:val="nil"/>
                    <w:tr2bl w:val="nil"/>
                  </w:tcBorders>
                  <w:vAlign w:val="center"/>
                </w:tcPr>
                <w:p>
                  <w:pPr>
                    <w:adjustRightInd w:val="0"/>
                    <w:snapToGrid w:val="0"/>
                    <w:jc w:val="center"/>
                    <w:rPr>
                      <w:rFonts w:hint="eastAsia" w:eastAsia="宋体"/>
                      <w:bCs/>
                      <w:color w:val="auto"/>
                      <w:szCs w:val="21"/>
                      <w:lang w:val="en-US" w:eastAsia="zh-CN"/>
                    </w:rPr>
                  </w:pPr>
                  <w:r>
                    <w:rPr>
                      <w:rFonts w:hint="eastAsia"/>
                      <w:bCs/>
                      <w:color w:val="auto"/>
                      <w:szCs w:val="21"/>
                      <w:lang w:val="en-US" w:eastAsia="zh-CN"/>
                    </w:rPr>
                    <w:t>9</w:t>
                  </w: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restart"/>
                  <w:tcBorders>
                    <w:tl2br w:val="nil"/>
                    <w:tr2bl w:val="nil"/>
                  </w:tcBorders>
                  <w:vAlign w:val="center"/>
                </w:tcPr>
                <w:p>
                  <w:pPr>
                    <w:adjustRightInd w:val="0"/>
                    <w:snapToGrid w:val="0"/>
                    <w:jc w:val="center"/>
                    <w:rPr>
                      <w:color w:val="auto"/>
                      <w:szCs w:val="21"/>
                    </w:rPr>
                  </w:pPr>
                  <w:r>
                    <w:rPr>
                      <w:rFonts w:hint="eastAsia"/>
                      <w:color w:val="auto"/>
                      <w:szCs w:val="21"/>
                    </w:rPr>
                    <w:t>打包机</w:t>
                  </w:r>
                </w:p>
              </w:tc>
              <w:tc>
                <w:tcPr>
                  <w:tcW w:w="684"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1395" w:type="dxa"/>
                  <w:vMerge w:val="restart"/>
                  <w:tcBorders>
                    <w:tl2br w:val="nil"/>
                    <w:tr2bl w:val="nil"/>
                  </w:tcBorders>
                  <w:vAlign w:val="center"/>
                </w:tcPr>
                <w:p>
                  <w:pPr>
                    <w:adjustRightInd w:val="0"/>
                    <w:snapToGrid w:val="0"/>
                    <w:jc w:val="center"/>
                    <w:rPr>
                      <w:color w:val="auto"/>
                      <w:szCs w:val="21"/>
                    </w:rPr>
                  </w:pPr>
                  <w:r>
                    <w:rPr>
                      <w:rFonts w:hint="eastAsia"/>
                      <w:color w:val="auto"/>
                      <w:szCs w:val="21"/>
                    </w:rPr>
                    <w:t>65/5</w:t>
                  </w:r>
                </w:p>
              </w:tc>
              <w:tc>
                <w:tcPr>
                  <w:tcW w:w="845" w:type="dxa"/>
                  <w:vMerge w:val="restart"/>
                  <w:tcBorders>
                    <w:tl2br w:val="nil"/>
                    <w:tr2bl w:val="nil"/>
                  </w:tcBorders>
                  <w:vAlign w:val="center"/>
                </w:tcPr>
                <w:p>
                  <w:pPr>
                    <w:adjustRightInd w:val="0"/>
                    <w:snapToGrid w:val="0"/>
                    <w:jc w:val="center"/>
                    <w:rPr>
                      <w:bCs/>
                      <w:color w:val="auto"/>
                      <w:szCs w:val="21"/>
                    </w:rPr>
                  </w:pPr>
                  <w:r>
                    <w:rPr>
                      <w:color w:val="auto"/>
                      <w:szCs w:val="21"/>
                    </w:rPr>
                    <w:t>建筑隔声</w:t>
                  </w:r>
                </w:p>
              </w:tc>
              <w:tc>
                <w:tcPr>
                  <w:tcW w:w="606"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-12</w:t>
                  </w:r>
                </w:p>
              </w:tc>
              <w:tc>
                <w:tcPr>
                  <w:tcW w:w="622"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20</w:t>
                  </w:r>
                </w:p>
              </w:tc>
              <w:tc>
                <w:tcPr>
                  <w:tcW w:w="579"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1</w:t>
                  </w: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45（东）</w:t>
                  </w:r>
                </w:p>
              </w:tc>
              <w:tc>
                <w:tcPr>
                  <w:tcW w:w="917" w:type="dxa"/>
                  <w:tcBorders>
                    <w:tl2br w:val="nil"/>
                    <w:tr2bl w:val="nil"/>
                  </w:tcBorders>
                  <w:vAlign w:val="bottom"/>
                </w:tcPr>
                <w:p>
                  <w:pPr>
                    <w:widowControl/>
                    <w:adjustRightInd w:val="0"/>
                    <w:snapToGrid w:val="0"/>
                    <w:jc w:val="center"/>
                    <w:textAlignment w:val="bottom"/>
                    <w:rPr>
                      <w:color w:val="auto"/>
                      <w:kern w:val="0"/>
                      <w:szCs w:val="21"/>
                      <w:lang w:bidi="ar"/>
                    </w:rPr>
                  </w:pPr>
                  <w:r>
                    <w:rPr>
                      <w:color w:val="auto"/>
                      <w:kern w:val="0"/>
                      <w:szCs w:val="21"/>
                      <w:lang w:bidi="ar"/>
                    </w:rPr>
                    <w:t>45.92</w:t>
                  </w:r>
                </w:p>
              </w:tc>
              <w:tc>
                <w:tcPr>
                  <w:tcW w:w="899" w:type="dxa"/>
                  <w:vMerge w:val="restart"/>
                  <w:tcBorders>
                    <w:tl2br w:val="nil"/>
                    <w:tr2bl w:val="nil"/>
                  </w:tcBorders>
                  <w:vAlign w:val="center"/>
                </w:tcPr>
                <w:p>
                  <w:pPr>
                    <w:adjustRightInd w:val="0"/>
                    <w:snapToGrid w:val="0"/>
                    <w:jc w:val="center"/>
                    <w:rPr>
                      <w:bCs/>
                      <w:color w:val="auto"/>
                      <w:szCs w:val="21"/>
                    </w:rPr>
                  </w:pPr>
                  <w:r>
                    <w:rPr>
                      <w:rFonts w:hint="eastAsia"/>
                      <w:color w:val="auto"/>
                      <w:szCs w:val="21"/>
                    </w:rPr>
                    <w:t>16h</w:t>
                  </w:r>
                </w:p>
              </w:tc>
              <w:tc>
                <w:tcPr>
                  <w:tcW w:w="847"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21</w:t>
                  </w:r>
                </w:p>
              </w:tc>
              <w:tc>
                <w:tcPr>
                  <w:tcW w:w="997" w:type="dxa"/>
                  <w:tcBorders>
                    <w:tl2br w:val="nil"/>
                    <w:tr2bl w:val="nil"/>
                  </w:tcBorders>
                  <w:vAlign w:val="center"/>
                </w:tcPr>
                <w:p>
                  <w:pPr>
                    <w:widowControl/>
                    <w:adjustRightInd w:val="0"/>
                    <w:snapToGrid w:val="0"/>
                    <w:jc w:val="center"/>
                    <w:textAlignment w:val="bottom"/>
                    <w:rPr>
                      <w:bCs/>
                      <w:color w:val="auto"/>
                      <w:szCs w:val="21"/>
                    </w:rPr>
                  </w:pPr>
                  <w:r>
                    <w:rPr>
                      <w:rFonts w:hint="eastAsia"/>
                      <w:bCs/>
                      <w:color w:val="auto"/>
                      <w:szCs w:val="21"/>
                    </w:rPr>
                    <w:t>24.92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45（南）</w:t>
                  </w:r>
                </w:p>
              </w:tc>
              <w:tc>
                <w:tcPr>
                  <w:tcW w:w="917" w:type="dxa"/>
                  <w:tcBorders>
                    <w:tl2br w:val="nil"/>
                    <w:tr2bl w:val="nil"/>
                  </w:tcBorders>
                  <w:vAlign w:val="bottom"/>
                </w:tcPr>
                <w:p>
                  <w:pPr>
                    <w:widowControl/>
                    <w:adjustRightInd w:val="0"/>
                    <w:snapToGrid w:val="0"/>
                    <w:jc w:val="center"/>
                    <w:textAlignment w:val="bottom"/>
                    <w:rPr>
                      <w:color w:val="auto"/>
                      <w:kern w:val="0"/>
                      <w:szCs w:val="21"/>
                      <w:lang w:bidi="ar"/>
                    </w:rPr>
                  </w:pPr>
                  <w:r>
                    <w:rPr>
                      <w:color w:val="auto"/>
                      <w:kern w:val="0"/>
                      <w:szCs w:val="21"/>
                      <w:lang w:bidi="ar"/>
                    </w:rPr>
                    <w:t>45.92</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center"/>
                </w:tcPr>
                <w:p>
                  <w:pPr>
                    <w:widowControl/>
                    <w:adjustRightInd w:val="0"/>
                    <w:snapToGrid w:val="0"/>
                    <w:jc w:val="center"/>
                    <w:textAlignment w:val="bottom"/>
                    <w:rPr>
                      <w:bCs/>
                      <w:color w:val="auto"/>
                      <w:szCs w:val="21"/>
                    </w:rPr>
                  </w:pPr>
                  <w:r>
                    <w:rPr>
                      <w:rFonts w:hint="eastAsia"/>
                      <w:bCs/>
                      <w:color w:val="auto"/>
                      <w:szCs w:val="21"/>
                    </w:rPr>
                    <w:t>24.92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10（西）</w:t>
                  </w:r>
                </w:p>
              </w:tc>
              <w:tc>
                <w:tcPr>
                  <w:tcW w:w="917" w:type="dxa"/>
                  <w:tcBorders>
                    <w:tl2br w:val="nil"/>
                    <w:tr2bl w:val="nil"/>
                  </w:tcBorders>
                  <w:vAlign w:val="bottom"/>
                </w:tcPr>
                <w:p>
                  <w:pPr>
                    <w:widowControl/>
                    <w:adjustRightInd w:val="0"/>
                    <w:snapToGrid w:val="0"/>
                    <w:jc w:val="center"/>
                    <w:textAlignment w:val="bottom"/>
                    <w:rPr>
                      <w:color w:val="auto"/>
                      <w:kern w:val="0"/>
                      <w:szCs w:val="21"/>
                      <w:lang w:bidi="ar"/>
                    </w:rPr>
                  </w:pPr>
                  <w:r>
                    <w:rPr>
                      <w:color w:val="auto"/>
                      <w:kern w:val="0"/>
                      <w:szCs w:val="21"/>
                      <w:lang w:bidi="ar"/>
                    </w:rPr>
                    <w:t>58.98</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center"/>
                </w:tcPr>
                <w:p>
                  <w:pPr>
                    <w:widowControl/>
                    <w:adjustRightInd w:val="0"/>
                    <w:snapToGrid w:val="0"/>
                    <w:jc w:val="center"/>
                    <w:textAlignment w:val="bottom"/>
                    <w:rPr>
                      <w:bCs/>
                      <w:color w:val="auto"/>
                      <w:szCs w:val="21"/>
                    </w:rPr>
                  </w:pPr>
                  <w:r>
                    <w:rPr>
                      <w:rFonts w:hint="eastAsia"/>
                      <w:bCs/>
                      <w:color w:val="auto"/>
                      <w:szCs w:val="21"/>
                    </w:rPr>
                    <w:t>37.98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5（北）</w:t>
                  </w:r>
                </w:p>
              </w:tc>
              <w:tc>
                <w:tcPr>
                  <w:tcW w:w="917" w:type="dxa"/>
                  <w:tcBorders>
                    <w:tl2br w:val="nil"/>
                    <w:tr2bl w:val="nil"/>
                  </w:tcBorders>
                  <w:vAlign w:val="bottom"/>
                </w:tcPr>
                <w:p>
                  <w:pPr>
                    <w:widowControl/>
                    <w:adjustRightInd w:val="0"/>
                    <w:snapToGrid w:val="0"/>
                    <w:jc w:val="center"/>
                    <w:textAlignment w:val="bottom"/>
                    <w:rPr>
                      <w:color w:val="auto"/>
                      <w:kern w:val="0"/>
                      <w:szCs w:val="21"/>
                      <w:lang w:bidi="ar"/>
                    </w:rPr>
                  </w:pPr>
                  <w:r>
                    <w:rPr>
                      <w:color w:val="auto"/>
                      <w:kern w:val="0"/>
                      <w:szCs w:val="21"/>
                      <w:lang w:bidi="ar"/>
                    </w:rPr>
                    <w:t>65.00</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center"/>
                </w:tcPr>
                <w:p>
                  <w:pPr>
                    <w:widowControl/>
                    <w:adjustRightInd w:val="0"/>
                    <w:snapToGrid w:val="0"/>
                    <w:jc w:val="center"/>
                    <w:textAlignment w:val="bottom"/>
                    <w:rPr>
                      <w:bCs/>
                      <w:color w:val="auto"/>
                      <w:szCs w:val="21"/>
                    </w:rPr>
                  </w:pPr>
                  <w:r>
                    <w:rPr>
                      <w:rFonts w:hint="eastAsia"/>
                      <w:bCs/>
                      <w:color w:val="auto"/>
                      <w:szCs w:val="21"/>
                    </w:rPr>
                    <w:t>44.00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restart"/>
                  <w:tcBorders>
                    <w:tl2br w:val="nil"/>
                    <w:tr2bl w:val="nil"/>
                  </w:tcBorders>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10</w:t>
                  </w: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restart"/>
                  <w:tcBorders>
                    <w:tl2br w:val="nil"/>
                    <w:tr2bl w:val="nil"/>
                  </w:tcBorders>
                  <w:vAlign w:val="center"/>
                </w:tcPr>
                <w:p>
                  <w:pPr>
                    <w:adjustRightInd w:val="0"/>
                    <w:snapToGrid w:val="0"/>
                    <w:jc w:val="center"/>
                    <w:rPr>
                      <w:color w:val="auto"/>
                      <w:szCs w:val="21"/>
                    </w:rPr>
                  </w:pPr>
                  <w:r>
                    <w:rPr>
                      <w:rFonts w:hint="eastAsia"/>
                      <w:color w:val="auto"/>
                      <w:spacing w:val="8"/>
                      <w:szCs w:val="21"/>
                      <w:shd w:val="clear" w:color="auto" w:fill="FFFFFF"/>
                    </w:rPr>
                    <w:t>撒粉、复合、收卷一体机</w:t>
                  </w:r>
                </w:p>
              </w:tc>
              <w:tc>
                <w:tcPr>
                  <w:tcW w:w="684"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1395" w:type="dxa"/>
                  <w:vMerge w:val="restart"/>
                  <w:tcBorders>
                    <w:tl2br w:val="nil"/>
                    <w:tr2bl w:val="nil"/>
                  </w:tcBorders>
                  <w:vAlign w:val="center"/>
                </w:tcPr>
                <w:p>
                  <w:pPr>
                    <w:adjustRightInd w:val="0"/>
                    <w:snapToGrid w:val="0"/>
                    <w:jc w:val="center"/>
                    <w:rPr>
                      <w:color w:val="auto"/>
                      <w:szCs w:val="21"/>
                    </w:rPr>
                  </w:pPr>
                  <w:r>
                    <w:rPr>
                      <w:rFonts w:hint="eastAsia"/>
                      <w:color w:val="auto"/>
                      <w:szCs w:val="21"/>
                    </w:rPr>
                    <w:t>70/5</w:t>
                  </w:r>
                </w:p>
              </w:tc>
              <w:tc>
                <w:tcPr>
                  <w:tcW w:w="845" w:type="dxa"/>
                  <w:vMerge w:val="restart"/>
                  <w:tcBorders>
                    <w:tl2br w:val="nil"/>
                    <w:tr2bl w:val="nil"/>
                  </w:tcBorders>
                  <w:vAlign w:val="center"/>
                </w:tcPr>
                <w:p>
                  <w:pPr>
                    <w:adjustRightInd w:val="0"/>
                    <w:snapToGrid w:val="0"/>
                    <w:jc w:val="center"/>
                    <w:rPr>
                      <w:bCs/>
                      <w:color w:val="auto"/>
                      <w:szCs w:val="21"/>
                    </w:rPr>
                  </w:pPr>
                  <w:r>
                    <w:rPr>
                      <w:color w:val="auto"/>
                      <w:szCs w:val="21"/>
                    </w:rPr>
                    <w:t>建筑隔声</w:t>
                  </w:r>
                </w:p>
              </w:tc>
              <w:tc>
                <w:tcPr>
                  <w:tcW w:w="606"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-26</w:t>
                  </w:r>
                </w:p>
              </w:tc>
              <w:tc>
                <w:tcPr>
                  <w:tcW w:w="622"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-37</w:t>
                  </w:r>
                </w:p>
              </w:tc>
              <w:tc>
                <w:tcPr>
                  <w:tcW w:w="579"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1</w:t>
                  </w: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57（东）</w:t>
                  </w:r>
                </w:p>
              </w:tc>
              <w:tc>
                <w:tcPr>
                  <w:tcW w:w="917" w:type="dxa"/>
                  <w:tcBorders>
                    <w:tl2br w:val="nil"/>
                    <w:tr2bl w:val="nil"/>
                  </w:tcBorders>
                  <w:vAlign w:val="bottom"/>
                </w:tcPr>
                <w:p>
                  <w:pPr>
                    <w:widowControl/>
                    <w:adjustRightInd w:val="0"/>
                    <w:snapToGrid w:val="0"/>
                    <w:jc w:val="center"/>
                    <w:textAlignment w:val="bottom"/>
                    <w:rPr>
                      <w:color w:val="auto"/>
                      <w:kern w:val="0"/>
                      <w:szCs w:val="21"/>
                      <w:lang w:bidi="ar"/>
                    </w:rPr>
                  </w:pPr>
                  <w:r>
                    <w:rPr>
                      <w:color w:val="auto"/>
                      <w:kern w:val="0"/>
                      <w:szCs w:val="21"/>
                      <w:lang w:bidi="ar"/>
                    </w:rPr>
                    <w:t>48.86</w:t>
                  </w:r>
                </w:p>
              </w:tc>
              <w:tc>
                <w:tcPr>
                  <w:tcW w:w="899" w:type="dxa"/>
                  <w:vMerge w:val="restart"/>
                  <w:tcBorders>
                    <w:tl2br w:val="nil"/>
                    <w:tr2bl w:val="nil"/>
                  </w:tcBorders>
                  <w:vAlign w:val="center"/>
                </w:tcPr>
                <w:p>
                  <w:pPr>
                    <w:adjustRightInd w:val="0"/>
                    <w:snapToGrid w:val="0"/>
                    <w:jc w:val="center"/>
                    <w:rPr>
                      <w:bCs/>
                      <w:color w:val="auto"/>
                      <w:szCs w:val="21"/>
                    </w:rPr>
                  </w:pPr>
                  <w:r>
                    <w:rPr>
                      <w:rFonts w:hint="eastAsia"/>
                      <w:color w:val="auto"/>
                      <w:szCs w:val="21"/>
                    </w:rPr>
                    <w:t>16h</w:t>
                  </w:r>
                </w:p>
              </w:tc>
              <w:tc>
                <w:tcPr>
                  <w:tcW w:w="847"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21</w:t>
                  </w:r>
                </w:p>
              </w:tc>
              <w:tc>
                <w:tcPr>
                  <w:tcW w:w="997" w:type="dxa"/>
                  <w:tcBorders>
                    <w:tl2br w:val="nil"/>
                    <w:tr2bl w:val="nil"/>
                  </w:tcBorders>
                  <w:vAlign w:val="center"/>
                </w:tcPr>
                <w:p>
                  <w:pPr>
                    <w:widowControl/>
                    <w:adjustRightInd w:val="0"/>
                    <w:snapToGrid w:val="0"/>
                    <w:jc w:val="center"/>
                    <w:textAlignment w:val="bottom"/>
                    <w:rPr>
                      <w:bCs/>
                      <w:color w:val="auto"/>
                      <w:szCs w:val="21"/>
                    </w:rPr>
                  </w:pPr>
                  <w:r>
                    <w:rPr>
                      <w:rFonts w:hint="eastAsia"/>
                      <w:bCs/>
                      <w:color w:val="auto"/>
                      <w:szCs w:val="21"/>
                    </w:rPr>
                    <w:t>27.86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5（南）</w:t>
                  </w:r>
                </w:p>
              </w:tc>
              <w:tc>
                <w:tcPr>
                  <w:tcW w:w="917" w:type="dxa"/>
                  <w:tcBorders>
                    <w:tl2br w:val="nil"/>
                    <w:tr2bl w:val="nil"/>
                  </w:tcBorders>
                  <w:vAlign w:val="bottom"/>
                </w:tcPr>
                <w:p>
                  <w:pPr>
                    <w:widowControl/>
                    <w:adjustRightInd w:val="0"/>
                    <w:snapToGrid w:val="0"/>
                    <w:jc w:val="center"/>
                    <w:textAlignment w:val="bottom"/>
                    <w:rPr>
                      <w:color w:val="auto"/>
                      <w:kern w:val="0"/>
                      <w:szCs w:val="21"/>
                      <w:lang w:bidi="ar"/>
                    </w:rPr>
                  </w:pPr>
                  <w:r>
                    <w:rPr>
                      <w:color w:val="auto"/>
                      <w:kern w:val="0"/>
                      <w:szCs w:val="21"/>
                      <w:lang w:bidi="ar"/>
                    </w:rPr>
                    <w:t>70.00</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center"/>
                </w:tcPr>
                <w:p>
                  <w:pPr>
                    <w:widowControl/>
                    <w:adjustRightInd w:val="0"/>
                    <w:snapToGrid w:val="0"/>
                    <w:jc w:val="center"/>
                    <w:textAlignment w:val="bottom"/>
                    <w:rPr>
                      <w:bCs/>
                      <w:color w:val="auto"/>
                      <w:szCs w:val="21"/>
                    </w:rPr>
                  </w:pPr>
                  <w:r>
                    <w:rPr>
                      <w:rFonts w:hint="eastAsia"/>
                      <w:bCs/>
                      <w:color w:val="auto"/>
                      <w:szCs w:val="21"/>
                    </w:rPr>
                    <w:t>49.00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5（西）</w:t>
                  </w:r>
                </w:p>
              </w:tc>
              <w:tc>
                <w:tcPr>
                  <w:tcW w:w="917" w:type="dxa"/>
                  <w:tcBorders>
                    <w:tl2br w:val="nil"/>
                    <w:tr2bl w:val="nil"/>
                  </w:tcBorders>
                  <w:vAlign w:val="bottom"/>
                </w:tcPr>
                <w:p>
                  <w:pPr>
                    <w:widowControl/>
                    <w:adjustRightInd w:val="0"/>
                    <w:snapToGrid w:val="0"/>
                    <w:jc w:val="center"/>
                    <w:textAlignment w:val="bottom"/>
                    <w:rPr>
                      <w:color w:val="auto"/>
                      <w:kern w:val="0"/>
                      <w:szCs w:val="21"/>
                      <w:lang w:bidi="ar"/>
                    </w:rPr>
                  </w:pPr>
                  <w:r>
                    <w:rPr>
                      <w:color w:val="auto"/>
                      <w:kern w:val="0"/>
                      <w:szCs w:val="21"/>
                      <w:lang w:bidi="ar"/>
                    </w:rPr>
                    <w:t>70.00</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center"/>
                </w:tcPr>
                <w:p>
                  <w:pPr>
                    <w:widowControl/>
                    <w:adjustRightInd w:val="0"/>
                    <w:snapToGrid w:val="0"/>
                    <w:jc w:val="center"/>
                    <w:textAlignment w:val="bottom"/>
                    <w:rPr>
                      <w:bCs/>
                      <w:color w:val="auto"/>
                      <w:szCs w:val="21"/>
                    </w:rPr>
                  </w:pPr>
                  <w:r>
                    <w:rPr>
                      <w:rFonts w:hint="eastAsia"/>
                      <w:bCs/>
                      <w:color w:val="auto"/>
                      <w:szCs w:val="21"/>
                    </w:rPr>
                    <w:t>49.00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79（北）</w:t>
                  </w:r>
                </w:p>
              </w:tc>
              <w:tc>
                <w:tcPr>
                  <w:tcW w:w="917" w:type="dxa"/>
                  <w:tcBorders>
                    <w:tl2br w:val="nil"/>
                    <w:tr2bl w:val="nil"/>
                  </w:tcBorders>
                  <w:vAlign w:val="bottom"/>
                </w:tcPr>
                <w:p>
                  <w:pPr>
                    <w:widowControl/>
                    <w:adjustRightInd w:val="0"/>
                    <w:snapToGrid w:val="0"/>
                    <w:jc w:val="center"/>
                    <w:textAlignment w:val="bottom"/>
                    <w:rPr>
                      <w:color w:val="auto"/>
                      <w:kern w:val="0"/>
                      <w:szCs w:val="21"/>
                      <w:lang w:bidi="ar"/>
                    </w:rPr>
                  </w:pPr>
                  <w:r>
                    <w:rPr>
                      <w:color w:val="auto"/>
                      <w:kern w:val="0"/>
                      <w:szCs w:val="21"/>
                      <w:lang w:bidi="ar"/>
                    </w:rPr>
                    <w:t>46.03</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center"/>
                </w:tcPr>
                <w:p>
                  <w:pPr>
                    <w:widowControl/>
                    <w:adjustRightInd w:val="0"/>
                    <w:snapToGrid w:val="0"/>
                    <w:jc w:val="center"/>
                    <w:textAlignment w:val="bottom"/>
                    <w:rPr>
                      <w:bCs/>
                      <w:color w:val="auto"/>
                      <w:szCs w:val="21"/>
                    </w:rPr>
                  </w:pPr>
                  <w:r>
                    <w:rPr>
                      <w:rFonts w:hint="eastAsia"/>
                      <w:bCs/>
                      <w:color w:val="auto"/>
                      <w:szCs w:val="21"/>
                    </w:rPr>
                    <w:t>25.03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restart"/>
                  <w:tcBorders>
                    <w:tl2br w:val="nil"/>
                    <w:tr2bl w:val="nil"/>
                  </w:tcBorders>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11</w:t>
                  </w: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restart"/>
                  <w:tcBorders>
                    <w:tl2br w:val="nil"/>
                    <w:tr2bl w:val="nil"/>
                  </w:tcBorders>
                  <w:vAlign w:val="center"/>
                </w:tcPr>
                <w:p>
                  <w:pPr>
                    <w:adjustRightInd w:val="0"/>
                    <w:snapToGrid w:val="0"/>
                    <w:jc w:val="center"/>
                    <w:rPr>
                      <w:color w:val="auto"/>
                      <w:szCs w:val="21"/>
                    </w:rPr>
                  </w:pPr>
                  <w:r>
                    <w:rPr>
                      <w:rFonts w:hint="eastAsia"/>
                      <w:color w:val="auto"/>
                      <w:szCs w:val="21"/>
                    </w:rPr>
                    <w:t>空压机</w:t>
                  </w:r>
                </w:p>
              </w:tc>
              <w:tc>
                <w:tcPr>
                  <w:tcW w:w="684"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1395" w:type="dxa"/>
                  <w:vMerge w:val="restart"/>
                  <w:tcBorders>
                    <w:tl2br w:val="nil"/>
                    <w:tr2bl w:val="nil"/>
                  </w:tcBorders>
                  <w:vAlign w:val="center"/>
                </w:tcPr>
                <w:p>
                  <w:pPr>
                    <w:adjustRightInd w:val="0"/>
                    <w:snapToGrid w:val="0"/>
                    <w:jc w:val="center"/>
                    <w:rPr>
                      <w:color w:val="auto"/>
                      <w:szCs w:val="21"/>
                    </w:rPr>
                  </w:pPr>
                  <w:r>
                    <w:rPr>
                      <w:rFonts w:hint="eastAsia"/>
                      <w:color w:val="auto"/>
                      <w:szCs w:val="21"/>
                    </w:rPr>
                    <w:t>75/5</w:t>
                  </w:r>
                </w:p>
              </w:tc>
              <w:tc>
                <w:tcPr>
                  <w:tcW w:w="845" w:type="dxa"/>
                  <w:vMerge w:val="restart"/>
                  <w:tcBorders>
                    <w:tl2br w:val="nil"/>
                    <w:tr2bl w:val="nil"/>
                  </w:tcBorders>
                  <w:vAlign w:val="center"/>
                </w:tcPr>
                <w:p>
                  <w:pPr>
                    <w:adjustRightInd w:val="0"/>
                    <w:snapToGrid w:val="0"/>
                    <w:jc w:val="center"/>
                    <w:rPr>
                      <w:bCs/>
                      <w:color w:val="auto"/>
                      <w:szCs w:val="21"/>
                    </w:rPr>
                  </w:pPr>
                  <w:r>
                    <w:rPr>
                      <w:color w:val="auto"/>
                      <w:szCs w:val="21"/>
                    </w:rPr>
                    <w:t>建筑隔声</w:t>
                  </w:r>
                </w:p>
              </w:tc>
              <w:tc>
                <w:tcPr>
                  <w:tcW w:w="606"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17</w:t>
                  </w:r>
                </w:p>
              </w:tc>
              <w:tc>
                <w:tcPr>
                  <w:tcW w:w="622"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-6</w:t>
                  </w:r>
                </w:p>
              </w:tc>
              <w:tc>
                <w:tcPr>
                  <w:tcW w:w="579"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1</w:t>
                  </w: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25（东）</w:t>
                  </w:r>
                </w:p>
              </w:tc>
              <w:tc>
                <w:tcPr>
                  <w:tcW w:w="917" w:type="dxa"/>
                  <w:tcBorders>
                    <w:tl2br w:val="nil"/>
                    <w:tr2bl w:val="nil"/>
                  </w:tcBorders>
                  <w:vAlign w:val="bottom"/>
                </w:tcPr>
                <w:p>
                  <w:pPr>
                    <w:widowControl/>
                    <w:adjustRightInd w:val="0"/>
                    <w:snapToGrid w:val="0"/>
                    <w:jc w:val="center"/>
                    <w:textAlignment w:val="bottom"/>
                    <w:rPr>
                      <w:color w:val="auto"/>
                      <w:kern w:val="0"/>
                      <w:szCs w:val="21"/>
                      <w:lang w:bidi="ar"/>
                    </w:rPr>
                  </w:pPr>
                  <w:r>
                    <w:rPr>
                      <w:color w:val="auto"/>
                      <w:kern w:val="0"/>
                      <w:szCs w:val="21"/>
                      <w:lang w:bidi="ar"/>
                    </w:rPr>
                    <w:t>61.02</w:t>
                  </w:r>
                </w:p>
              </w:tc>
              <w:tc>
                <w:tcPr>
                  <w:tcW w:w="899" w:type="dxa"/>
                  <w:vMerge w:val="restart"/>
                  <w:tcBorders>
                    <w:tl2br w:val="nil"/>
                    <w:tr2bl w:val="nil"/>
                  </w:tcBorders>
                  <w:vAlign w:val="center"/>
                </w:tcPr>
                <w:p>
                  <w:pPr>
                    <w:adjustRightInd w:val="0"/>
                    <w:snapToGrid w:val="0"/>
                    <w:jc w:val="center"/>
                    <w:rPr>
                      <w:bCs/>
                      <w:color w:val="auto"/>
                      <w:szCs w:val="21"/>
                    </w:rPr>
                  </w:pPr>
                  <w:r>
                    <w:rPr>
                      <w:rFonts w:hint="eastAsia"/>
                      <w:color w:val="auto"/>
                      <w:szCs w:val="21"/>
                    </w:rPr>
                    <w:t>16h</w:t>
                  </w:r>
                </w:p>
              </w:tc>
              <w:tc>
                <w:tcPr>
                  <w:tcW w:w="847" w:type="dxa"/>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21</w:t>
                  </w:r>
                </w:p>
              </w:tc>
              <w:tc>
                <w:tcPr>
                  <w:tcW w:w="997" w:type="dxa"/>
                  <w:tcBorders>
                    <w:tl2br w:val="nil"/>
                    <w:tr2bl w:val="nil"/>
                  </w:tcBorders>
                  <w:vAlign w:val="center"/>
                </w:tcPr>
                <w:p>
                  <w:pPr>
                    <w:widowControl/>
                    <w:adjustRightInd w:val="0"/>
                    <w:snapToGrid w:val="0"/>
                    <w:jc w:val="center"/>
                    <w:textAlignment w:val="bottom"/>
                    <w:rPr>
                      <w:bCs/>
                      <w:color w:val="auto"/>
                      <w:szCs w:val="21"/>
                    </w:rPr>
                  </w:pPr>
                  <w:r>
                    <w:rPr>
                      <w:rFonts w:hint="eastAsia"/>
                      <w:bCs/>
                      <w:color w:val="auto"/>
                      <w:szCs w:val="21"/>
                    </w:rPr>
                    <w:t>40.02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25（南）</w:t>
                  </w:r>
                </w:p>
              </w:tc>
              <w:tc>
                <w:tcPr>
                  <w:tcW w:w="917" w:type="dxa"/>
                  <w:tcBorders>
                    <w:tl2br w:val="nil"/>
                    <w:tr2bl w:val="nil"/>
                  </w:tcBorders>
                  <w:vAlign w:val="bottom"/>
                </w:tcPr>
                <w:p>
                  <w:pPr>
                    <w:widowControl/>
                    <w:adjustRightInd w:val="0"/>
                    <w:snapToGrid w:val="0"/>
                    <w:jc w:val="center"/>
                    <w:textAlignment w:val="bottom"/>
                    <w:rPr>
                      <w:color w:val="auto"/>
                      <w:kern w:val="0"/>
                      <w:szCs w:val="21"/>
                      <w:lang w:bidi="ar"/>
                    </w:rPr>
                  </w:pPr>
                  <w:r>
                    <w:rPr>
                      <w:color w:val="auto"/>
                      <w:kern w:val="0"/>
                      <w:szCs w:val="21"/>
                      <w:lang w:bidi="ar"/>
                    </w:rPr>
                    <w:t>61.02</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center"/>
                </w:tcPr>
                <w:p>
                  <w:pPr>
                    <w:widowControl/>
                    <w:adjustRightInd w:val="0"/>
                    <w:snapToGrid w:val="0"/>
                    <w:jc w:val="center"/>
                    <w:textAlignment w:val="bottom"/>
                    <w:rPr>
                      <w:bCs/>
                      <w:color w:val="auto"/>
                      <w:szCs w:val="21"/>
                    </w:rPr>
                  </w:pPr>
                  <w:r>
                    <w:rPr>
                      <w:rFonts w:hint="eastAsia"/>
                      <w:bCs/>
                      <w:color w:val="auto"/>
                      <w:szCs w:val="21"/>
                    </w:rPr>
                    <w:t>40.02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59（西）</w:t>
                  </w:r>
                </w:p>
              </w:tc>
              <w:tc>
                <w:tcPr>
                  <w:tcW w:w="917" w:type="dxa"/>
                  <w:tcBorders>
                    <w:tl2br w:val="nil"/>
                    <w:tr2bl w:val="nil"/>
                  </w:tcBorders>
                  <w:vAlign w:val="bottom"/>
                </w:tcPr>
                <w:p>
                  <w:pPr>
                    <w:widowControl/>
                    <w:adjustRightInd w:val="0"/>
                    <w:snapToGrid w:val="0"/>
                    <w:jc w:val="center"/>
                    <w:textAlignment w:val="bottom"/>
                    <w:rPr>
                      <w:color w:val="auto"/>
                      <w:kern w:val="0"/>
                      <w:szCs w:val="21"/>
                      <w:lang w:bidi="ar"/>
                    </w:rPr>
                  </w:pPr>
                  <w:r>
                    <w:rPr>
                      <w:color w:val="auto"/>
                      <w:kern w:val="0"/>
                      <w:szCs w:val="21"/>
                      <w:lang w:bidi="ar"/>
                    </w:rPr>
                    <w:t>53.56</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center"/>
                </w:tcPr>
                <w:p>
                  <w:pPr>
                    <w:widowControl/>
                    <w:adjustRightInd w:val="0"/>
                    <w:snapToGrid w:val="0"/>
                    <w:jc w:val="center"/>
                    <w:textAlignment w:val="bottom"/>
                    <w:rPr>
                      <w:bCs/>
                      <w:color w:val="auto"/>
                      <w:szCs w:val="21"/>
                    </w:rPr>
                  </w:pPr>
                  <w:r>
                    <w:rPr>
                      <w:rFonts w:hint="eastAsia"/>
                      <w:bCs/>
                      <w:color w:val="auto"/>
                      <w:szCs w:val="21"/>
                    </w:rPr>
                    <w:t>32.56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2" w:type="dxa"/>
                  <w:vMerge w:val="continue"/>
                  <w:tcBorders>
                    <w:tl2br w:val="nil"/>
                    <w:tr2bl w:val="nil"/>
                  </w:tcBorders>
                  <w:vAlign w:val="center"/>
                </w:tcPr>
                <w:p>
                  <w:pPr>
                    <w:adjustRightInd w:val="0"/>
                    <w:snapToGrid w:val="0"/>
                    <w:jc w:val="center"/>
                    <w:rPr>
                      <w:bCs/>
                      <w:color w:val="auto"/>
                      <w:szCs w:val="21"/>
                    </w:rPr>
                  </w:pPr>
                </w:p>
              </w:tc>
              <w:tc>
                <w:tcPr>
                  <w:tcW w:w="656" w:type="dxa"/>
                  <w:vMerge w:val="continue"/>
                  <w:tcBorders>
                    <w:tl2br w:val="nil"/>
                    <w:tr2bl w:val="nil"/>
                  </w:tcBorders>
                  <w:vAlign w:val="center"/>
                </w:tcPr>
                <w:p>
                  <w:pPr>
                    <w:adjustRightInd w:val="0"/>
                    <w:snapToGrid w:val="0"/>
                    <w:jc w:val="center"/>
                    <w:rPr>
                      <w:bCs/>
                      <w:color w:val="auto"/>
                      <w:szCs w:val="21"/>
                    </w:rPr>
                  </w:pPr>
                </w:p>
              </w:tc>
              <w:tc>
                <w:tcPr>
                  <w:tcW w:w="1323" w:type="dxa"/>
                  <w:vMerge w:val="continue"/>
                  <w:tcBorders>
                    <w:tl2br w:val="nil"/>
                    <w:tr2bl w:val="nil"/>
                  </w:tcBorders>
                  <w:vAlign w:val="center"/>
                </w:tcPr>
                <w:p>
                  <w:pPr>
                    <w:adjustRightInd w:val="0"/>
                    <w:snapToGrid w:val="0"/>
                    <w:jc w:val="center"/>
                    <w:rPr>
                      <w:color w:val="auto"/>
                      <w:szCs w:val="21"/>
                    </w:rPr>
                  </w:pPr>
                </w:p>
              </w:tc>
              <w:tc>
                <w:tcPr>
                  <w:tcW w:w="684" w:type="dxa"/>
                  <w:vMerge w:val="continue"/>
                  <w:tcBorders>
                    <w:tl2br w:val="nil"/>
                    <w:tr2bl w:val="nil"/>
                  </w:tcBorders>
                  <w:vAlign w:val="center"/>
                </w:tcPr>
                <w:p>
                  <w:pPr>
                    <w:adjustRightInd w:val="0"/>
                    <w:snapToGrid w:val="0"/>
                    <w:jc w:val="center"/>
                    <w:rPr>
                      <w:bCs/>
                      <w:color w:val="auto"/>
                      <w:szCs w:val="21"/>
                    </w:rPr>
                  </w:pPr>
                </w:p>
              </w:tc>
              <w:tc>
                <w:tcPr>
                  <w:tcW w:w="1395" w:type="dxa"/>
                  <w:vMerge w:val="continue"/>
                  <w:tcBorders>
                    <w:tl2br w:val="nil"/>
                    <w:tr2bl w:val="nil"/>
                  </w:tcBorders>
                  <w:vAlign w:val="center"/>
                </w:tcPr>
                <w:p>
                  <w:pPr>
                    <w:adjustRightInd w:val="0"/>
                    <w:snapToGrid w:val="0"/>
                    <w:jc w:val="center"/>
                    <w:rPr>
                      <w:color w:val="auto"/>
                      <w:szCs w:val="21"/>
                    </w:rPr>
                  </w:pPr>
                </w:p>
              </w:tc>
              <w:tc>
                <w:tcPr>
                  <w:tcW w:w="845" w:type="dxa"/>
                  <w:vMerge w:val="continue"/>
                  <w:tcBorders>
                    <w:tl2br w:val="nil"/>
                    <w:tr2bl w:val="nil"/>
                  </w:tcBorders>
                  <w:vAlign w:val="center"/>
                </w:tcPr>
                <w:p>
                  <w:pPr>
                    <w:adjustRightInd w:val="0"/>
                    <w:snapToGrid w:val="0"/>
                    <w:jc w:val="center"/>
                    <w:rPr>
                      <w:bCs/>
                      <w:color w:val="auto"/>
                      <w:szCs w:val="21"/>
                    </w:rPr>
                  </w:pPr>
                </w:p>
              </w:tc>
              <w:tc>
                <w:tcPr>
                  <w:tcW w:w="606" w:type="dxa"/>
                  <w:vMerge w:val="continue"/>
                  <w:tcBorders>
                    <w:tl2br w:val="nil"/>
                    <w:tr2bl w:val="nil"/>
                  </w:tcBorders>
                  <w:vAlign w:val="center"/>
                </w:tcPr>
                <w:p>
                  <w:pPr>
                    <w:adjustRightInd w:val="0"/>
                    <w:snapToGrid w:val="0"/>
                    <w:jc w:val="center"/>
                    <w:rPr>
                      <w:bCs/>
                      <w:color w:val="auto"/>
                      <w:szCs w:val="21"/>
                    </w:rPr>
                  </w:pPr>
                </w:p>
              </w:tc>
              <w:tc>
                <w:tcPr>
                  <w:tcW w:w="622" w:type="dxa"/>
                  <w:vMerge w:val="continue"/>
                  <w:tcBorders>
                    <w:tl2br w:val="nil"/>
                    <w:tr2bl w:val="nil"/>
                  </w:tcBorders>
                  <w:vAlign w:val="center"/>
                </w:tcPr>
                <w:p>
                  <w:pPr>
                    <w:adjustRightInd w:val="0"/>
                    <w:snapToGrid w:val="0"/>
                    <w:jc w:val="center"/>
                    <w:rPr>
                      <w:bCs/>
                      <w:color w:val="auto"/>
                      <w:szCs w:val="21"/>
                    </w:rPr>
                  </w:pPr>
                </w:p>
              </w:tc>
              <w:tc>
                <w:tcPr>
                  <w:tcW w:w="579" w:type="dxa"/>
                  <w:vMerge w:val="continue"/>
                  <w:tcBorders>
                    <w:tl2br w:val="nil"/>
                    <w:tr2bl w:val="nil"/>
                  </w:tcBorders>
                  <w:vAlign w:val="center"/>
                </w:tcPr>
                <w:p>
                  <w:pPr>
                    <w:adjustRightInd w:val="0"/>
                    <w:snapToGrid w:val="0"/>
                    <w:jc w:val="center"/>
                    <w:rPr>
                      <w:bCs/>
                      <w:color w:val="auto"/>
                      <w:szCs w:val="21"/>
                    </w:rPr>
                  </w:pPr>
                </w:p>
              </w:tc>
              <w:tc>
                <w:tcPr>
                  <w:tcW w:w="1377" w:type="dxa"/>
                  <w:tcBorders>
                    <w:tl2br w:val="nil"/>
                    <w:tr2bl w:val="nil"/>
                  </w:tcBorders>
                  <w:vAlign w:val="center"/>
                </w:tcPr>
                <w:p>
                  <w:pPr>
                    <w:adjustRightInd w:val="0"/>
                    <w:snapToGrid w:val="0"/>
                    <w:jc w:val="center"/>
                    <w:rPr>
                      <w:bCs/>
                      <w:color w:val="auto"/>
                      <w:szCs w:val="21"/>
                    </w:rPr>
                  </w:pPr>
                  <w:r>
                    <w:rPr>
                      <w:rFonts w:hint="eastAsia"/>
                      <w:bCs/>
                      <w:color w:val="auto"/>
                      <w:szCs w:val="21"/>
                    </w:rPr>
                    <w:t>37（北）</w:t>
                  </w:r>
                </w:p>
              </w:tc>
              <w:tc>
                <w:tcPr>
                  <w:tcW w:w="917" w:type="dxa"/>
                  <w:tcBorders>
                    <w:tl2br w:val="nil"/>
                    <w:tr2bl w:val="nil"/>
                  </w:tcBorders>
                  <w:vAlign w:val="bottom"/>
                </w:tcPr>
                <w:p>
                  <w:pPr>
                    <w:widowControl/>
                    <w:adjustRightInd w:val="0"/>
                    <w:snapToGrid w:val="0"/>
                    <w:jc w:val="center"/>
                    <w:textAlignment w:val="bottom"/>
                    <w:rPr>
                      <w:color w:val="auto"/>
                      <w:kern w:val="0"/>
                      <w:szCs w:val="21"/>
                      <w:lang w:bidi="ar"/>
                    </w:rPr>
                  </w:pPr>
                  <w:r>
                    <w:rPr>
                      <w:color w:val="auto"/>
                      <w:kern w:val="0"/>
                      <w:szCs w:val="21"/>
                      <w:lang w:bidi="ar"/>
                    </w:rPr>
                    <w:t>57.62</w:t>
                  </w:r>
                </w:p>
              </w:tc>
              <w:tc>
                <w:tcPr>
                  <w:tcW w:w="899" w:type="dxa"/>
                  <w:vMerge w:val="continue"/>
                  <w:tcBorders>
                    <w:tl2br w:val="nil"/>
                    <w:tr2bl w:val="nil"/>
                  </w:tcBorders>
                  <w:vAlign w:val="center"/>
                </w:tcPr>
                <w:p>
                  <w:pPr>
                    <w:adjustRightInd w:val="0"/>
                    <w:snapToGrid w:val="0"/>
                    <w:jc w:val="center"/>
                    <w:rPr>
                      <w:bCs/>
                      <w:color w:val="auto"/>
                      <w:szCs w:val="21"/>
                    </w:rPr>
                  </w:pPr>
                </w:p>
              </w:tc>
              <w:tc>
                <w:tcPr>
                  <w:tcW w:w="847" w:type="dxa"/>
                  <w:vMerge w:val="continue"/>
                  <w:tcBorders>
                    <w:tl2br w:val="nil"/>
                    <w:tr2bl w:val="nil"/>
                  </w:tcBorders>
                  <w:vAlign w:val="center"/>
                </w:tcPr>
                <w:p>
                  <w:pPr>
                    <w:adjustRightInd w:val="0"/>
                    <w:snapToGrid w:val="0"/>
                    <w:jc w:val="center"/>
                    <w:rPr>
                      <w:bCs/>
                      <w:color w:val="auto"/>
                      <w:szCs w:val="21"/>
                    </w:rPr>
                  </w:pPr>
                </w:p>
              </w:tc>
              <w:tc>
                <w:tcPr>
                  <w:tcW w:w="997" w:type="dxa"/>
                  <w:tcBorders>
                    <w:tl2br w:val="nil"/>
                    <w:tr2bl w:val="nil"/>
                  </w:tcBorders>
                  <w:vAlign w:val="center"/>
                </w:tcPr>
                <w:p>
                  <w:pPr>
                    <w:widowControl/>
                    <w:adjustRightInd w:val="0"/>
                    <w:snapToGrid w:val="0"/>
                    <w:jc w:val="center"/>
                    <w:textAlignment w:val="bottom"/>
                    <w:rPr>
                      <w:bCs/>
                      <w:color w:val="auto"/>
                      <w:szCs w:val="21"/>
                    </w:rPr>
                  </w:pPr>
                  <w:r>
                    <w:rPr>
                      <w:rFonts w:hint="eastAsia"/>
                      <w:bCs/>
                      <w:color w:val="auto"/>
                      <w:szCs w:val="21"/>
                    </w:rPr>
                    <w:t>36.62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299" w:type="dxa"/>
                  <w:gridSpan w:val="14"/>
                  <w:tcBorders>
                    <w:tl2br w:val="nil"/>
                    <w:tr2bl w:val="nil"/>
                  </w:tcBorders>
                  <w:vAlign w:val="center"/>
                </w:tcPr>
                <w:p>
                  <w:pPr>
                    <w:adjustRightInd w:val="0"/>
                    <w:snapToGrid w:val="0"/>
                    <w:rPr>
                      <w:bCs/>
                      <w:color w:val="auto"/>
                      <w:szCs w:val="21"/>
                    </w:rPr>
                  </w:pPr>
                  <w:r>
                    <w:rPr>
                      <w:rFonts w:hint="eastAsia"/>
                      <w:bCs/>
                      <w:color w:val="auto"/>
                      <w:szCs w:val="21"/>
                    </w:rPr>
                    <w:t>备注：以生产厂房中心为空间相对位置坐标原点，南北走向为X轴,东西走向为Y轴，</w:t>
                  </w:r>
                </w:p>
              </w:tc>
            </w:tr>
          </w:tbl>
          <w:p>
            <w:pPr>
              <w:adjustRightInd w:val="0"/>
              <w:snapToGrid w:val="0"/>
              <w:spacing w:line="360" w:lineRule="auto"/>
              <w:jc w:val="center"/>
              <w:rPr>
                <w:color w:val="auto"/>
                <w:sz w:val="24"/>
              </w:rPr>
            </w:pPr>
            <w:r>
              <w:rPr>
                <w:color w:val="auto"/>
                <w:sz w:val="24"/>
              </w:rPr>
              <w:t>表4.</w:t>
            </w:r>
            <w:r>
              <w:rPr>
                <w:rFonts w:hint="eastAsia"/>
                <w:color w:val="auto"/>
                <w:sz w:val="24"/>
              </w:rPr>
              <w:t>1</w:t>
            </w:r>
            <w:r>
              <w:rPr>
                <w:rFonts w:hint="eastAsia"/>
                <w:color w:val="auto"/>
                <w:sz w:val="24"/>
                <w:lang w:val="en-US" w:eastAsia="zh-CN"/>
              </w:rPr>
              <w:t>3</w:t>
            </w:r>
            <w:r>
              <w:rPr>
                <w:rFonts w:hint="eastAsia"/>
                <w:color w:val="auto"/>
                <w:sz w:val="24"/>
              </w:rPr>
              <w:t>噪声源强调查清单（室外声源）</w:t>
            </w:r>
          </w:p>
          <w:tbl>
            <w:tblPr>
              <w:tblStyle w:val="23"/>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588"/>
              <w:gridCol w:w="958"/>
              <w:gridCol w:w="2946"/>
              <w:gridCol w:w="908"/>
              <w:gridCol w:w="910"/>
              <w:gridCol w:w="738"/>
              <w:gridCol w:w="2221"/>
              <w:gridCol w:w="159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6" w:type="pct"/>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序</w:t>
                  </w:r>
                </w:p>
                <w:p>
                  <w:pPr>
                    <w:adjustRightInd w:val="0"/>
                    <w:snapToGrid w:val="0"/>
                    <w:jc w:val="center"/>
                    <w:rPr>
                      <w:bCs/>
                      <w:color w:val="auto"/>
                      <w:szCs w:val="21"/>
                    </w:rPr>
                  </w:pPr>
                  <w:r>
                    <w:rPr>
                      <w:rFonts w:hint="eastAsia"/>
                      <w:bCs/>
                      <w:color w:val="auto"/>
                      <w:szCs w:val="21"/>
                    </w:rPr>
                    <w:t>号</w:t>
                  </w:r>
                </w:p>
              </w:tc>
              <w:tc>
                <w:tcPr>
                  <w:tcW w:w="635" w:type="pct"/>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声源名称</w:t>
                  </w:r>
                </w:p>
              </w:tc>
              <w:tc>
                <w:tcPr>
                  <w:tcW w:w="383" w:type="pct"/>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型号</w:t>
                  </w:r>
                </w:p>
              </w:tc>
              <w:tc>
                <w:tcPr>
                  <w:tcW w:w="1178" w:type="pct"/>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声压级/距声源距离</w:t>
                  </w:r>
                </w:p>
                <w:p>
                  <w:pPr>
                    <w:adjustRightInd w:val="0"/>
                    <w:snapToGrid w:val="0"/>
                    <w:jc w:val="center"/>
                    <w:rPr>
                      <w:bCs/>
                      <w:color w:val="auto"/>
                      <w:szCs w:val="21"/>
                    </w:rPr>
                  </w:pPr>
                  <w:r>
                    <w:rPr>
                      <w:rFonts w:hint="eastAsia"/>
                      <w:bCs/>
                      <w:color w:val="auto"/>
                      <w:szCs w:val="21"/>
                    </w:rPr>
                    <w:t>（dB(A)/m）</w:t>
                  </w:r>
                </w:p>
              </w:tc>
              <w:tc>
                <w:tcPr>
                  <w:tcW w:w="1022" w:type="pct"/>
                  <w:gridSpan w:val="3"/>
                  <w:tcBorders>
                    <w:tl2br w:val="nil"/>
                    <w:tr2bl w:val="nil"/>
                  </w:tcBorders>
                  <w:vAlign w:val="center"/>
                </w:tcPr>
                <w:p>
                  <w:pPr>
                    <w:adjustRightInd w:val="0"/>
                    <w:snapToGrid w:val="0"/>
                    <w:jc w:val="center"/>
                    <w:rPr>
                      <w:bCs/>
                      <w:color w:val="auto"/>
                      <w:szCs w:val="21"/>
                    </w:rPr>
                  </w:pPr>
                  <w:r>
                    <w:rPr>
                      <w:rFonts w:hint="eastAsia"/>
                      <w:bCs/>
                      <w:color w:val="auto"/>
                      <w:szCs w:val="21"/>
                    </w:rPr>
                    <w:t>空间相对位置/m</w:t>
                  </w:r>
                </w:p>
              </w:tc>
              <w:tc>
                <w:tcPr>
                  <w:tcW w:w="888" w:type="pct"/>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声源控制措施</w:t>
                  </w:r>
                </w:p>
              </w:tc>
              <w:tc>
                <w:tcPr>
                  <w:tcW w:w="635" w:type="pct"/>
                  <w:vMerge w:val="restart"/>
                  <w:tcBorders>
                    <w:tl2br w:val="nil"/>
                    <w:tr2bl w:val="nil"/>
                  </w:tcBorders>
                  <w:vAlign w:val="center"/>
                </w:tcPr>
                <w:p>
                  <w:pPr>
                    <w:adjustRightInd w:val="0"/>
                    <w:snapToGrid w:val="0"/>
                    <w:jc w:val="center"/>
                    <w:rPr>
                      <w:bCs/>
                      <w:color w:val="auto"/>
                      <w:szCs w:val="21"/>
                    </w:rPr>
                  </w:pPr>
                  <w:r>
                    <w:rPr>
                      <w:rFonts w:hint="eastAsia"/>
                      <w:bCs/>
                      <w:color w:val="auto"/>
                      <w:szCs w:val="21"/>
                    </w:rPr>
                    <w:t>运行时段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56" w:type="pct"/>
                  <w:vMerge w:val="continue"/>
                  <w:tcBorders>
                    <w:tl2br w:val="nil"/>
                    <w:tr2bl w:val="nil"/>
                  </w:tcBorders>
                  <w:vAlign w:val="center"/>
                </w:tcPr>
                <w:p>
                  <w:pPr>
                    <w:adjustRightInd w:val="0"/>
                    <w:snapToGrid w:val="0"/>
                    <w:jc w:val="center"/>
                    <w:rPr>
                      <w:bCs/>
                      <w:color w:val="auto"/>
                      <w:szCs w:val="21"/>
                    </w:rPr>
                  </w:pPr>
                </w:p>
              </w:tc>
              <w:tc>
                <w:tcPr>
                  <w:tcW w:w="635" w:type="pct"/>
                  <w:vMerge w:val="continue"/>
                  <w:tcBorders>
                    <w:tl2br w:val="nil"/>
                    <w:tr2bl w:val="nil"/>
                  </w:tcBorders>
                  <w:vAlign w:val="center"/>
                </w:tcPr>
                <w:p>
                  <w:pPr>
                    <w:adjustRightInd w:val="0"/>
                    <w:snapToGrid w:val="0"/>
                    <w:jc w:val="center"/>
                    <w:rPr>
                      <w:bCs/>
                      <w:color w:val="auto"/>
                      <w:szCs w:val="21"/>
                    </w:rPr>
                  </w:pPr>
                </w:p>
              </w:tc>
              <w:tc>
                <w:tcPr>
                  <w:tcW w:w="383" w:type="pct"/>
                  <w:vMerge w:val="continue"/>
                  <w:tcBorders>
                    <w:tl2br w:val="nil"/>
                    <w:tr2bl w:val="nil"/>
                  </w:tcBorders>
                  <w:vAlign w:val="center"/>
                </w:tcPr>
                <w:p>
                  <w:pPr>
                    <w:adjustRightInd w:val="0"/>
                    <w:snapToGrid w:val="0"/>
                    <w:jc w:val="center"/>
                    <w:rPr>
                      <w:bCs/>
                      <w:color w:val="auto"/>
                      <w:szCs w:val="21"/>
                    </w:rPr>
                  </w:pPr>
                </w:p>
              </w:tc>
              <w:tc>
                <w:tcPr>
                  <w:tcW w:w="1178" w:type="pct"/>
                  <w:vMerge w:val="continue"/>
                  <w:tcBorders>
                    <w:tl2br w:val="nil"/>
                    <w:tr2bl w:val="nil"/>
                  </w:tcBorders>
                  <w:vAlign w:val="center"/>
                </w:tcPr>
                <w:p>
                  <w:pPr>
                    <w:adjustRightInd w:val="0"/>
                    <w:snapToGrid w:val="0"/>
                    <w:jc w:val="center"/>
                    <w:rPr>
                      <w:bCs/>
                      <w:color w:val="auto"/>
                      <w:szCs w:val="21"/>
                    </w:rPr>
                  </w:pPr>
                </w:p>
              </w:tc>
              <w:tc>
                <w:tcPr>
                  <w:tcW w:w="363" w:type="pct"/>
                  <w:tcBorders>
                    <w:tl2br w:val="nil"/>
                    <w:tr2bl w:val="nil"/>
                  </w:tcBorders>
                  <w:vAlign w:val="center"/>
                </w:tcPr>
                <w:p>
                  <w:pPr>
                    <w:adjustRightInd w:val="0"/>
                    <w:snapToGrid w:val="0"/>
                    <w:jc w:val="center"/>
                    <w:rPr>
                      <w:bCs/>
                      <w:color w:val="auto"/>
                      <w:szCs w:val="21"/>
                    </w:rPr>
                  </w:pPr>
                  <w:r>
                    <w:rPr>
                      <w:rFonts w:hint="eastAsia"/>
                      <w:bCs/>
                      <w:color w:val="auto"/>
                      <w:szCs w:val="21"/>
                    </w:rPr>
                    <w:t>X</w:t>
                  </w:r>
                </w:p>
              </w:tc>
              <w:tc>
                <w:tcPr>
                  <w:tcW w:w="364" w:type="pct"/>
                  <w:tcBorders>
                    <w:tl2br w:val="nil"/>
                    <w:tr2bl w:val="nil"/>
                  </w:tcBorders>
                  <w:vAlign w:val="center"/>
                </w:tcPr>
                <w:p>
                  <w:pPr>
                    <w:adjustRightInd w:val="0"/>
                    <w:snapToGrid w:val="0"/>
                    <w:jc w:val="center"/>
                    <w:rPr>
                      <w:bCs/>
                      <w:color w:val="auto"/>
                      <w:szCs w:val="21"/>
                    </w:rPr>
                  </w:pPr>
                  <w:r>
                    <w:rPr>
                      <w:rFonts w:hint="eastAsia"/>
                      <w:bCs/>
                      <w:color w:val="auto"/>
                      <w:szCs w:val="21"/>
                    </w:rPr>
                    <w:t>Y</w:t>
                  </w:r>
                </w:p>
              </w:tc>
              <w:tc>
                <w:tcPr>
                  <w:tcW w:w="295" w:type="pct"/>
                  <w:tcBorders>
                    <w:tl2br w:val="nil"/>
                    <w:tr2bl w:val="nil"/>
                  </w:tcBorders>
                  <w:vAlign w:val="center"/>
                </w:tcPr>
                <w:p>
                  <w:pPr>
                    <w:adjustRightInd w:val="0"/>
                    <w:snapToGrid w:val="0"/>
                    <w:jc w:val="center"/>
                    <w:rPr>
                      <w:bCs/>
                      <w:color w:val="auto"/>
                      <w:szCs w:val="21"/>
                    </w:rPr>
                  </w:pPr>
                  <w:r>
                    <w:rPr>
                      <w:rFonts w:hint="eastAsia"/>
                      <w:bCs/>
                      <w:color w:val="auto"/>
                      <w:szCs w:val="21"/>
                    </w:rPr>
                    <w:t>Z</w:t>
                  </w:r>
                </w:p>
              </w:tc>
              <w:tc>
                <w:tcPr>
                  <w:tcW w:w="888" w:type="pct"/>
                  <w:vMerge w:val="continue"/>
                  <w:tcBorders>
                    <w:tl2br w:val="nil"/>
                    <w:tr2bl w:val="nil"/>
                  </w:tcBorders>
                  <w:vAlign w:val="center"/>
                </w:tcPr>
                <w:p>
                  <w:pPr>
                    <w:adjustRightInd w:val="0"/>
                    <w:snapToGrid w:val="0"/>
                    <w:jc w:val="center"/>
                    <w:rPr>
                      <w:bCs/>
                      <w:color w:val="auto"/>
                      <w:szCs w:val="21"/>
                    </w:rPr>
                  </w:pPr>
                </w:p>
              </w:tc>
              <w:tc>
                <w:tcPr>
                  <w:tcW w:w="635" w:type="pct"/>
                  <w:vMerge w:val="continue"/>
                  <w:tcBorders>
                    <w:tl2br w:val="nil"/>
                    <w:tr2bl w:val="nil"/>
                  </w:tcBorders>
                  <w:vAlign w:val="center"/>
                </w:tcPr>
                <w:p>
                  <w:pPr>
                    <w:adjustRightInd w:val="0"/>
                    <w:snapToGrid w:val="0"/>
                    <w:jc w:val="center"/>
                    <w:rPr>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56" w:type="pct"/>
                  <w:tcBorders>
                    <w:tl2br w:val="nil"/>
                    <w:tr2bl w:val="nil"/>
                  </w:tcBorders>
                  <w:vAlign w:val="center"/>
                </w:tcPr>
                <w:p>
                  <w:pPr>
                    <w:adjustRightInd w:val="0"/>
                    <w:snapToGrid w:val="0"/>
                    <w:jc w:val="center"/>
                    <w:rPr>
                      <w:bCs/>
                      <w:color w:val="auto"/>
                      <w:szCs w:val="21"/>
                    </w:rPr>
                  </w:pPr>
                  <w:r>
                    <w:rPr>
                      <w:rFonts w:hint="eastAsia"/>
                      <w:bCs/>
                      <w:color w:val="auto"/>
                      <w:szCs w:val="21"/>
                    </w:rPr>
                    <w:t>1</w:t>
                  </w:r>
                </w:p>
              </w:tc>
              <w:tc>
                <w:tcPr>
                  <w:tcW w:w="635" w:type="pct"/>
                  <w:tcBorders>
                    <w:tl2br w:val="nil"/>
                    <w:tr2bl w:val="nil"/>
                  </w:tcBorders>
                  <w:vAlign w:val="center"/>
                </w:tcPr>
                <w:p>
                  <w:pPr>
                    <w:adjustRightInd w:val="0"/>
                    <w:snapToGrid w:val="0"/>
                    <w:jc w:val="center"/>
                    <w:rPr>
                      <w:bCs/>
                      <w:color w:val="auto"/>
                      <w:szCs w:val="21"/>
                    </w:rPr>
                  </w:pPr>
                  <w:r>
                    <w:rPr>
                      <w:rFonts w:hint="eastAsia"/>
                      <w:bCs/>
                      <w:color w:val="auto"/>
                      <w:szCs w:val="21"/>
                    </w:rPr>
                    <w:t>冷却塔</w:t>
                  </w:r>
                </w:p>
              </w:tc>
              <w:tc>
                <w:tcPr>
                  <w:tcW w:w="383" w:type="pct"/>
                  <w:tcBorders>
                    <w:tl2br w:val="nil"/>
                    <w:tr2bl w:val="nil"/>
                  </w:tcBorders>
                  <w:vAlign w:val="center"/>
                </w:tcPr>
                <w:p>
                  <w:pPr>
                    <w:adjustRightInd w:val="0"/>
                    <w:snapToGrid w:val="0"/>
                    <w:jc w:val="center"/>
                    <w:rPr>
                      <w:bCs/>
                      <w:color w:val="auto"/>
                      <w:szCs w:val="21"/>
                    </w:rPr>
                  </w:pPr>
                  <w:r>
                    <w:rPr>
                      <w:rFonts w:hint="eastAsia"/>
                      <w:bCs/>
                      <w:color w:val="auto"/>
                      <w:szCs w:val="21"/>
                    </w:rPr>
                    <w:t>/</w:t>
                  </w:r>
                </w:p>
              </w:tc>
              <w:tc>
                <w:tcPr>
                  <w:tcW w:w="1178" w:type="pct"/>
                  <w:tcBorders>
                    <w:tl2br w:val="nil"/>
                    <w:tr2bl w:val="nil"/>
                  </w:tcBorders>
                  <w:vAlign w:val="center"/>
                </w:tcPr>
                <w:p>
                  <w:pPr>
                    <w:adjustRightInd w:val="0"/>
                    <w:snapToGrid w:val="0"/>
                    <w:jc w:val="center"/>
                    <w:rPr>
                      <w:bCs/>
                      <w:color w:val="auto"/>
                      <w:szCs w:val="21"/>
                    </w:rPr>
                  </w:pPr>
                  <w:r>
                    <w:rPr>
                      <w:rFonts w:hint="eastAsia"/>
                      <w:color w:val="auto"/>
                      <w:szCs w:val="21"/>
                    </w:rPr>
                    <w:t>75/5</w:t>
                  </w:r>
                </w:p>
              </w:tc>
              <w:tc>
                <w:tcPr>
                  <w:tcW w:w="908" w:type="dxa"/>
                  <w:tcBorders>
                    <w:tl2br w:val="nil"/>
                    <w:tr2bl w:val="nil"/>
                  </w:tcBorders>
                  <w:vAlign w:val="center"/>
                </w:tcPr>
                <w:p>
                  <w:pPr>
                    <w:adjustRightInd w:val="0"/>
                    <w:snapToGrid w:val="0"/>
                    <w:jc w:val="center"/>
                    <w:rPr>
                      <w:bCs/>
                      <w:color w:val="auto"/>
                      <w:szCs w:val="21"/>
                    </w:rPr>
                  </w:pPr>
                  <w:r>
                    <w:rPr>
                      <w:rFonts w:hint="eastAsia"/>
                      <w:bCs/>
                      <w:color w:val="auto"/>
                      <w:szCs w:val="21"/>
                    </w:rPr>
                    <w:t>-42</w:t>
                  </w:r>
                </w:p>
              </w:tc>
              <w:tc>
                <w:tcPr>
                  <w:tcW w:w="910" w:type="dxa"/>
                  <w:tcBorders>
                    <w:tl2br w:val="nil"/>
                    <w:tr2bl w:val="nil"/>
                  </w:tcBorders>
                  <w:vAlign w:val="center"/>
                </w:tcPr>
                <w:p>
                  <w:pPr>
                    <w:adjustRightInd w:val="0"/>
                    <w:snapToGrid w:val="0"/>
                    <w:jc w:val="center"/>
                    <w:rPr>
                      <w:bCs/>
                      <w:color w:val="auto"/>
                      <w:szCs w:val="21"/>
                    </w:rPr>
                  </w:pPr>
                  <w:r>
                    <w:rPr>
                      <w:rFonts w:hint="eastAsia"/>
                      <w:bCs/>
                      <w:color w:val="auto"/>
                      <w:szCs w:val="21"/>
                    </w:rPr>
                    <w:t>-6</w:t>
                  </w:r>
                </w:p>
              </w:tc>
              <w:tc>
                <w:tcPr>
                  <w:tcW w:w="738" w:type="dxa"/>
                  <w:tcBorders>
                    <w:tl2br w:val="nil"/>
                    <w:tr2bl w:val="nil"/>
                  </w:tcBorders>
                  <w:vAlign w:val="center"/>
                </w:tcPr>
                <w:p>
                  <w:pPr>
                    <w:adjustRightInd w:val="0"/>
                    <w:snapToGrid w:val="0"/>
                    <w:jc w:val="center"/>
                    <w:rPr>
                      <w:bCs/>
                      <w:color w:val="auto"/>
                      <w:szCs w:val="21"/>
                    </w:rPr>
                  </w:pPr>
                  <w:r>
                    <w:rPr>
                      <w:rFonts w:hint="eastAsia"/>
                      <w:bCs/>
                      <w:color w:val="auto"/>
                      <w:szCs w:val="21"/>
                    </w:rPr>
                    <w:t>1</w:t>
                  </w:r>
                </w:p>
              </w:tc>
              <w:tc>
                <w:tcPr>
                  <w:tcW w:w="888" w:type="pct"/>
                  <w:tcBorders>
                    <w:tl2br w:val="nil"/>
                    <w:tr2bl w:val="nil"/>
                  </w:tcBorders>
                  <w:vAlign w:val="center"/>
                </w:tcPr>
                <w:p>
                  <w:pPr>
                    <w:adjustRightInd w:val="0"/>
                    <w:snapToGrid w:val="0"/>
                    <w:jc w:val="center"/>
                    <w:rPr>
                      <w:bCs/>
                      <w:color w:val="auto"/>
                      <w:szCs w:val="21"/>
                    </w:rPr>
                  </w:pPr>
                  <w:r>
                    <w:rPr>
                      <w:color w:val="auto"/>
                      <w:szCs w:val="21"/>
                    </w:rPr>
                    <w:t>建筑隔声</w:t>
                  </w:r>
                  <w:r>
                    <w:rPr>
                      <w:rFonts w:hint="eastAsia"/>
                      <w:color w:val="auto"/>
                      <w:szCs w:val="21"/>
                    </w:rPr>
                    <w:t>、减震垫</w:t>
                  </w:r>
                </w:p>
              </w:tc>
              <w:tc>
                <w:tcPr>
                  <w:tcW w:w="635" w:type="pct"/>
                  <w:tcBorders>
                    <w:tl2br w:val="nil"/>
                    <w:tr2bl w:val="nil"/>
                  </w:tcBorders>
                  <w:vAlign w:val="center"/>
                </w:tcPr>
                <w:p>
                  <w:pPr>
                    <w:adjustRightInd w:val="0"/>
                    <w:snapToGrid w:val="0"/>
                    <w:jc w:val="center"/>
                    <w:rPr>
                      <w:bCs/>
                      <w:color w:val="auto"/>
                      <w:szCs w:val="21"/>
                    </w:rPr>
                  </w:pPr>
                  <w:r>
                    <w:rPr>
                      <w:rFonts w:hint="eastAsia"/>
                      <w:bCs/>
                      <w:color w:val="auto"/>
                      <w:szCs w:val="21"/>
                    </w:rPr>
                    <w:t>8h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56" w:type="pct"/>
                  <w:tcBorders>
                    <w:tl2br w:val="nil"/>
                    <w:tr2bl w:val="nil"/>
                  </w:tcBorders>
                  <w:vAlign w:val="center"/>
                </w:tcPr>
                <w:p>
                  <w:pPr>
                    <w:adjustRightInd w:val="0"/>
                    <w:snapToGrid w:val="0"/>
                    <w:jc w:val="center"/>
                    <w:rPr>
                      <w:rFonts w:hint="eastAsia" w:eastAsia="宋体"/>
                      <w:bCs/>
                      <w:color w:val="auto"/>
                      <w:szCs w:val="21"/>
                      <w:lang w:val="en-US" w:eastAsia="zh-CN"/>
                    </w:rPr>
                  </w:pPr>
                  <w:r>
                    <w:rPr>
                      <w:rFonts w:hint="eastAsia"/>
                      <w:bCs/>
                      <w:color w:val="auto"/>
                      <w:szCs w:val="21"/>
                      <w:lang w:val="en-US" w:eastAsia="zh-CN"/>
                    </w:rPr>
                    <w:t>2</w:t>
                  </w:r>
                </w:p>
              </w:tc>
              <w:tc>
                <w:tcPr>
                  <w:tcW w:w="635" w:type="pct"/>
                  <w:tcBorders>
                    <w:tl2br w:val="nil"/>
                    <w:tr2bl w:val="nil"/>
                  </w:tcBorders>
                  <w:vAlign w:val="center"/>
                </w:tcPr>
                <w:p>
                  <w:pPr>
                    <w:adjustRightInd w:val="0"/>
                    <w:snapToGrid w:val="0"/>
                    <w:jc w:val="center"/>
                    <w:rPr>
                      <w:rFonts w:hint="eastAsia" w:eastAsia="宋体"/>
                      <w:bCs/>
                      <w:color w:val="auto"/>
                      <w:szCs w:val="21"/>
                      <w:lang w:eastAsia="zh-CN"/>
                    </w:rPr>
                  </w:pPr>
                  <w:r>
                    <w:rPr>
                      <w:rFonts w:hint="eastAsia"/>
                      <w:bCs/>
                      <w:color w:val="auto"/>
                      <w:szCs w:val="21"/>
                      <w:lang w:eastAsia="zh-CN"/>
                    </w:rPr>
                    <w:t>风机</w:t>
                  </w:r>
                </w:p>
              </w:tc>
              <w:tc>
                <w:tcPr>
                  <w:tcW w:w="383" w:type="pct"/>
                  <w:tcBorders>
                    <w:tl2br w:val="nil"/>
                    <w:tr2bl w:val="nil"/>
                  </w:tcBorders>
                  <w:vAlign w:val="center"/>
                </w:tcPr>
                <w:p>
                  <w:pPr>
                    <w:adjustRightInd w:val="0"/>
                    <w:snapToGrid w:val="0"/>
                    <w:jc w:val="center"/>
                    <w:rPr>
                      <w:rFonts w:hint="eastAsia" w:eastAsia="宋体"/>
                      <w:bCs/>
                      <w:color w:val="auto"/>
                      <w:szCs w:val="21"/>
                      <w:lang w:val="en-US" w:eastAsia="zh-CN"/>
                    </w:rPr>
                  </w:pPr>
                  <w:r>
                    <w:rPr>
                      <w:rFonts w:hint="eastAsia"/>
                      <w:bCs/>
                      <w:color w:val="auto"/>
                      <w:szCs w:val="21"/>
                      <w:lang w:val="en-US" w:eastAsia="zh-CN"/>
                    </w:rPr>
                    <w:t>/</w:t>
                  </w:r>
                </w:p>
              </w:tc>
              <w:tc>
                <w:tcPr>
                  <w:tcW w:w="1178" w:type="pct"/>
                  <w:tcBorders>
                    <w:tl2br w:val="nil"/>
                    <w:tr2bl w:val="nil"/>
                  </w:tcBorders>
                  <w:vAlign w:val="center"/>
                </w:tcPr>
                <w:p>
                  <w:pPr>
                    <w:adjustRightInd w:val="0"/>
                    <w:snapToGrid w:val="0"/>
                    <w:jc w:val="center"/>
                    <w:rPr>
                      <w:rFonts w:hint="eastAsia"/>
                      <w:color w:val="auto"/>
                      <w:szCs w:val="21"/>
                    </w:rPr>
                  </w:pPr>
                  <w:r>
                    <w:rPr>
                      <w:rFonts w:hint="eastAsia"/>
                      <w:color w:val="auto"/>
                      <w:szCs w:val="21"/>
                    </w:rPr>
                    <w:t>80/5</w:t>
                  </w:r>
                </w:p>
              </w:tc>
              <w:tc>
                <w:tcPr>
                  <w:tcW w:w="908" w:type="dxa"/>
                  <w:tcBorders>
                    <w:tl2br w:val="nil"/>
                    <w:tr2bl w:val="nil"/>
                  </w:tcBorders>
                  <w:vAlign w:val="center"/>
                </w:tcPr>
                <w:p>
                  <w:pPr>
                    <w:adjustRightInd w:val="0"/>
                    <w:snapToGrid w:val="0"/>
                    <w:jc w:val="center"/>
                    <w:rPr>
                      <w:color w:val="auto"/>
                      <w:szCs w:val="21"/>
                    </w:rPr>
                  </w:pPr>
                  <w:r>
                    <w:rPr>
                      <w:rFonts w:hint="eastAsia"/>
                      <w:bCs/>
                      <w:color w:val="auto"/>
                      <w:szCs w:val="21"/>
                    </w:rPr>
                    <w:t>-26</w:t>
                  </w:r>
                </w:p>
              </w:tc>
              <w:tc>
                <w:tcPr>
                  <w:tcW w:w="910" w:type="dxa"/>
                  <w:tcBorders>
                    <w:tl2br w:val="nil"/>
                    <w:tr2bl w:val="nil"/>
                  </w:tcBorders>
                  <w:vAlign w:val="center"/>
                </w:tcPr>
                <w:p>
                  <w:pPr>
                    <w:adjustRightInd w:val="0"/>
                    <w:snapToGrid w:val="0"/>
                    <w:jc w:val="center"/>
                    <w:rPr>
                      <w:rFonts w:hint="eastAsia"/>
                      <w:bCs/>
                      <w:color w:val="auto"/>
                      <w:szCs w:val="21"/>
                    </w:rPr>
                  </w:pPr>
                  <w:r>
                    <w:rPr>
                      <w:rFonts w:hint="eastAsia"/>
                      <w:bCs/>
                      <w:color w:val="auto"/>
                      <w:szCs w:val="21"/>
                    </w:rPr>
                    <w:t>-37</w:t>
                  </w:r>
                </w:p>
              </w:tc>
              <w:tc>
                <w:tcPr>
                  <w:tcW w:w="738" w:type="dxa"/>
                  <w:tcBorders>
                    <w:tl2br w:val="nil"/>
                    <w:tr2bl w:val="nil"/>
                  </w:tcBorders>
                  <w:vAlign w:val="center"/>
                </w:tcPr>
                <w:p>
                  <w:pPr>
                    <w:adjustRightInd w:val="0"/>
                    <w:snapToGrid w:val="0"/>
                    <w:jc w:val="center"/>
                    <w:rPr>
                      <w:rFonts w:hint="eastAsia"/>
                      <w:bCs/>
                      <w:color w:val="auto"/>
                      <w:szCs w:val="21"/>
                    </w:rPr>
                  </w:pPr>
                  <w:r>
                    <w:rPr>
                      <w:rFonts w:hint="eastAsia"/>
                      <w:bCs/>
                      <w:color w:val="auto"/>
                      <w:szCs w:val="21"/>
                    </w:rPr>
                    <w:t>1</w:t>
                  </w:r>
                </w:p>
              </w:tc>
              <w:tc>
                <w:tcPr>
                  <w:tcW w:w="888" w:type="pct"/>
                  <w:tcBorders>
                    <w:tl2br w:val="nil"/>
                    <w:tr2bl w:val="nil"/>
                  </w:tcBorders>
                  <w:vAlign w:val="center"/>
                </w:tcPr>
                <w:p>
                  <w:pPr>
                    <w:adjustRightInd w:val="0"/>
                    <w:snapToGrid w:val="0"/>
                    <w:jc w:val="center"/>
                    <w:rPr>
                      <w:rFonts w:hint="eastAsia"/>
                      <w:bCs/>
                      <w:color w:val="auto"/>
                      <w:szCs w:val="21"/>
                    </w:rPr>
                  </w:pPr>
                  <w:r>
                    <w:rPr>
                      <w:rFonts w:hint="eastAsia"/>
                      <w:color w:val="auto"/>
                      <w:szCs w:val="21"/>
                    </w:rPr>
                    <w:t>建筑隔声</w:t>
                  </w:r>
                  <w:r>
                    <w:rPr>
                      <w:color w:val="auto"/>
                      <w:szCs w:val="21"/>
                    </w:rPr>
                    <w:t>、减震垫、消声器</w:t>
                  </w:r>
                </w:p>
              </w:tc>
              <w:tc>
                <w:tcPr>
                  <w:tcW w:w="635" w:type="pct"/>
                  <w:tcBorders>
                    <w:tl2br w:val="nil"/>
                    <w:tr2bl w:val="nil"/>
                  </w:tcBorders>
                  <w:vAlign w:val="center"/>
                </w:tcPr>
                <w:p>
                  <w:pPr>
                    <w:adjustRightInd w:val="0"/>
                    <w:snapToGrid w:val="0"/>
                    <w:jc w:val="center"/>
                    <w:rPr>
                      <w:rFonts w:hint="eastAsia"/>
                      <w:bCs/>
                      <w:color w:val="auto"/>
                      <w:szCs w:val="21"/>
                    </w:rPr>
                  </w:pPr>
                  <w:r>
                    <w:rPr>
                      <w:rFonts w:hint="eastAsia"/>
                      <w:color w:val="auto"/>
                      <w:szCs w:val="21"/>
                    </w:rPr>
                    <w:t>16h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9"/>
                  <w:tcBorders>
                    <w:tl2br w:val="nil"/>
                    <w:tr2bl w:val="nil"/>
                  </w:tcBorders>
                  <w:vAlign w:val="center"/>
                </w:tcPr>
                <w:p>
                  <w:pPr>
                    <w:adjustRightInd w:val="0"/>
                    <w:snapToGrid w:val="0"/>
                    <w:rPr>
                      <w:bCs/>
                      <w:color w:val="auto"/>
                      <w:szCs w:val="21"/>
                    </w:rPr>
                  </w:pPr>
                  <w:r>
                    <w:rPr>
                      <w:rFonts w:hint="eastAsia"/>
                      <w:bCs/>
                      <w:color w:val="auto"/>
                      <w:szCs w:val="21"/>
                    </w:rPr>
                    <w:t>备注：本项目以生产厂房中心为空间相对位置坐标原点，南北走向为Y轴,东西走向为X轴，</w:t>
                  </w:r>
                </w:p>
              </w:tc>
            </w:tr>
          </w:tbl>
          <w:p>
            <w:pPr>
              <w:pStyle w:val="2"/>
              <w:snapToGrid w:val="0"/>
              <w:ind w:firstLine="480" w:firstLineChars="200"/>
              <w:rPr>
                <w:rFonts w:ascii="Times New Roman" w:cs="Times New Roman"/>
                <w:color w:val="auto"/>
              </w:rPr>
            </w:pPr>
          </w:p>
          <w:p>
            <w:pPr>
              <w:pStyle w:val="2"/>
              <w:snapToGrid w:val="0"/>
              <w:ind w:firstLine="480" w:firstLineChars="200"/>
              <w:rPr>
                <w:rFonts w:ascii="Times New Roman" w:cs="Times New Roman"/>
                <w:color w:val="auto"/>
              </w:rPr>
            </w:pPr>
            <w:r>
              <w:rPr>
                <w:rFonts w:ascii="Times New Roman" w:cs="Times New Roman"/>
                <w:color w:val="auto"/>
              </w:rPr>
              <w:t>（2）厂界及声环境保护目标达标情况</w:t>
            </w:r>
          </w:p>
          <w:p>
            <w:pPr>
              <w:adjustRightInd w:val="0"/>
              <w:snapToGrid w:val="0"/>
              <w:spacing w:line="360" w:lineRule="auto"/>
              <w:ind w:firstLine="480" w:firstLineChars="200"/>
              <w:rPr>
                <w:snapToGrid w:val="0"/>
                <w:color w:val="auto"/>
                <w:sz w:val="24"/>
              </w:rPr>
            </w:pPr>
            <w:r>
              <w:rPr>
                <w:color w:val="auto"/>
                <w:sz w:val="24"/>
              </w:rPr>
              <w:t>本评价</w:t>
            </w:r>
            <w:r>
              <w:rPr>
                <w:snapToGrid w:val="0"/>
                <w:color w:val="auto"/>
                <w:sz w:val="24"/>
              </w:rPr>
              <w:t>按照《环境影响评价技术导则 声环境》（HJ2.4－2021）中推荐的模式进行预测计算：</w:t>
            </w:r>
          </w:p>
          <w:p>
            <w:pPr>
              <w:tabs>
                <w:tab w:val="left" w:pos="3675"/>
              </w:tabs>
              <w:adjustRightInd w:val="0"/>
              <w:snapToGrid w:val="0"/>
              <w:spacing w:line="360" w:lineRule="auto"/>
              <w:ind w:firstLine="470" w:firstLineChars="196"/>
              <w:rPr>
                <w:color w:val="auto"/>
                <w:sz w:val="24"/>
              </w:rPr>
            </w:pPr>
            <w:r>
              <w:rPr>
                <w:color w:val="auto"/>
                <w:sz w:val="24"/>
              </w:rPr>
              <w:t>室内声源等效室外声源声功率级计算公式如下：</w:t>
            </w:r>
          </w:p>
          <w:p>
            <w:pPr>
              <w:pStyle w:val="2"/>
              <w:snapToGrid w:val="0"/>
              <w:ind w:firstLine="480"/>
              <w:jc w:val="center"/>
              <w:rPr>
                <w:rFonts w:ascii="Times New Roman" w:cs="Times New Roman"/>
                <w:color w:val="auto"/>
              </w:rPr>
            </w:pPr>
            <w:r>
              <w:rPr>
                <w:rFonts w:ascii="Times New Roman" w:cs="Times New Roman"/>
                <w:color w:val="auto"/>
              </w:rPr>
              <w:t>L</w:t>
            </w:r>
            <w:r>
              <w:rPr>
                <w:rFonts w:ascii="Times New Roman" w:cs="Times New Roman"/>
                <w:color w:val="auto"/>
                <w:vertAlign w:val="subscript"/>
              </w:rPr>
              <w:t>p2</w:t>
            </w:r>
            <w:r>
              <w:rPr>
                <w:rFonts w:ascii="Times New Roman" w:cs="Times New Roman"/>
                <w:color w:val="auto"/>
              </w:rPr>
              <w:t>=L</w:t>
            </w:r>
            <w:r>
              <w:rPr>
                <w:rFonts w:ascii="Times New Roman" w:cs="Times New Roman"/>
                <w:color w:val="auto"/>
                <w:vertAlign w:val="subscript"/>
              </w:rPr>
              <w:t>p1</w:t>
            </w:r>
            <w:r>
              <w:rPr>
                <w:rFonts w:ascii="Times New Roman" w:cs="Times New Roman"/>
                <w:color w:val="auto"/>
              </w:rPr>
              <w:t>-(TL+6)</w:t>
            </w:r>
          </w:p>
          <w:p>
            <w:pPr>
              <w:tabs>
                <w:tab w:val="left" w:pos="3675"/>
              </w:tabs>
              <w:adjustRightInd w:val="0"/>
              <w:snapToGrid w:val="0"/>
              <w:spacing w:line="360" w:lineRule="auto"/>
              <w:ind w:firstLine="470" w:firstLineChars="196"/>
              <w:rPr>
                <w:color w:val="auto"/>
                <w:sz w:val="24"/>
              </w:rPr>
            </w:pPr>
            <w:r>
              <w:rPr>
                <w:color w:val="auto"/>
                <w:sz w:val="24"/>
              </w:rPr>
              <w:t>式中：L</w:t>
            </w:r>
            <w:r>
              <w:rPr>
                <w:color w:val="auto"/>
                <w:sz w:val="24"/>
                <w:vertAlign w:val="subscript"/>
              </w:rPr>
              <w:t>p1</w:t>
            </w:r>
            <w:r>
              <w:rPr>
                <w:color w:val="auto"/>
                <w:sz w:val="24"/>
              </w:rPr>
              <w:t>——靠近开口处（或窗户）室内某倍频带的声压级或A声级，dB；</w:t>
            </w:r>
          </w:p>
          <w:p>
            <w:pPr>
              <w:tabs>
                <w:tab w:val="left" w:pos="3675"/>
              </w:tabs>
              <w:adjustRightInd w:val="0"/>
              <w:snapToGrid w:val="0"/>
              <w:spacing w:line="360" w:lineRule="auto"/>
              <w:ind w:firstLine="470" w:firstLineChars="196"/>
              <w:rPr>
                <w:color w:val="auto"/>
                <w:sz w:val="24"/>
              </w:rPr>
            </w:pPr>
            <w:r>
              <w:rPr>
                <w:color w:val="auto"/>
                <w:sz w:val="24"/>
              </w:rPr>
              <w:t>L</w:t>
            </w:r>
            <w:r>
              <w:rPr>
                <w:color w:val="auto"/>
                <w:sz w:val="24"/>
                <w:vertAlign w:val="subscript"/>
              </w:rPr>
              <w:t>p2</w:t>
            </w:r>
            <w:r>
              <w:rPr>
                <w:color w:val="auto"/>
                <w:sz w:val="24"/>
              </w:rPr>
              <w:t>——靠近开口处（或窗户）室外某倍频带的声压级或A声级，dB；</w:t>
            </w:r>
          </w:p>
          <w:p>
            <w:pPr>
              <w:tabs>
                <w:tab w:val="left" w:pos="3675"/>
              </w:tabs>
              <w:adjustRightInd w:val="0"/>
              <w:snapToGrid w:val="0"/>
              <w:spacing w:line="360" w:lineRule="auto"/>
              <w:ind w:firstLine="470" w:firstLineChars="196"/>
              <w:rPr>
                <w:color w:val="auto"/>
                <w:sz w:val="24"/>
              </w:rPr>
            </w:pPr>
            <w:r>
              <w:rPr>
                <w:color w:val="auto"/>
                <w:sz w:val="24"/>
              </w:rPr>
              <w:t>TL——隔墙（或窗户）倍频带或A声级的隔声量，dB，取10dB(A)。</w:t>
            </w:r>
          </w:p>
          <w:p>
            <w:pPr>
              <w:adjustRightInd w:val="0"/>
              <w:snapToGrid w:val="0"/>
              <w:spacing w:line="360" w:lineRule="auto"/>
              <w:ind w:firstLine="480" w:firstLineChars="200"/>
              <w:rPr>
                <w:snapToGrid w:val="0"/>
                <w:color w:val="auto"/>
                <w:sz w:val="24"/>
              </w:rPr>
            </w:pPr>
            <w:r>
              <w:rPr>
                <w:snapToGrid w:val="0"/>
                <w:color w:val="auto"/>
                <w:sz w:val="24"/>
              </w:rPr>
              <w:t>预测点的预测等效声级（L</w:t>
            </w:r>
            <w:r>
              <w:rPr>
                <w:snapToGrid w:val="0"/>
                <w:color w:val="auto"/>
                <w:sz w:val="24"/>
                <w:vertAlign w:val="subscript"/>
              </w:rPr>
              <w:t>eqg</w:t>
            </w:r>
            <w:r>
              <w:rPr>
                <w:snapToGrid w:val="0"/>
                <w:color w:val="auto"/>
                <w:sz w:val="24"/>
              </w:rPr>
              <w:t>）：</w:t>
            </w:r>
          </w:p>
          <w:p>
            <w:pPr>
              <w:pStyle w:val="13"/>
              <w:autoSpaceDE w:val="0"/>
              <w:autoSpaceDN w:val="0"/>
              <w:adjustRightInd w:val="0"/>
              <w:snapToGrid w:val="0"/>
              <w:spacing w:line="360" w:lineRule="auto"/>
              <w:ind w:firstLine="480"/>
              <w:jc w:val="center"/>
              <w:textAlignment w:val="baseline"/>
              <w:rPr>
                <w:rFonts w:ascii="Times New Roman" w:hAnsi="Times New Roman"/>
                <w:color w:val="auto"/>
                <w:kern w:val="0"/>
                <w:szCs w:val="24"/>
              </w:rPr>
            </w:pPr>
            <w:r>
              <w:rPr>
                <w:color w:val="auto"/>
              </w:rPr>
              <w:drawing>
                <wp:inline distT="0" distB="0" distL="0" distR="0">
                  <wp:extent cx="2593975" cy="560705"/>
                  <wp:effectExtent l="0" t="0" r="15875" b="1079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2594138" cy="560768"/>
                          </a:xfrm>
                          <a:prstGeom prst="rect">
                            <a:avLst/>
                          </a:prstGeom>
                        </pic:spPr>
                      </pic:pic>
                    </a:graphicData>
                  </a:graphic>
                </wp:inline>
              </w:drawing>
            </w:r>
          </w:p>
          <w:p>
            <w:pPr>
              <w:adjustRightInd w:val="0"/>
              <w:snapToGrid w:val="0"/>
              <w:spacing w:line="360" w:lineRule="auto"/>
              <w:ind w:firstLine="480" w:firstLineChars="200"/>
              <w:rPr>
                <w:snapToGrid w:val="0"/>
                <w:color w:val="auto"/>
                <w:sz w:val="24"/>
              </w:rPr>
            </w:pPr>
            <w:r>
              <w:rPr>
                <w:rFonts w:hint="eastAsia"/>
                <w:snapToGrid w:val="0"/>
                <w:color w:val="auto"/>
                <w:sz w:val="24"/>
              </w:rPr>
              <w:t>式中：L</w:t>
            </w:r>
            <w:r>
              <w:rPr>
                <w:rFonts w:hint="eastAsia"/>
                <w:snapToGrid w:val="0"/>
                <w:color w:val="auto"/>
                <w:sz w:val="24"/>
                <w:vertAlign w:val="subscript"/>
              </w:rPr>
              <w:t>eqg</w:t>
            </w:r>
            <w:r>
              <w:rPr>
                <w:rFonts w:hint="eastAsia"/>
                <w:snapToGrid w:val="0"/>
                <w:color w:val="auto"/>
                <w:sz w:val="24"/>
              </w:rPr>
              <w:t>——建设项目声源在预测点产生的噪声贡献值，dB（A）；</w:t>
            </w:r>
          </w:p>
          <w:p>
            <w:pPr>
              <w:adjustRightInd w:val="0"/>
              <w:snapToGrid w:val="0"/>
              <w:spacing w:line="360" w:lineRule="auto"/>
              <w:ind w:firstLine="480" w:firstLineChars="200"/>
              <w:rPr>
                <w:snapToGrid w:val="0"/>
                <w:color w:val="auto"/>
                <w:sz w:val="24"/>
              </w:rPr>
            </w:pPr>
            <w:r>
              <w:rPr>
                <w:rFonts w:hint="eastAsia"/>
                <w:snapToGrid w:val="0"/>
                <w:color w:val="auto"/>
                <w:sz w:val="24"/>
              </w:rPr>
              <w:t xml:space="preserve">      </w:t>
            </w:r>
            <w:r>
              <w:rPr>
                <w:snapToGrid w:val="0"/>
                <w:color w:val="auto"/>
                <w:sz w:val="24"/>
              </w:rPr>
              <w:t>T</w:t>
            </w:r>
            <w:r>
              <w:rPr>
                <w:rFonts w:hint="eastAsia"/>
                <w:snapToGrid w:val="0"/>
                <w:color w:val="auto"/>
                <w:sz w:val="24"/>
              </w:rPr>
              <w:t>——用于计算等效声级的时间，</w:t>
            </w:r>
            <w:r>
              <w:rPr>
                <w:snapToGrid w:val="0"/>
                <w:color w:val="auto"/>
                <w:sz w:val="24"/>
              </w:rPr>
              <w:t>s</w:t>
            </w:r>
            <w:r>
              <w:rPr>
                <w:rFonts w:hint="eastAsia"/>
                <w:snapToGrid w:val="0"/>
                <w:color w:val="auto"/>
                <w:sz w:val="24"/>
              </w:rPr>
              <w:t>；</w:t>
            </w:r>
          </w:p>
          <w:p>
            <w:pPr>
              <w:adjustRightInd w:val="0"/>
              <w:snapToGrid w:val="0"/>
              <w:spacing w:line="360" w:lineRule="auto"/>
              <w:ind w:firstLine="1200" w:firstLineChars="500"/>
              <w:rPr>
                <w:snapToGrid w:val="0"/>
                <w:color w:val="auto"/>
                <w:sz w:val="24"/>
              </w:rPr>
            </w:pPr>
            <w:r>
              <w:rPr>
                <w:snapToGrid w:val="0"/>
                <w:color w:val="auto"/>
                <w:sz w:val="24"/>
              </w:rPr>
              <w:t>N</w:t>
            </w:r>
            <w:r>
              <w:rPr>
                <w:rFonts w:hint="eastAsia"/>
                <w:snapToGrid w:val="0"/>
                <w:color w:val="auto"/>
                <w:sz w:val="24"/>
              </w:rPr>
              <w:t>——室外声源个数；</w:t>
            </w:r>
          </w:p>
          <w:p>
            <w:pPr>
              <w:adjustRightInd w:val="0"/>
              <w:snapToGrid w:val="0"/>
              <w:spacing w:line="360" w:lineRule="auto"/>
              <w:ind w:firstLine="1200" w:firstLineChars="500"/>
              <w:rPr>
                <w:snapToGrid w:val="0"/>
                <w:color w:val="auto"/>
                <w:sz w:val="24"/>
              </w:rPr>
            </w:pPr>
            <w:r>
              <w:rPr>
                <w:snapToGrid w:val="0"/>
                <w:color w:val="auto"/>
                <w:sz w:val="24"/>
              </w:rPr>
              <w:t>t</w:t>
            </w:r>
            <w:r>
              <w:rPr>
                <w:rFonts w:hint="eastAsia"/>
                <w:snapToGrid w:val="0"/>
                <w:color w:val="auto"/>
                <w:sz w:val="24"/>
                <w:vertAlign w:val="subscript"/>
              </w:rPr>
              <w:t>i</w:t>
            </w:r>
            <w:r>
              <w:rPr>
                <w:rFonts w:hint="eastAsia"/>
                <w:snapToGrid w:val="0"/>
                <w:color w:val="auto"/>
                <w:sz w:val="24"/>
              </w:rPr>
              <w:t>——在T时间</w:t>
            </w:r>
            <w:r>
              <w:rPr>
                <w:snapToGrid w:val="0"/>
                <w:color w:val="auto"/>
                <w:sz w:val="24"/>
              </w:rPr>
              <w:t>内i声源工作时间</w:t>
            </w:r>
            <w:r>
              <w:rPr>
                <w:rFonts w:hint="eastAsia"/>
                <w:snapToGrid w:val="0"/>
                <w:color w:val="auto"/>
                <w:sz w:val="24"/>
              </w:rPr>
              <w:t>；</w:t>
            </w:r>
          </w:p>
          <w:p>
            <w:pPr>
              <w:adjustRightInd w:val="0"/>
              <w:snapToGrid w:val="0"/>
              <w:spacing w:line="360" w:lineRule="auto"/>
              <w:ind w:firstLine="1200" w:firstLineChars="500"/>
              <w:rPr>
                <w:snapToGrid w:val="0"/>
                <w:color w:val="auto"/>
                <w:sz w:val="24"/>
              </w:rPr>
            </w:pPr>
            <w:r>
              <w:rPr>
                <w:snapToGrid w:val="0"/>
                <w:color w:val="auto"/>
                <w:sz w:val="24"/>
              </w:rPr>
              <w:t>M</w:t>
            </w:r>
            <w:r>
              <w:rPr>
                <w:rFonts w:hint="eastAsia"/>
                <w:snapToGrid w:val="0"/>
                <w:color w:val="auto"/>
                <w:sz w:val="24"/>
              </w:rPr>
              <w:t>——等效室外声源个数；</w:t>
            </w:r>
          </w:p>
          <w:p>
            <w:pPr>
              <w:adjustRightInd w:val="0"/>
              <w:snapToGrid w:val="0"/>
              <w:spacing w:line="360" w:lineRule="auto"/>
              <w:ind w:firstLine="1200" w:firstLineChars="500"/>
              <w:rPr>
                <w:snapToGrid w:val="0"/>
                <w:color w:val="auto"/>
                <w:sz w:val="24"/>
              </w:rPr>
            </w:pPr>
            <w:r>
              <w:rPr>
                <w:snapToGrid w:val="0"/>
                <w:color w:val="auto"/>
                <w:sz w:val="24"/>
              </w:rPr>
              <w:t>t</w:t>
            </w:r>
            <w:r>
              <w:rPr>
                <w:snapToGrid w:val="0"/>
                <w:color w:val="auto"/>
                <w:sz w:val="24"/>
                <w:vertAlign w:val="subscript"/>
              </w:rPr>
              <w:t>j</w:t>
            </w:r>
            <w:r>
              <w:rPr>
                <w:rFonts w:hint="eastAsia"/>
                <w:snapToGrid w:val="0"/>
                <w:color w:val="auto"/>
                <w:sz w:val="24"/>
              </w:rPr>
              <w:t>——在T时间</w:t>
            </w:r>
            <w:r>
              <w:rPr>
                <w:snapToGrid w:val="0"/>
                <w:color w:val="auto"/>
                <w:sz w:val="24"/>
              </w:rPr>
              <w:t>内j声源工作时间</w:t>
            </w:r>
            <w:r>
              <w:rPr>
                <w:rFonts w:hint="eastAsia"/>
                <w:snapToGrid w:val="0"/>
                <w:color w:val="auto"/>
                <w:sz w:val="24"/>
              </w:rPr>
              <w:t>。</w:t>
            </w:r>
          </w:p>
          <w:p>
            <w:pPr>
              <w:adjustRightInd w:val="0"/>
              <w:snapToGrid w:val="0"/>
              <w:spacing w:line="360" w:lineRule="auto"/>
              <w:ind w:firstLine="480" w:firstLineChars="200"/>
              <w:rPr>
                <w:snapToGrid w:val="0"/>
                <w:color w:val="auto"/>
                <w:sz w:val="24"/>
              </w:rPr>
            </w:pPr>
            <w:r>
              <w:rPr>
                <w:rFonts w:hint="eastAsia"/>
                <w:snapToGrid w:val="0"/>
                <w:color w:val="auto"/>
                <w:sz w:val="24"/>
              </w:rPr>
              <w:t>预测点的预测等效声级（L</w:t>
            </w:r>
            <w:r>
              <w:rPr>
                <w:rFonts w:hint="eastAsia"/>
                <w:snapToGrid w:val="0"/>
                <w:color w:val="auto"/>
                <w:sz w:val="24"/>
                <w:vertAlign w:val="subscript"/>
              </w:rPr>
              <w:t>eq</w:t>
            </w:r>
            <w:r>
              <w:rPr>
                <w:snapToGrid w:val="0"/>
                <w:color w:val="auto"/>
                <w:sz w:val="24"/>
                <w:vertAlign w:val="subscript"/>
              </w:rPr>
              <w:t>g</w:t>
            </w:r>
            <w:r>
              <w:rPr>
                <w:rFonts w:hint="eastAsia"/>
                <w:snapToGrid w:val="0"/>
                <w:color w:val="auto"/>
                <w:sz w:val="24"/>
              </w:rPr>
              <w:t>）：</w:t>
            </w:r>
          </w:p>
          <w:p>
            <w:pPr>
              <w:pStyle w:val="13"/>
              <w:autoSpaceDE w:val="0"/>
              <w:autoSpaceDN w:val="0"/>
              <w:adjustRightInd w:val="0"/>
              <w:snapToGrid w:val="0"/>
              <w:spacing w:line="360" w:lineRule="auto"/>
              <w:ind w:firstLine="480"/>
              <w:jc w:val="center"/>
              <w:textAlignment w:val="baseline"/>
              <w:rPr>
                <w:rFonts w:ascii="Times New Roman" w:hAnsi="Times New Roman"/>
                <w:color w:val="auto"/>
                <w:kern w:val="0"/>
                <w:szCs w:val="24"/>
              </w:rPr>
            </w:pPr>
            <w:r>
              <w:rPr>
                <w:rFonts w:ascii="Times New Roman" w:hAnsi="Times New Roman"/>
                <w:color w:val="auto"/>
                <w:kern w:val="0"/>
                <w:szCs w:val="24"/>
              </w:rPr>
              <w:object>
                <v:shape id="_x0000_i1032" o:spt="75" type="#_x0000_t75" style="height:26.25pt;width:199.9pt;" o:ole="t" filled="f" o:preferrelative="t" stroked="f" coordsize="21600,21600">
                  <v:path/>
                  <v:fill on="f" focussize="0,0"/>
                  <v:stroke on="f" joinstyle="miter"/>
                  <v:imagedata r:id="rId23" o:title=""/>
                  <o:lock v:ext="edit" aspectratio="t"/>
                  <w10:wrap type="none"/>
                  <w10:anchorlock/>
                </v:shape>
                <o:OLEObject Type="Embed" ProgID="Equation.3" ShapeID="_x0000_i1032" DrawAspect="Content" ObjectID="_1468075732" r:id="rId22">
                  <o:LockedField>false</o:LockedField>
                </o:OLEObject>
              </w:object>
            </w:r>
          </w:p>
          <w:p>
            <w:pPr>
              <w:adjustRightInd w:val="0"/>
              <w:snapToGrid w:val="0"/>
              <w:spacing w:line="360" w:lineRule="auto"/>
              <w:ind w:firstLine="480" w:firstLineChars="200"/>
              <w:rPr>
                <w:snapToGrid w:val="0"/>
                <w:color w:val="auto"/>
                <w:sz w:val="24"/>
              </w:rPr>
            </w:pPr>
            <w:r>
              <w:rPr>
                <w:rFonts w:hint="eastAsia"/>
                <w:snapToGrid w:val="0"/>
                <w:color w:val="auto"/>
                <w:sz w:val="24"/>
              </w:rPr>
              <w:t>式中：L</w:t>
            </w:r>
            <w:r>
              <w:rPr>
                <w:rFonts w:hint="eastAsia"/>
                <w:snapToGrid w:val="0"/>
                <w:color w:val="auto"/>
                <w:sz w:val="24"/>
                <w:vertAlign w:val="subscript"/>
              </w:rPr>
              <w:t>eqg</w:t>
            </w:r>
            <w:r>
              <w:rPr>
                <w:rFonts w:hint="eastAsia"/>
                <w:snapToGrid w:val="0"/>
                <w:color w:val="auto"/>
                <w:sz w:val="24"/>
              </w:rPr>
              <w:t>——建设项目声源在预测点产生的噪声贡献值，dB（A）；</w:t>
            </w:r>
          </w:p>
          <w:p>
            <w:pPr>
              <w:adjustRightInd w:val="0"/>
              <w:snapToGrid w:val="0"/>
              <w:spacing w:line="360" w:lineRule="auto"/>
              <w:ind w:firstLine="480" w:firstLineChars="200"/>
              <w:rPr>
                <w:snapToGrid w:val="0"/>
                <w:color w:val="auto"/>
                <w:sz w:val="24"/>
              </w:rPr>
            </w:pPr>
            <w:r>
              <w:rPr>
                <w:rFonts w:hint="eastAsia"/>
                <w:snapToGrid w:val="0"/>
                <w:color w:val="auto"/>
                <w:sz w:val="24"/>
              </w:rPr>
              <w:t xml:space="preserve">      L</w:t>
            </w:r>
            <w:r>
              <w:rPr>
                <w:rFonts w:hint="eastAsia"/>
                <w:snapToGrid w:val="0"/>
                <w:color w:val="auto"/>
                <w:sz w:val="24"/>
                <w:vertAlign w:val="subscript"/>
              </w:rPr>
              <w:t>eqb</w:t>
            </w:r>
            <w:r>
              <w:rPr>
                <w:rFonts w:hint="eastAsia"/>
                <w:snapToGrid w:val="0"/>
                <w:color w:val="auto"/>
                <w:sz w:val="24"/>
              </w:rPr>
              <w:t>——预测点的背景噪声值，dB（A）。</w:t>
            </w:r>
          </w:p>
          <w:p>
            <w:pPr>
              <w:autoSpaceDE w:val="0"/>
              <w:autoSpaceDN w:val="0"/>
              <w:adjustRightInd w:val="0"/>
              <w:snapToGrid w:val="0"/>
              <w:spacing w:line="360" w:lineRule="auto"/>
              <w:ind w:firstLine="480" w:firstLineChars="200"/>
              <w:rPr>
                <w:color w:val="auto"/>
              </w:rPr>
            </w:pPr>
            <w:r>
              <w:rPr>
                <w:color w:val="auto"/>
                <w:sz w:val="24"/>
              </w:rPr>
              <w:t>本项</w:t>
            </w:r>
            <w:r>
              <w:rPr>
                <w:rFonts w:hint="eastAsia"/>
                <w:color w:val="auto"/>
                <w:sz w:val="24"/>
              </w:rPr>
              <w:t>主要</w:t>
            </w:r>
            <w:r>
              <w:rPr>
                <w:color w:val="auto"/>
                <w:sz w:val="24"/>
              </w:rPr>
              <w:t>生产设备均置于厂房内，未露天安置，其噪声源强降低，主要采用建筑隔声</w:t>
            </w:r>
            <w:r>
              <w:rPr>
                <w:rFonts w:hint="eastAsia"/>
                <w:color w:val="auto"/>
                <w:sz w:val="24"/>
              </w:rPr>
              <w:t>、设置减震垫</w:t>
            </w:r>
            <w:r>
              <w:rPr>
                <w:color w:val="auto"/>
                <w:sz w:val="24"/>
              </w:rPr>
              <w:t>措施降噪；废气处理设施的风机设置在生产厂房屋顶，</w:t>
            </w:r>
            <w:r>
              <w:rPr>
                <w:rFonts w:hint="eastAsia"/>
                <w:color w:val="auto"/>
                <w:sz w:val="24"/>
              </w:rPr>
              <w:t>制冷设备设置在西侧厂界</w:t>
            </w:r>
            <w:r>
              <w:rPr>
                <w:color w:val="auto"/>
                <w:sz w:val="24"/>
              </w:rPr>
              <w:t>主要通过设置隔声罩、设备安装减震垫</w:t>
            </w:r>
            <w:r>
              <w:rPr>
                <w:rFonts w:hint="eastAsia"/>
                <w:color w:val="auto"/>
                <w:sz w:val="24"/>
              </w:rPr>
              <w:t>等措施降噪</w:t>
            </w:r>
            <w:r>
              <w:rPr>
                <w:color w:val="auto"/>
                <w:sz w:val="24"/>
              </w:rPr>
              <w:t>，可使噪声在车间内得到有效控制，噪声值可降低15～20dB（A）。各侧厂界处的噪声值见表4.</w:t>
            </w:r>
            <w:r>
              <w:rPr>
                <w:rFonts w:hint="eastAsia"/>
                <w:color w:val="auto"/>
                <w:sz w:val="24"/>
              </w:rPr>
              <w:t>1</w:t>
            </w:r>
            <w:r>
              <w:rPr>
                <w:rFonts w:hint="eastAsia"/>
                <w:color w:val="auto"/>
                <w:sz w:val="24"/>
                <w:lang w:val="en-US" w:eastAsia="zh-CN"/>
              </w:rPr>
              <w:t>4</w:t>
            </w:r>
            <w:r>
              <w:rPr>
                <w:color w:val="auto"/>
                <w:sz w:val="24"/>
              </w:rPr>
              <w:t>。</w:t>
            </w:r>
          </w:p>
          <w:p>
            <w:pPr>
              <w:autoSpaceDE w:val="0"/>
              <w:autoSpaceDN w:val="0"/>
              <w:adjustRightInd w:val="0"/>
              <w:snapToGrid w:val="0"/>
              <w:spacing w:line="360" w:lineRule="auto"/>
              <w:jc w:val="center"/>
              <w:rPr>
                <w:color w:val="auto"/>
                <w:sz w:val="21"/>
                <w:szCs w:val="21"/>
              </w:rPr>
            </w:pPr>
            <w:r>
              <w:rPr>
                <w:color w:val="auto"/>
                <w:sz w:val="21"/>
                <w:szCs w:val="21"/>
              </w:rPr>
              <w:t>表4.</w:t>
            </w:r>
            <w:r>
              <w:rPr>
                <w:rFonts w:hint="eastAsia"/>
                <w:color w:val="auto"/>
                <w:sz w:val="21"/>
                <w:szCs w:val="21"/>
              </w:rPr>
              <w:t>1</w:t>
            </w:r>
            <w:r>
              <w:rPr>
                <w:rFonts w:hint="eastAsia"/>
                <w:color w:val="auto"/>
                <w:sz w:val="21"/>
                <w:szCs w:val="21"/>
                <w:lang w:val="en-US" w:eastAsia="zh-CN"/>
              </w:rPr>
              <w:t>4</w:t>
            </w:r>
            <w:r>
              <w:rPr>
                <w:rFonts w:hint="eastAsia"/>
                <w:color w:val="auto"/>
                <w:sz w:val="21"/>
                <w:szCs w:val="21"/>
              </w:rPr>
              <w:t xml:space="preserve"> </w:t>
            </w:r>
            <w:r>
              <w:rPr>
                <w:color w:val="auto"/>
                <w:sz w:val="21"/>
                <w:szCs w:val="21"/>
              </w:rPr>
              <w:t>各侧昼间厂界噪声</w:t>
            </w:r>
            <w:r>
              <w:rPr>
                <w:rFonts w:hint="eastAsia"/>
                <w:color w:val="auto"/>
                <w:sz w:val="21"/>
                <w:szCs w:val="21"/>
              </w:rPr>
              <w:t>达标情况</w:t>
            </w:r>
            <w:r>
              <w:rPr>
                <w:color w:val="auto"/>
                <w:sz w:val="21"/>
                <w:szCs w:val="21"/>
              </w:rPr>
              <w:t xml:space="preserve"> 单位：dB（A）</w:t>
            </w:r>
          </w:p>
          <w:tbl>
            <w:tblPr>
              <w:tblStyle w:val="22"/>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895"/>
              <w:gridCol w:w="4268"/>
              <w:gridCol w:w="43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557" w:type="pct"/>
                  <w:tcBorders>
                    <w:top w:val="single" w:color="auto" w:sz="4" w:space="0"/>
                    <w:left w:val="nil"/>
                    <w:bottom w:val="single" w:color="auto" w:sz="4" w:space="0"/>
                    <w:right w:val="single" w:color="auto" w:sz="4" w:space="0"/>
                  </w:tcBorders>
                  <w:vAlign w:val="center"/>
                </w:tcPr>
                <w:p>
                  <w:pPr>
                    <w:autoSpaceDE w:val="0"/>
                    <w:autoSpaceDN w:val="0"/>
                    <w:adjustRightInd w:val="0"/>
                    <w:snapToGrid w:val="0"/>
                    <w:jc w:val="center"/>
                    <w:rPr>
                      <w:color w:val="auto"/>
                      <w:szCs w:val="21"/>
                    </w:rPr>
                  </w:pPr>
                  <w:r>
                    <w:rPr>
                      <w:color w:val="auto"/>
                      <w:szCs w:val="21"/>
                    </w:rPr>
                    <w:t>厂界</w:t>
                  </w:r>
                </w:p>
              </w:tc>
              <w:tc>
                <w:tcPr>
                  <w:tcW w:w="170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auto"/>
                      <w:szCs w:val="21"/>
                    </w:rPr>
                  </w:pPr>
                  <w:r>
                    <w:rPr>
                      <w:color w:val="auto"/>
                      <w:szCs w:val="21"/>
                    </w:rPr>
                    <w:t>厂界噪声</w:t>
                  </w:r>
                </w:p>
              </w:tc>
              <w:tc>
                <w:tcPr>
                  <w:tcW w:w="1737" w:type="pct"/>
                  <w:tcBorders>
                    <w:top w:val="single" w:color="auto" w:sz="4" w:space="0"/>
                    <w:left w:val="single" w:color="auto" w:sz="4" w:space="0"/>
                    <w:bottom w:val="single" w:color="auto" w:sz="4" w:space="0"/>
                    <w:right w:val="nil"/>
                  </w:tcBorders>
                  <w:vAlign w:val="center"/>
                </w:tcPr>
                <w:p>
                  <w:pPr>
                    <w:autoSpaceDE w:val="0"/>
                    <w:autoSpaceDN w:val="0"/>
                    <w:adjustRightInd w:val="0"/>
                    <w:snapToGrid w:val="0"/>
                    <w:jc w:val="center"/>
                    <w:rPr>
                      <w:color w:val="auto"/>
                      <w:szCs w:val="21"/>
                    </w:rPr>
                  </w:pPr>
                  <w:r>
                    <w:rPr>
                      <w:rFonts w:hint="eastAsia"/>
                      <w:color w:val="auto"/>
                      <w:szCs w:val="21"/>
                    </w:rPr>
                    <w:t>达标情况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57" w:type="pct"/>
                  <w:tcBorders>
                    <w:top w:val="single" w:color="auto" w:sz="4" w:space="0"/>
                    <w:left w:val="nil"/>
                    <w:bottom w:val="single" w:color="auto" w:sz="4" w:space="0"/>
                    <w:right w:val="single" w:color="auto" w:sz="4" w:space="0"/>
                  </w:tcBorders>
                  <w:vAlign w:val="center"/>
                </w:tcPr>
                <w:p>
                  <w:pPr>
                    <w:autoSpaceDE w:val="0"/>
                    <w:autoSpaceDN w:val="0"/>
                    <w:adjustRightInd w:val="0"/>
                    <w:snapToGrid w:val="0"/>
                    <w:jc w:val="center"/>
                    <w:rPr>
                      <w:color w:val="auto"/>
                      <w:szCs w:val="21"/>
                    </w:rPr>
                  </w:pPr>
                  <w:r>
                    <w:rPr>
                      <w:color w:val="auto"/>
                      <w:szCs w:val="21"/>
                    </w:rPr>
                    <w:t>北面厂界</w:t>
                  </w:r>
                </w:p>
              </w:tc>
              <w:tc>
                <w:tcPr>
                  <w:tcW w:w="170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49.5</w:t>
                  </w:r>
                </w:p>
              </w:tc>
              <w:tc>
                <w:tcPr>
                  <w:tcW w:w="1737" w:type="pct"/>
                  <w:vMerge w:val="restart"/>
                  <w:tcBorders>
                    <w:top w:val="single" w:color="auto" w:sz="4" w:space="0"/>
                    <w:left w:val="single" w:color="auto" w:sz="4" w:space="0"/>
                    <w:bottom w:val="single" w:color="auto" w:sz="4" w:space="0"/>
                    <w:right w:val="nil"/>
                  </w:tcBorders>
                  <w:vAlign w:val="center"/>
                </w:tcPr>
                <w:p>
                  <w:pPr>
                    <w:autoSpaceDE w:val="0"/>
                    <w:autoSpaceDN w:val="0"/>
                    <w:adjustRightInd w:val="0"/>
                    <w:snapToGrid w:val="0"/>
                    <w:jc w:val="center"/>
                    <w:rPr>
                      <w:color w:val="auto"/>
                      <w:szCs w:val="21"/>
                    </w:rPr>
                  </w:pPr>
                  <w:r>
                    <w:rPr>
                      <w:rFonts w:hint="eastAsia"/>
                      <w:color w:val="auto"/>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557" w:type="pct"/>
                  <w:tcBorders>
                    <w:top w:val="single" w:color="auto" w:sz="4" w:space="0"/>
                    <w:left w:val="nil"/>
                    <w:bottom w:val="single" w:color="auto" w:sz="4" w:space="0"/>
                    <w:right w:val="single" w:color="auto" w:sz="4" w:space="0"/>
                  </w:tcBorders>
                  <w:vAlign w:val="center"/>
                </w:tcPr>
                <w:p>
                  <w:pPr>
                    <w:autoSpaceDE w:val="0"/>
                    <w:autoSpaceDN w:val="0"/>
                    <w:adjustRightInd w:val="0"/>
                    <w:snapToGrid w:val="0"/>
                    <w:jc w:val="center"/>
                    <w:rPr>
                      <w:color w:val="auto"/>
                      <w:szCs w:val="21"/>
                    </w:rPr>
                  </w:pPr>
                  <w:r>
                    <w:rPr>
                      <w:color w:val="auto"/>
                      <w:szCs w:val="21"/>
                    </w:rPr>
                    <w:t>南面厂界</w:t>
                  </w:r>
                </w:p>
              </w:tc>
              <w:tc>
                <w:tcPr>
                  <w:tcW w:w="170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50.3</w:t>
                  </w:r>
                </w:p>
              </w:tc>
              <w:tc>
                <w:tcPr>
                  <w:tcW w:w="0" w:type="auto"/>
                  <w:vMerge w:val="continue"/>
                  <w:tcBorders>
                    <w:top w:val="single" w:color="auto" w:sz="4" w:space="0"/>
                    <w:left w:val="single" w:color="auto" w:sz="4" w:space="0"/>
                    <w:bottom w:val="single" w:color="auto" w:sz="4" w:space="0"/>
                    <w:right w:val="nil"/>
                  </w:tcBorders>
                  <w:vAlign w:val="center"/>
                </w:tcPr>
                <w:p>
                  <w:pPr>
                    <w:widowControl/>
                    <w:jc w:val="left"/>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557" w:type="pct"/>
                  <w:tcBorders>
                    <w:top w:val="single" w:color="auto" w:sz="4" w:space="0"/>
                    <w:left w:val="nil"/>
                    <w:bottom w:val="single" w:color="auto" w:sz="4" w:space="0"/>
                    <w:right w:val="single" w:color="auto" w:sz="4" w:space="0"/>
                  </w:tcBorders>
                  <w:vAlign w:val="center"/>
                </w:tcPr>
                <w:p>
                  <w:pPr>
                    <w:autoSpaceDE w:val="0"/>
                    <w:autoSpaceDN w:val="0"/>
                    <w:adjustRightInd w:val="0"/>
                    <w:snapToGrid w:val="0"/>
                    <w:jc w:val="center"/>
                    <w:rPr>
                      <w:color w:val="auto"/>
                      <w:szCs w:val="21"/>
                    </w:rPr>
                  </w:pPr>
                  <w:r>
                    <w:rPr>
                      <w:color w:val="auto"/>
                      <w:szCs w:val="21"/>
                    </w:rPr>
                    <w:t>西面厂界</w:t>
                  </w:r>
                </w:p>
              </w:tc>
              <w:tc>
                <w:tcPr>
                  <w:tcW w:w="170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52.8</w:t>
                  </w:r>
                </w:p>
              </w:tc>
              <w:tc>
                <w:tcPr>
                  <w:tcW w:w="0" w:type="auto"/>
                  <w:vMerge w:val="continue"/>
                  <w:tcBorders>
                    <w:top w:val="single" w:color="auto" w:sz="4" w:space="0"/>
                    <w:left w:val="single" w:color="auto" w:sz="4" w:space="0"/>
                    <w:bottom w:val="single" w:color="auto" w:sz="4" w:space="0"/>
                    <w:right w:val="nil"/>
                  </w:tcBorders>
                  <w:vAlign w:val="center"/>
                </w:tcPr>
                <w:p>
                  <w:pPr>
                    <w:widowControl/>
                    <w:jc w:val="left"/>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557" w:type="pct"/>
                  <w:tcBorders>
                    <w:top w:val="single" w:color="auto" w:sz="4" w:space="0"/>
                    <w:left w:val="nil"/>
                    <w:bottom w:val="single" w:color="auto" w:sz="4" w:space="0"/>
                    <w:right w:val="single" w:color="auto" w:sz="4" w:space="0"/>
                  </w:tcBorders>
                  <w:vAlign w:val="center"/>
                </w:tcPr>
                <w:p>
                  <w:pPr>
                    <w:autoSpaceDE w:val="0"/>
                    <w:autoSpaceDN w:val="0"/>
                    <w:adjustRightInd w:val="0"/>
                    <w:snapToGrid w:val="0"/>
                    <w:jc w:val="center"/>
                    <w:rPr>
                      <w:color w:val="auto"/>
                      <w:szCs w:val="21"/>
                    </w:rPr>
                  </w:pPr>
                  <w:r>
                    <w:rPr>
                      <w:color w:val="auto"/>
                      <w:szCs w:val="21"/>
                    </w:rPr>
                    <w:t>东面厂界</w:t>
                  </w:r>
                </w:p>
              </w:tc>
              <w:tc>
                <w:tcPr>
                  <w:tcW w:w="1706"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color w:val="auto"/>
                      <w:szCs w:val="21"/>
                      <w:highlight w:val="none"/>
                    </w:rPr>
                  </w:pPr>
                  <w:r>
                    <w:rPr>
                      <w:rFonts w:hint="eastAsia"/>
                      <w:color w:val="auto"/>
                      <w:szCs w:val="21"/>
                      <w:highlight w:val="none"/>
                    </w:rPr>
                    <w:t>47.1</w:t>
                  </w:r>
                </w:p>
              </w:tc>
              <w:tc>
                <w:tcPr>
                  <w:tcW w:w="0" w:type="auto"/>
                  <w:vMerge w:val="continue"/>
                  <w:tcBorders>
                    <w:top w:val="single" w:color="auto" w:sz="4" w:space="0"/>
                    <w:left w:val="single" w:color="auto" w:sz="4" w:space="0"/>
                    <w:bottom w:val="single" w:color="auto" w:sz="4" w:space="0"/>
                    <w:right w:val="nil"/>
                  </w:tcBorders>
                  <w:vAlign w:val="center"/>
                </w:tcPr>
                <w:p>
                  <w:pPr>
                    <w:widowControl/>
                    <w:jc w:val="left"/>
                    <w:rPr>
                      <w:color w:val="auto"/>
                      <w:szCs w:val="21"/>
                    </w:rPr>
                  </w:pPr>
                </w:p>
              </w:tc>
            </w:tr>
          </w:tbl>
          <w:p>
            <w:pPr>
              <w:adjustRightInd w:val="0"/>
              <w:snapToGrid w:val="0"/>
              <w:spacing w:line="360" w:lineRule="auto"/>
              <w:ind w:firstLine="480" w:firstLineChars="200"/>
              <w:rPr>
                <w:color w:val="auto"/>
                <w:sz w:val="24"/>
              </w:rPr>
            </w:pPr>
            <w:r>
              <w:rPr>
                <w:color w:val="auto"/>
                <w:sz w:val="24"/>
              </w:rPr>
              <w:t>由表4.</w:t>
            </w:r>
            <w:r>
              <w:rPr>
                <w:rFonts w:hint="eastAsia"/>
                <w:color w:val="auto"/>
                <w:sz w:val="24"/>
              </w:rPr>
              <w:t>13</w:t>
            </w:r>
            <w:r>
              <w:rPr>
                <w:color w:val="auto"/>
                <w:sz w:val="24"/>
              </w:rPr>
              <w:t>可知：本项目产生的设备噪声在采用隔声、减振等措施后，昼间厂界噪声满足《工业企业厂界环境噪声排放标准》（GB12348-2008）中3类标准的要求。</w:t>
            </w:r>
          </w:p>
          <w:p>
            <w:pPr>
              <w:pStyle w:val="2"/>
              <w:snapToGrid w:val="0"/>
              <w:ind w:firstLine="480" w:firstLineChars="200"/>
              <w:rPr>
                <w:rFonts w:ascii="Times New Roman" w:cs="Times New Roman"/>
                <w:color w:val="auto"/>
              </w:rPr>
            </w:pPr>
            <w:r>
              <w:rPr>
                <w:rFonts w:ascii="Times New Roman" w:cs="Times New Roman"/>
                <w:color w:val="auto"/>
              </w:rPr>
              <w:t>②声环境保护目标达标情况</w:t>
            </w:r>
          </w:p>
          <w:p>
            <w:pPr>
              <w:pStyle w:val="2"/>
              <w:ind w:firstLine="480" w:firstLineChars="200"/>
              <w:rPr>
                <w:rFonts w:ascii="Times New Roman" w:cs="Times New Roman"/>
                <w:color w:val="auto"/>
              </w:rPr>
            </w:pPr>
            <w:r>
              <w:rPr>
                <w:rFonts w:ascii="Times New Roman" w:cs="Times New Roman"/>
                <w:color w:val="auto"/>
              </w:rPr>
              <w:t>本项目周边50m范围内均为工业企业，无居民、医院、学校等声环境保护目标，因此本评价不开展声环境保护目标达标分析。</w:t>
            </w:r>
          </w:p>
          <w:p>
            <w:pPr>
              <w:pStyle w:val="2"/>
              <w:ind w:firstLine="480" w:firstLineChars="200"/>
              <w:rPr>
                <w:rFonts w:ascii="Times New Roman" w:cs="Times New Roman"/>
                <w:color w:val="auto"/>
              </w:rPr>
            </w:pPr>
            <w:r>
              <w:rPr>
                <w:rFonts w:ascii="Times New Roman" w:cs="Times New Roman"/>
                <w:color w:val="auto"/>
              </w:rPr>
              <w:t>（3）噪声监测要求</w:t>
            </w:r>
          </w:p>
          <w:p>
            <w:pPr>
              <w:widowControl/>
              <w:spacing w:line="360" w:lineRule="auto"/>
              <w:ind w:firstLine="480" w:firstLineChars="200"/>
              <w:jc w:val="left"/>
              <w:rPr>
                <w:color w:val="auto"/>
                <w:sz w:val="24"/>
              </w:rPr>
            </w:pPr>
            <w:r>
              <w:rPr>
                <w:color w:val="auto"/>
                <w:sz w:val="24"/>
              </w:rPr>
              <w:t>根据《排污单位自行监测技术指南—</w:t>
            </w:r>
            <w:r>
              <w:rPr>
                <w:rFonts w:hint="eastAsia"/>
                <w:color w:val="auto"/>
                <w:sz w:val="24"/>
              </w:rPr>
              <w:t>总则</w:t>
            </w:r>
            <w:r>
              <w:rPr>
                <w:color w:val="auto"/>
                <w:sz w:val="24"/>
              </w:rPr>
              <w:t>》(HJ</w:t>
            </w:r>
            <w:r>
              <w:rPr>
                <w:rFonts w:hint="eastAsia"/>
                <w:color w:val="auto"/>
                <w:sz w:val="24"/>
              </w:rPr>
              <w:t>819</w:t>
            </w:r>
            <w:r>
              <w:rPr>
                <w:color w:val="auto"/>
                <w:sz w:val="24"/>
              </w:rPr>
              <w:t>-20</w:t>
            </w:r>
            <w:r>
              <w:rPr>
                <w:rFonts w:hint="eastAsia"/>
                <w:color w:val="auto"/>
                <w:sz w:val="24"/>
              </w:rPr>
              <w:t>17</w:t>
            </w:r>
            <w:r>
              <w:rPr>
                <w:color w:val="auto"/>
                <w:sz w:val="24"/>
              </w:rPr>
              <w:t>)</w:t>
            </w:r>
            <w:r>
              <w:rPr>
                <w:rFonts w:hint="eastAsia"/>
                <w:color w:val="auto"/>
                <w:sz w:val="24"/>
              </w:rPr>
              <w:t>，结合</w:t>
            </w:r>
            <w:r>
              <w:rPr>
                <w:color w:val="auto"/>
                <w:sz w:val="24"/>
              </w:rPr>
              <w:t>《排污许可证申请与核发技术规范—</w:t>
            </w:r>
            <w:r>
              <w:rPr>
                <w:rFonts w:hint="eastAsia"/>
                <w:color w:val="auto"/>
                <w:sz w:val="24"/>
              </w:rPr>
              <w:t>汽车制造业</w:t>
            </w:r>
            <w:r>
              <w:rPr>
                <w:color w:val="auto"/>
                <w:sz w:val="24"/>
              </w:rPr>
              <w:t>》（HJ861-2017）提出如下噪声监测要求，详见表4.</w:t>
            </w:r>
            <w:r>
              <w:rPr>
                <w:rFonts w:hint="eastAsia"/>
                <w:color w:val="auto"/>
                <w:sz w:val="24"/>
              </w:rPr>
              <w:t>1</w:t>
            </w:r>
            <w:r>
              <w:rPr>
                <w:rFonts w:hint="eastAsia"/>
                <w:color w:val="auto"/>
                <w:sz w:val="24"/>
                <w:lang w:val="en-US" w:eastAsia="zh-CN"/>
              </w:rPr>
              <w:t>5</w:t>
            </w:r>
            <w:r>
              <w:rPr>
                <w:color w:val="auto"/>
                <w:sz w:val="24"/>
              </w:rPr>
              <w:t>。</w:t>
            </w:r>
          </w:p>
          <w:p>
            <w:pPr>
              <w:adjustRightInd w:val="0"/>
              <w:snapToGrid w:val="0"/>
              <w:spacing w:line="360" w:lineRule="auto"/>
              <w:jc w:val="center"/>
              <w:rPr>
                <w:color w:val="auto"/>
                <w:sz w:val="21"/>
                <w:szCs w:val="21"/>
              </w:rPr>
            </w:pPr>
            <w:r>
              <w:rPr>
                <w:color w:val="auto"/>
                <w:sz w:val="21"/>
                <w:szCs w:val="21"/>
              </w:rPr>
              <w:t>表4.</w:t>
            </w:r>
            <w:r>
              <w:rPr>
                <w:rFonts w:hint="eastAsia"/>
                <w:color w:val="auto"/>
                <w:sz w:val="21"/>
                <w:szCs w:val="21"/>
              </w:rPr>
              <w:t>1</w:t>
            </w:r>
            <w:r>
              <w:rPr>
                <w:rFonts w:hint="eastAsia"/>
                <w:color w:val="auto"/>
                <w:sz w:val="21"/>
                <w:szCs w:val="21"/>
                <w:lang w:val="en-US" w:eastAsia="zh-CN"/>
              </w:rPr>
              <w:t>5</w:t>
            </w:r>
            <w:r>
              <w:rPr>
                <w:color w:val="auto"/>
                <w:sz w:val="21"/>
                <w:szCs w:val="21"/>
              </w:rPr>
              <w:t xml:space="preserve"> </w:t>
            </w:r>
            <w:r>
              <w:rPr>
                <w:rFonts w:hint="eastAsia"/>
                <w:color w:val="auto"/>
                <w:sz w:val="21"/>
                <w:szCs w:val="21"/>
              </w:rPr>
              <w:t>噪声例行</w:t>
            </w:r>
            <w:r>
              <w:rPr>
                <w:color w:val="auto"/>
                <w:sz w:val="21"/>
                <w:szCs w:val="21"/>
              </w:rPr>
              <w:t>监测要求一览表</w:t>
            </w:r>
          </w:p>
          <w:tbl>
            <w:tblPr>
              <w:tblStyle w:val="22"/>
              <w:tblW w:w="4998" w:type="pct"/>
              <w:tblInd w:w="0"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671"/>
              <w:gridCol w:w="1796"/>
              <w:gridCol w:w="2016"/>
              <w:gridCol w:w="1626"/>
              <w:gridCol w:w="5395"/>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668" w:type="pct"/>
                  <w:tcBorders>
                    <w:top w:val="single" w:color="auto" w:sz="6" w:space="0"/>
                    <w:left w:val="nil"/>
                    <w:bottom w:val="single" w:color="auto" w:sz="6" w:space="0"/>
                    <w:right w:val="single" w:color="auto" w:sz="6" w:space="0"/>
                  </w:tcBorders>
                  <w:vAlign w:val="center"/>
                </w:tcPr>
                <w:p>
                  <w:pPr>
                    <w:adjustRightInd w:val="0"/>
                    <w:snapToGrid w:val="0"/>
                    <w:jc w:val="center"/>
                    <w:rPr>
                      <w:color w:val="auto"/>
                      <w:szCs w:val="21"/>
                    </w:rPr>
                  </w:pPr>
                  <w:r>
                    <w:rPr>
                      <w:color w:val="auto"/>
                      <w:szCs w:val="21"/>
                    </w:rPr>
                    <w:t>污染物</w:t>
                  </w:r>
                </w:p>
                <w:p>
                  <w:pPr>
                    <w:adjustRightInd w:val="0"/>
                    <w:snapToGrid w:val="0"/>
                    <w:jc w:val="center"/>
                    <w:rPr>
                      <w:color w:val="auto"/>
                      <w:szCs w:val="21"/>
                    </w:rPr>
                  </w:pPr>
                  <w:r>
                    <w:rPr>
                      <w:color w:val="auto"/>
                      <w:szCs w:val="21"/>
                    </w:rPr>
                    <w:t>类型</w:t>
                  </w:r>
                </w:p>
              </w:tc>
              <w:tc>
                <w:tcPr>
                  <w:tcW w:w="718"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Cs w:val="21"/>
                    </w:rPr>
                  </w:pPr>
                  <w:r>
                    <w:rPr>
                      <w:color w:val="auto"/>
                      <w:szCs w:val="21"/>
                    </w:rPr>
                    <w:t>监测点位</w:t>
                  </w:r>
                </w:p>
              </w:tc>
              <w:tc>
                <w:tcPr>
                  <w:tcW w:w="806"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Cs w:val="21"/>
                    </w:rPr>
                  </w:pPr>
                  <w:r>
                    <w:rPr>
                      <w:color w:val="auto"/>
                      <w:szCs w:val="21"/>
                    </w:rPr>
                    <w:t>监测指标</w:t>
                  </w:r>
                </w:p>
              </w:tc>
              <w:tc>
                <w:tcPr>
                  <w:tcW w:w="650" w:type="pct"/>
                  <w:tcBorders>
                    <w:top w:val="single" w:color="auto" w:sz="6" w:space="0"/>
                    <w:left w:val="single" w:color="auto" w:sz="6" w:space="0"/>
                    <w:bottom w:val="single" w:color="auto" w:sz="6" w:space="0"/>
                    <w:right w:val="nil"/>
                  </w:tcBorders>
                  <w:vAlign w:val="center"/>
                </w:tcPr>
                <w:p>
                  <w:pPr>
                    <w:adjustRightInd w:val="0"/>
                    <w:snapToGrid w:val="0"/>
                    <w:jc w:val="center"/>
                    <w:rPr>
                      <w:color w:val="auto"/>
                      <w:szCs w:val="21"/>
                    </w:rPr>
                  </w:pPr>
                  <w:r>
                    <w:rPr>
                      <w:color w:val="auto"/>
                      <w:szCs w:val="21"/>
                    </w:rPr>
                    <w:t>监测频次</w:t>
                  </w:r>
                </w:p>
              </w:tc>
              <w:tc>
                <w:tcPr>
                  <w:tcW w:w="2156" w:type="pct"/>
                  <w:tcBorders>
                    <w:top w:val="single" w:color="auto" w:sz="6" w:space="0"/>
                    <w:left w:val="single" w:color="auto" w:sz="6" w:space="0"/>
                    <w:bottom w:val="single" w:color="auto" w:sz="6" w:space="0"/>
                    <w:right w:val="nil"/>
                  </w:tcBorders>
                  <w:vAlign w:val="center"/>
                </w:tcPr>
                <w:p>
                  <w:pPr>
                    <w:adjustRightInd w:val="0"/>
                    <w:snapToGrid w:val="0"/>
                    <w:jc w:val="center"/>
                    <w:rPr>
                      <w:color w:val="auto"/>
                      <w:szCs w:val="21"/>
                    </w:rPr>
                  </w:pPr>
                  <w:r>
                    <w:rPr>
                      <w:color w:val="auto"/>
                      <w:szCs w:val="21"/>
                    </w:rPr>
                    <w:t>执行标准</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 w:hRule="atLeast"/>
              </w:trPr>
              <w:tc>
                <w:tcPr>
                  <w:tcW w:w="668" w:type="pct"/>
                  <w:tcBorders>
                    <w:top w:val="single" w:color="auto" w:sz="4" w:space="0"/>
                    <w:left w:val="nil"/>
                    <w:bottom w:val="single" w:color="auto" w:sz="6" w:space="0"/>
                    <w:right w:val="single" w:color="auto" w:sz="6" w:space="0"/>
                  </w:tcBorders>
                  <w:vAlign w:val="center"/>
                </w:tcPr>
                <w:p>
                  <w:pPr>
                    <w:adjustRightInd w:val="0"/>
                    <w:snapToGrid w:val="0"/>
                    <w:jc w:val="center"/>
                    <w:rPr>
                      <w:color w:val="auto"/>
                      <w:szCs w:val="21"/>
                    </w:rPr>
                  </w:pPr>
                  <w:r>
                    <w:rPr>
                      <w:rFonts w:hint="eastAsia"/>
                      <w:color w:val="auto"/>
                      <w:szCs w:val="21"/>
                    </w:rPr>
                    <w:t>厂界</w:t>
                  </w:r>
                  <w:r>
                    <w:rPr>
                      <w:color w:val="auto"/>
                      <w:szCs w:val="21"/>
                    </w:rPr>
                    <w:t>噪声</w:t>
                  </w:r>
                </w:p>
              </w:tc>
              <w:tc>
                <w:tcPr>
                  <w:tcW w:w="718" w:type="pct"/>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color w:val="auto"/>
                      <w:szCs w:val="21"/>
                    </w:rPr>
                  </w:pPr>
                  <w:r>
                    <w:rPr>
                      <w:color w:val="auto"/>
                      <w:szCs w:val="21"/>
                    </w:rPr>
                    <w:t>厂界周围外1m</w:t>
                  </w:r>
                </w:p>
              </w:tc>
              <w:tc>
                <w:tcPr>
                  <w:tcW w:w="806"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Cs w:val="21"/>
                    </w:rPr>
                  </w:pPr>
                  <w:r>
                    <w:rPr>
                      <w:color w:val="auto"/>
                      <w:szCs w:val="21"/>
                    </w:rPr>
                    <w:t>等效连续</w:t>
                  </w:r>
                </w:p>
                <w:p>
                  <w:pPr>
                    <w:adjustRightInd w:val="0"/>
                    <w:snapToGrid w:val="0"/>
                    <w:jc w:val="center"/>
                    <w:rPr>
                      <w:color w:val="auto"/>
                      <w:szCs w:val="21"/>
                    </w:rPr>
                  </w:pPr>
                  <w:r>
                    <w:rPr>
                      <w:color w:val="auto"/>
                      <w:szCs w:val="21"/>
                    </w:rPr>
                    <w:t>A声级</w:t>
                  </w:r>
                </w:p>
              </w:tc>
              <w:tc>
                <w:tcPr>
                  <w:tcW w:w="650" w:type="pct"/>
                  <w:tcBorders>
                    <w:top w:val="single" w:color="auto" w:sz="6" w:space="0"/>
                    <w:left w:val="single" w:color="auto" w:sz="6" w:space="0"/>
                    <w:bottom w:val="single" w:color="auto" w:sz="6" w:space="0"/>
                    <w:right w:val="nil"/>
                  </w:tcBorders>
                  <w:vAlign w:val="center"/>
                </w:tcPr>
                <w:p>
                  <w:pPr>
                    <w:adjustRightInd w:val="0"/>
                    <w:snapToGrid w:val="0"/>
                    <w:jc w:val="center"/>
                    <w:rPr>
                      <w:color w:val="auto"/>
                      <w:szCs w:val="21"/>
                    </w:rPr>
                  </w:pPr>
                  <w:r>
                    <w:rPr>
                      <w:color w:val="auto"/>
                      <w:szCs w:val="21"/>
                    </w:rPr>
                    <w:t>1季度</w:t>
                  </w:r>
                </w:p>
              </w:tc>
              <w:tc>
                <w:tcPr>
                  <w:tcW w:w="2156" w:type="pct"/>
                  <w:tcBorders>
                    <w:top w:val="single" w:color="auto" w:sz="6" w:space="0"/>
                    <w:left w:val="single" w:color="auto" w:sz="6" w:space="0"/>
                    <w:bottom w:val="single" w:color="auto" w:sz="6" w:space="0"/>
                    <w:right w:val="nil"/>
                  </w:tcBorders>
                  <w:vAlign w:val="center"/>
                </w:tcPr>
                <w:p>
                  <w:pPr>
                    <w:adjustRightInd w:val="0"/>
                    <w:snapToGrid w:val="0"/>
                    <w:jc w:val="center"/>
                    <w:rPr>
                      <w:color w:val="auto"/>
                      <w:szCs w:val="21"/>
                    </w:rPr>
                  </w:pPr>
                  <w:r>
                    <w:rPr>
                      <w:color w:val="auto"/>
                      <w:szCs w:val="21"/>
                    </w:rPr>
                    <w:t>《工业企业厂界环境噪声排放标准》（GB12348-2008）中的3类</w:t>
                  </w:r>
                </w:p>
              </w:tc>
            </w:tr>
          </w:tbl>
          <w:p>
            <w:pPr>
              <w:adjustRightInd w:val="0"/>
              <w:snapToGrid w:val="0"/>
              <w:spacing w:line="360" w:lineRule="auto"/>
              <w:jc w:val="center"/>
              <w:rPr>
                <w:color w:val="auto"/>
                <w:sz w:val="24"/>
              </w:rPr>
            </w:pPr>
          </w:p>
          <w:p>
            <w:pPr>
              <w:adjustRightInd w:val="0"/>
              <w:snapToGrid w:val="0"/>
              <w:spacing w:line="360" w:lineRule="auto"/>
              <w:jc w:val="center"/>
              <w:rPr>
                <w:color w:val="auto"/>
                <w:sz w:val="24"/>
              </w:rPr>
            </w:pPr>
          </w:p>
          <w:p>
            <w:pPr>
              <w:pStyle w:val="2"/>
              <w:rPr>
                <w:color w:val="auto"/>
              </w:rPr>
            </w:pPr>
          </w:p>
          <w:p>
            <w:pPr>
              <w:pStyle w:val="3"/>
              <w:rPr>
                <w:color w:val="auto"/>
              </w:rPr>
            </w:pPr>
          </w:p>
          <w:p>
            <w:pPr>
              <w:rPr>
                <w:color w:val="auto"/>
                <w:sz w:val="24"/>
              </w:rPr>
            </w:pPr>
          </w:p>
          <w:p>
            <w:pPr>
              <w:pStyle w:val="2"/>
              <w:rPr>
                <w:color w:val="auto"/>
              </w:rPr>
            </w:pPr>
          </w:p>
          <w:p>
            <w:pPr>
              <w:pStyle w:val="3"/>
              <w:rPr>
                <w:color w:val="auto"/>
              </w:rPr>
            </w:pPr>
          </w:p>
          <w:p>
            <w:pPr>
              <w:rPr>
                <w:color w:val="auto"/>
                <w:sz w:val="24"/>
              </w:rPr>
            </w:pPr>
          </w:p>
          <w:p>
            <w:pPr>
              <w:pStyle w:val="2"/>
              <w:rPr>
                <w:color w:val="auto"/>
              </w:rPr>
            </w:pPr>
          </w:p>
          <w:p>
            <w:pPr>
              <w:pStyle w:val="3"/>
              <w:rPr>
                <w:color w:val="auto"/>
              </w:rPr>
            </w:pPr>
          </w:p>
          <w:p>
            <w:pPr>
              <w:rPr>
                <w:color w:val="auto"/>
                <w:sz w:val="24"/>
              </w:rPr>
            </w:pPr>
          </w:p>
          <w:p>
            <w:pPr>
              <w:pStyle w:val="2"/>
              <w:rPr>
                <w:color w:val="auto"/>
              </w:rPr>
            </w:pPr>
          </w:p>
          <w:p>
            <w:pPr>
              <w:pStyle w:val="3"/>
              <w:rPr>
                <w:color w:val="auto"/>
              </w:rPr>
            </w:pPr>
          </w:p>
          <w:p>
            <w:pPr>
              <w:rPr>
                <w:color w:val="auto"/>
              </w:rPr>
            </w:pPr>
          </w:p>
          <w:p>
            <w:pPr>
              <w:tabs>
                <w:tab w:val="left" w:pos="1535"/>
              </w:tabs>
              <w:snapToGrid w:val="0"/>
              <w:spacing w:line="360" w:lineRule="auto"/>
              <w:ind w:firstLine="480"/>
              <w:rPr>
                <w:color w:val="auto"/>
                <w:sz w:val="24"/>
              </w:rPr>
            </w:pPr>
          </w:p>
        </w:tc>
      </w:tr>
    </w:tbl>
    <w:p>
      <w:pPr>
        <w:pStyle w:val="19"/>
        <w:adjustRightInd w:val="0"/>
        <w:snapToGrid w:val="0"/>
        <w:spacing w:before="0" w:beforeAutospacing="0" w:after="0" w:afterAutospacing="0"/>
        <w:jc w:val="both"/>
        <w:rPr>
          <w:rFonts w:cs="宋体"/>
          <w:color w:val="auto"/>
          <w:sz w:val="21"/>
          <w:szCs w:val="21"/>
        </w:rPr>
        <w:sectPr>
          <w:pgSz w:w="16838" w:h="11905" w:orient="landscape"/>
          <w:pgMar w:top="1531" w:right="1701" w:bottom="1531" w:left="2126" w:header="851" w:footer="850" w:gutter="0"/>
          <w:pgBorders>
            <w:top w:val="none" w:sz="0" w:space="0"/>
            <w:left w:val="none" w:sz="0" w:space="0"/>
            <w:bottom w:val="none" w:sz="0" w:space="0"/>
            <w:right w:val="none" w:sz="0" w:space="0"/>
          </w:pgBorders>
          <w:cols w:space="0" w:num="1"/>
          <w:docGrid w:linePitch="312" w:charSpace="0"/>
        </w:sectPr>
      </w:pPr>
    </w:p>
    <w:tbl>
      <w:tblPr>
        <w:tblStyle w:val="22"/>
        <w:tblW w:w="51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87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9" w:hRule="atLeast"/>
          <w:jc w:val="center"/>
        </w:trPr>
        <w:tc>
          <w:tcPr>
            <w:tcW w:w="324" w:type="pct"/>
            <w:tcMar>
              <w:left w:w="28" w:type="dxa"/>
              <w:right w:w="28" w:type="dxa"/>
            </w:tcMar>
            <w:vAlign w:val="center"/>
          </w:tcPr>
          <w:p>
            <w:pPr>
              <w:adjustRightInd w:val="0"/>
              <w:snapToGrid w:val="0"/>
              <w:jc w:val="center"/>
              <w:rPr>
                <w:rFonts w:ascii="宋体" w:hAnsi="宋体" w:cs="宋体"/>
                <w:bCs/>
                <w:color w:val="auto"/>
                <w:szCs w:val="21"/>
              </w:rPr>
            </w:pPr>
            <w:r>
              <w:rPr>
                <w:rFonts w:hint="eastAsia" w:ascii="宋体" w:hAnsi="宋体" w:cs="宋体"/>
                <w:bCs/>
                <w:color w:val="auto"/>
                <w:szCs w:val="21"/>
              </w:rPr>
              <w:t>运营</w:t>
            </w:r>
          </w:p>
          <w:p>
            <w:pPr>
              <w:adjustRightInd w:val="0"/>
              <w:snapToGrid w:val="0"/>
              <w:jc w:val="center"/>
              <w:rPr>
                <w:rFonts w:ascii="宋体" w:hAnsi="宋体" w:cs="宋体"/>
                <w:bCs/>
                <w:color w:val="auto"/>
                <w:szCs w:val="21"/>
              </w:rPr>
            </w:pPr>
            <w:r>
              <w:rPr>
                <w:rFonts w:hint="eastAsia" w:ascii="宋体" w:hAnsi="宋体" w:cs="宋体"/>
                <w:bCs/>
                <w:color w:val="auto"/>
                <w:szCs w:val="21"/>
              </w:rPr>
              <w:t>期环</w:t>
            </w:r>
          </w:p>
          <w:p>
            <w:pPr>
              <w:adjustRightInd w:val="0"/>
              <w:snapToGrid w:val="0"/>
              <w:jc w:val="center"/>
              <w:rPr>
                <w:rFonts w:ascii="宋体" w:hAnsi="宋体" w:cs="宋体"/>
                <w:bCs/>
                <w:color w:val="auto"/>
                <w:szCs w:val="21"/>
              </w:rPr>
            </w:pPr>
            <w:r>
              <w:rPr>
                <w:rFonts w:hint="eastAsia" w:ascii="宋体" w:hAnsi="宋体" w:cs="宋体"/>
                <w:bCs/>
                <w:color w:val="auto"/>
                <w:szCs w:val="21"/>
              </w:rPr>
              <w:t>境影</w:t>
            </w:r>
          </w:p>
          <w:p>
            <w:pPr>
              <w:adjustRightInd w:val="0"/>
              <w:snapToGrid w:val="0"/>
              <w:jc w:val="center"/>
              <w:rPr>
                <w:rFonts w:ascii="宋体" w:hAnsi="宋体" w:cs="宋体"/>
                <w:bCs/>
                <w:color w:val="auto"/>
                <w:szCs w:val="21"/>
              </w:rPr>
            </w:pPr>
            <w:r>
              <w:rPr>
                <w:rFonts w:hint="eastAsia" w:ascii="宋体" w:hAnsi="宋体" w:cs="宋体"/>
                <w:bCs/>
                <w:color w:val="auto"/>
                <w:szCs w:val="21"/>
              </w:rPr>
              <w:t>响和</w:t>
            </w:r>
          </w:p>
          <w:p>
            <w:pPr>
              <w:adjustRightInd w:val="0"/>
              <w:snapToGrid w:val="0"/>
              <w:jc w:val="center"/>
              <w:rPr>
                <w:rFonts w:ascii="宋体" w:hAnsi="宋体" w:cs="宋体"/>
                <w:bCs/>
                <w:color w:val="auto"/>
                <w:szCs w:val="21"/>
              </w:rPr>
            </w:pPr>
            <w:r>
              <w:rPr>
                <w:rFonts w:hint="eastAsia" w:ascii="宋体" w:hAnsi="宋体" w:cs="宋体"/>
                <w:bCs/>
                <w:color w:val="auto"/>
                <w:szCs w:val="21"/>
              </w:rPr>
              <w:t>保护</w:t>
            </w:r>
          </w:p>
          <w:p>
            <w:pPr>
              <w:adjustRightInd w:val="0"/>
              <w:snapToGrid w:val="0"/>
              <w:jc w:val="center"/>
              <w:rPr>
                <w:rFonts w:ascii="宋体" w:hAnsi="宋体" w:cs="宋体"/>
                <w:bCs/>
                <w:color w:val="auto"/>
                <w:szCs w:val="21"/>
              </w:rPr>
            </w:pPr>
            <w:r>
              <w:rPr>
                <w:rFonts w:hint="eastAsia" w:ascii="宋体" w:hAnsi="宋体" w:cs="宋体"/>
                <w:bCs/>
                <w:color w:val="auto"/>
                <w:szCs w:val="21"/>
              </w:rPr>
              <w:t>措施</w:t>
            </w:r>
          </w:p>
        </w:tc>
        <w:tc>
          <w:tcPr>
            <w:tcW w:w="4675" w:type="pct"/>
          </w:tcPr>
          <w:p>
            <w:pPr>
              <w:adjustRightInd w:val="0"/>
              <w:snapToGrid w:val="0"/>
              <w:spacing w:line="360" w:lineRule="auto"/>
              <w:rPr>
                <w:rFonts w:hint="default" w:eastAsia="宋体"/>
                <w:b/>
                <w:bCs/>
                <w:color w:val="auto"/>
                <w:sz w:val="24"/>
                <w:highlight w:val="yellow"/>
                <w:lang w:val="en-US" w:eastAsia="zh-CN"/>
              </w:rPr>
            </w:pPr>
            <w:r>
              <w:rPr>
                <w:b/>
                <w:bCs/>
                <w:color w:val="auto"/>
                <w:sz w:val="24"/>
              </w:rPr>
              <w:t>4.固体废物</w:t>
            </w:r>
          </w:p>
          <w:p>
            <w:pPr>
              <w:adjustRightInd w:val="0"/>
              <w:snapToGrid w:val="0"/>
              <w:spacing w:line="360" w:lineRule="auto"/>
              <w:ind w:firstLine="480" w:firstLineChars="200"/>
              <w:rPr>
                <w:color w:val="auto"/>
                <w:sz w:val="24"/>
              </w:rPr>
            </w:pPr>
            <w:r>
              <w:rPr>
                <w:color w:val="auto"/>
                <w:sz w:val="24"/>
              </w:rPr>
              <w:t>（1）固体</w:t>
            </w:r>
            <w:r>
              <w:rPr>
                <w:rFonts w:hint="eastAsia"/>
                <w:color w:val="auto"/>
                <w:sz w:val="24"/>
              </w:rPr>
              <w:t>废物</w:t>
            </w:r>
            <w:r>
              <w:rPr>
                <w:color w:val="auto"/>
                <w:sz w:val="24"/>
              </w:rPr>
              <w:t>产生及处置情况</w:t>
            </w:r>
          </w:p>
          <w:p>
            <w:pPr>
              <w:adjustRightInd w:val="0"/>
              <w:snapToGrid w:val="0"/>
              <w:spacing w:line="360" w:lineRule="auto"/>
              <w:ind w:firstLine="480" w:firstLineChars="200"/>
              <w:rPr>
                <w:color w:val="auto"/>
                <w:sz w:val="24"/>
              </w:rPr>
            </w:pPr>
            <w:r>
              <w:rPr>
                <w:rFonts w:hint="eastAsia"/>
                <w:color w:val="auto"/>
                <w:sz w:val="24"/>
                <w:lang w:eastAsia="zh-CN"/>
              </w:rPr>
              <w:t>扩建项目</w:t>
            </w:r>
            <w:r>
              <w:rPr>
                <w:color w:val="auto"/>
                <w:sz w:val="24"/>
              </w:rPr>
              <w:t>产生的固体废物主要为</w:t>
            </w:r>
            <w:r>
              <w:rPr>
                <w:rFonts w:hint="eastAsia"/>
                <w:color w:val="auto"/>
                <w:sz w:val="24"/>
              </w:rPr>
              <w:t>废胶粘剂桶、废机油、</w:t>
            </w:r>
            <w:r>
              <w:rPr>
                <w:rFonts w:hint="eastAsia"/>
                <w:color w:val="auto"/>
                <w:sz w:val="24"/>
                <w:lang w:eastAsia="zh-CN"/>
              </w:rPr>
              <w:t>废</w:t>
            </w:r>
            <w:r>
              <w:rPr>
                <w:rFonts w:hint="eastAsia"/>
                <w:color w:val="auto"/>
                <w:sz w:val="24"/>
                <w:lang w:val="en-US" w:eastAsia="zh-CN"/>
              </w:rPr>
              <w:t>UV灯管、</w:t>
            </w:r>
            <w:r>
              <w:rPr>
                <w:rFonts w:hint="eastAsia"/>
                <w:color w:val="auto"/>
                <w:sz w:val="24"/>
              </w:rPr>
              <w:t>废活性炭、废弃的</w:t>
            </w:r>
            <w:r>
              <w:rPr>
                <w:color w:val="auto"/>
                <w:sz w:val="24"/>
              </w:rPr>
              <w:t>含油抹布、劳保用品</w:t>
            </w:r>
            <w:r>
              <w:rPr>
                <w:rFonts w:hint="eastAsia"/>
                <w:color w:val="auto"/>
                <w:sz w:val="24"/>
              </w:rPr>
              <w:t>、</w:t>
            </w:r>
            <w:r>
              <w:rPr>
                <w:rFonts w:hint="eastAsia"/>
                <w:color w:val="auto"/>
                <w:sz w:val="24"/>
                <w:lang w:eastAsia="zh-CN"/>
              </w:rPr>
              <w:t>废包装、</w:t>
            </w:r>
            <w:r>
              <w:rPr>
                <w:rFonts w:hint="eastAsia"/>
                <w:color w:val="auto"/>
                <w:sz w:val="24"/>
              </w:rPr>
              <w:t>生活垃圾以及餐厨垃圾，其中废胶粘剂桶、废机油、</w:t>
            </w:r>
            <w:r>
              <w:rPr>
                <w:rFonts w:hint="eastAsia"/>
                <w:color w:val="auto"/>
                <w:sz w:val="24"/>
                <w:lang w:eastAsia="zh-CN"/>
              </w:rPr>
              <w:t>废</w:t>
            </w:r>
            <w:r>
              <w:rPr>
                <w:rFonts w:hint="eastAsia"/>
                <w:color w:val="auto"/>
                <w:sz w:val="24"/>
                <w:lang w:val="en-US" w:eastAsia="zh-CN"/>
              </w:rPr>
              <w:t>UV灯管、</w:t>
            </w:r>
            <w:r>
              <w:rPr>
                <w:rFonts w:hint="eastAsia"/>
                <w:color w:val="auto"/>
                <w:sz w:val="24"/>
              </w:rPr>
              <w:t>废活性炭、废弃的</w:t>
            </w:r>
            <w:r>
              <w:rPr>
                <w:color w:val="auto"/>
                <w:sz w:val="24"/>
              </w:rPr>
              <w:t>含油抹布、劳保用品</w:t>
            </w:r>
            <w:r>
              <w:rPr>
                <w:rFonts w:hint="eastAsia"/>
                <w:color w:val="auto"/>
                <w:sz w:val="24"/>
              </w:rPr>
              <w:t>属于危险废物。</w:t>
            </w:r>
          </w:p>
          <w:p>
            <w:pPr>
              <w:adjustRightInd w:val="0"/>
              <w:snapToGrid w:val="0"/>
              <w:spacing w:line="360" w:lineRule="auto"/>
              <w:ind w:firstLine="480" w:firstLineChars="200"/>
              <w:rPr>
                <w:rFonts w:hint="eastAsia" w:eastAsia="宋体"/>
                <w:color w:val="auto"/>
                <w:sz w:val="24"/>
                <w:highlight w:val="none"/>
                <w:lang w:eastAsia="zh-CN"/>
              </w:rPr>
            </w:pPr>
            <w:r>
              <w:rPr>
                <w:rFonts w:hint="eastAsia"/>
                <w:color w:val="auto"/>
                <w:sz w:val="24"/>
                <w:lang w:eastAsia="zh-CN"/>
              </w:rPr>
              <w:t>废包装：</w:t>
            </w:r>
            <w:r>
              <w:rPr>
                <w:rFonts w:hint="eastAsia" w:ascii="Times New Roman" w:hAnsi="Times New Roman" w:cs="Times New Roman"/>
                <w:color w:val="auto"/>
                <w:sz w:val="24"/>
                <w:szCs w:val="24"/>
                <w:lang w:eastAsia="zh-CN"/>
              </w:rPr>
              <w:t>扩建项目</w:t>
            </w:r>
            <w:r>
              <w:rPr>
                <w:rFonts w:hint="eastAsia" w:cs="宋体"/>
                <w:color w:val="auto"/>
                <w:sz w:val="24"/>
                <w:highlight w:val="none"/>
              </w:rPr>
              <w:t>塑料颗粒使用量约</w:t>
            </w:r>
            <w:r>
              <w:rPr>
                <w:rFonts w:hint="eastAsia" w:cs="宋体"/>
                <w:color w:val="auto"/>
                <w:sz w:val="24"/>
                <w:highlight w:val="none"/>
                <w:lang w:val="en-US" w:eastAsia="zh-CN"/>
              </w:rPr>
              <w:t>2430</w:t>
            </w:r>
            <w:r>
              <w:rPr>
                <w:rFonts w:hint="eastAsia" w:cs="宋体"/>
                <w:color w:val="auto"/>
                <w:sz w:val="24"/>
                <w:highlight w:val="none"/>
              </w:rPr>
              <w:t>袋/a，每个包装袋重量按100g计，则废包装产生量为</w:t>
            </w:r>
            <w:r>
              <w:rPr>
                <w:rFonts w:hint="eastAsia" w:cs="宋体"/>
                <w:color w:val="auto"/>
                <w:sz w:val="24"/>
                <w:highlight w:val="none"/>
                <w:lang w:val="en-US" w:eastAsia="zh-CN"/>
              </w:rPr>
              <w:t>0.24</w:t>
            </w:r>
            <w:r>
              <w:rPr>
                <w:rFonts w:hint="eastAsia" w:cs="宋体"/>
                <w:color w:val="auto"/>
                <w:sz w:val="24"/>
                <w:highlight w:val="none"/>
              </w:rPr>
              <w:t>t/a</w:t>
            </w:r>
            <w:r>
              <w:rPr>
                <w:rFonts w:hint="eastAsia"/>
                <w:color w:val="auto"/>
                <w:kern w:val="0"/>
                <w:sz w:val="24"/>
                <w:highlight w:val="none"/>
              </w:rPr>
              <w:t>。</w:t>
            </w:r>
          </w:p>
          <w:p>
            <w:pPr>
              <w:adjustRightInd w:val="0"/>
              <w:snapToGrid w:val="0"/>
              <w:spacing w:line="360" w:lineRule="auto"/>
              <w:ind w:firstLine="480" w:firstLineChars="200"/>
              <w:rPr>
                <w:rFonts w:hint="default" w:ascii="Times New Roman" w:hAnsi="Times New Roman" w:cs="Times New Roman"/>
                <w:color w:val="auto"/>
                <w:sz w:val="24"/>
              </w:rPr>
            </w:pPr>
            <w:r>
              <w:rPr>
                <w:rFonts w:hint="eastAsia"/>
                <w:color w:val="auto"/>
                <w:sz w:val="24"/>
              </w:rPr>
              <w:t>废胶</w:t>
            </w:r>
            <w:r>
              <w:rPr>
                <w:rFonts w:hint="default" w:ascii="Times New Roman" w:hAnsi="Times New Roman" w:cs="Times New Roman"/>
                <w:color w:val="auto"/>
                <w:sz w:val="24"/>
              </w:rPr>
              <w:t>粘剂桶：由表2.7分析可知，</w:t>
            </w:r>
            <w:r>
              <w:rPr>
                <w:rFonts w:hint="default" w:ascii="Times New Roman" w:hAnsi="Times New Roman" w:cs="Times New Roman"/>
                <w:color w:val="auto"/>
                <w:sz w:val="24"/>
                <w:szCs w:val="24"/>
                <w:lang w:eastAsia="zh-CN"/>
              </w:rPr>
              <w:t>扩建项目</w:t>
            </w:r>
            <w:r>
              <w:rPr>
                <w:rFonts w:hint="default" w:ascii="Times New Roman" w:hAnsi="Times New Roman" w:cs="Times New Roman"/>
                <w:color w:val="auto"/>
                <w:sz w:val="24"/>
              </w:rPr>
              <w:t>胶粘剂用量为</w:t>
            </w:r>
            <w:r>
              <w:rPr>
                <w:rFonts w:hint="default" w:ascii="Times New Roman" w:hAnsi="Times New Roman" w:cs="Times New Roman"/>
                <w:color w:val="auto"/>
                <w:sz w:val="24"/>
                <w:lang w:val="en-US" w:eastAsia="zh-CN"/>
              </w:rPr>
              <w:t>59</w:t>
            </w:r>
            <w:r>
              <w:rPr>
                <w:rFonts w:hint="default" w:ascii="Times New Roman" w:hAnsi="Times New Roman" w:cs="Times New Roman"/>
                <w:color w:val="auto"/>
                <w:sz w:val="24"/>
              </w:rPr>
              <w:t>桶/a，空桶重量按15kg/个计，则废空桶产生量为0.</w:t>
            </w:r>
            <w:r>
              <w:rPr>
                <w:rFonts w:hint="default" w:ascii="Times New Roman" w:hAnsi="Times New Roman" w:cs="Times New Roman"/>
                <w:color w:val="auto"/>
                <w:sz w:val="24"/>
                <w:lang w:val="en-US" w:eastAsia="zh-CN"/>
              </w:rPr>
              <w:t>88</w:t>
            </w:r>
            <w:r>
              <w:rPr>
                <w:rFonts w:hint="default" w:ascii="Times New Roman" w:hAnsi="Times New Roman" w:cs="Times New Roman"/>
                <w:color w:val="auto"/>
                <w:sz w:val="24"/>
              </w:rPr>
              <w:t>t/a。</w:t>
            </w:r>
          </w:p>
          <w:p>
            <w:pPr>
              <w:pStyle w:val="2"/>
              <w:ind w:firstLine="480" w:firstLineChars="200"/>
              <w:rPr>
                <w:rFonts w:hint="default" w:ascii="Times New Roman" w:hAnsi="Times New Roman" w:eastAsia="宋体" w:cs="Times New Roman"/>
                <w:color w:val="auto"/>
                <w:lang w:val="en-US" w:eastAsia="zh-CN"/>
              </w:rPr>
            </w:pPr>
            <w:r>
              <w:rPr>
                <w:rFonts w:hint="default" w:ascii="Times New Roman" w:hAnsi="Times New Roman" w:cs="Times New Roman"/>
                <w:color w:val="auto"/>
                <w:lang w:eastAsia="zh-CN"/>
              </w:rPr>
              <w:t>废</w:t>
            </w:r>
            <w:r>
              <w:rPr>
                <w:rFonts w:hint="default" w:ascii="Times New Roman" w:hAnsi="Times New Roman" w:cs="Times New Roman"/>
                <w:color w:val="auto"/>
                <w:lang w:val="en-US" w:eastAsia="zh-CN"/>
              </w:rPr>
              <w:t>UV灯管：</w:t>
            </w:r>
            <w:r>
              <w:rPr>
                <w:rFonts w:hint="default" w:ascii="Times New Roman" w:hAnsi="Times New Roman" w:cs="Times New Roman"/>
                <w:color w:val="auto"/>
                <w:sz w:val="24"/>
                <w:szCs w:val="24"/>
                <w:lang w:eastAsia="zh-CN"/>
              </w:rPr>
              <w:t>根</w:t>
            </w:r>
            <w:r>
              <w:rPr>
                <w:rFonts w:hint="default" w:ascii="Times New Roman" w:hAnsi="Times New Roman" w:eastAsia="宋体" w:cs="Times New Roman"/>
                <w:color w:val="auto"/>
                <w:kern w:val="0"/>
                <w:sz w:val="24"/>
                <w:szCs w:val="24"/>
                <w:lang w:val="en-US" w:eastAsia="zh-CN" w:bidi="ar"/>
              </w:rPr>
              <w:t>据UV光解废气处理装置使用规范，UV灯管更换周期为1次/1-2年，产生量约为5-10个/a，约0.03t/a。</w:t>
            </w:r>
          </w:p>
          <w:p>
            <w:pPr>
              <w:pStyle w:val="2"/>
              <w:ind w:firstLine="480" w:firstLineChars="200"/>
              <w:rPr>
                <w:rFonts w:hint="default" w:ascii="Times New Roman" w:hAnsi="Times New Roman" w:eastAsia="宋体" w:cs="Times New Roman"/>
                <w:color w:val="auto"/>
              </w:rPr>
            </w:pPr>
            <w:r>
              <w:rPr>
                <w:rFonts w:hint="default" w:ascii="Times New Roman" w:hAnsi="Times New Roman" w:cs="Times New Roman"/>
                <w:color w:val="auto"/>
              </w:rPr>
              <w:t>废</w:t>
            </w:r>
            <w:r>
              <w:rPr>
                <w:rFonts w:hint="default" w:ascii="Times New Roman" w:hAnsi="Times New Roman" w:eastAsia="宋体" w:cs="Times New Roman"/>
                <w:color w:val="auto"/>
              </w:rPr>
              <w:t>活性炭：</w:t>
            </w:r>
            <w:r>
              <w:rPr>
                <w:rFonts w:hint="default" w:ascii="Times New Roman" w:hAnsi="Times New Roman" w:eastAsia="宋体" w:cs="Times New Roman"/>
                <w:color w:val="auto"/>
                <w:lang w:eastAsia="zh-CN"/>
              </w:rPr>
              <w:t>扩建项目</w:t>
            </w:r>
            <w:r>
              <w:rPr>
                <w:rFonts w:hint="default" w:ascii="Times New Roman" w:hAnsi="Times New Roman" w:eastAsia="宋体" w:cs="Times New Roman"/>
                <w:color w:val="auto"/>
              </w:rPr>
              <w:t>使用活性炭处理废甲烷总烃，活性炭吸附达到饱和后须定期更换，由表4.5分析</w:t>
            </w:r>
            <w:r>
              <w:rPr>
                <w:rFonts w:hint="default" w:ascii="Times New Roman" w:hAnsi="Times New Roman" w:eastAsia="宋体" w:cs="Times New Roman"/>
                <w:color w:val="auto"/>
                <w:highlight w:val="none"/>
              </w:rPr>
              <w:t>可知，</w:t>
            </w:r>
            <w:r>
              <w:rPr>
                <w:rFonts w:hint="default" w:ascii="Times New Roman" w:hAnsi="Times New Roman" w:eastAsia="宋体" w:cs="Times New Roman"/>
                <w:color w:val="auto"/>
                <w:sz w:val="24"/>
                <w:szCs w:val="24"/>
                <w:highlight w:val="none"/>
              </w:rPr>
              <w:t>非甲烷总烃</w:t>
            </w:r>
            <w:r>
              <w:rPr>
                <w:rFonts w:hint="default" w:ascii="Times New Roman" w:hAnsi="Times New Roman" w:eastAsia="宋体" w:cs="Times New Roman"/>
                <w:color w:val="auto"/>
                <w:sz w:val="24"/>
                <w:szCs w:val="24"/>
                <w:highlight w:val="none"/>
                <w:lang w:eastAsia="zh-CN"/>
              </w:rPr>
              <w:t>经</w:t>
            </w:r>
            <w:r>
              <w:rPr>
                <w:rFonts w:hint="default" w:ascii="Times New Roman" w:hAnsi="Times New Roman" w:eastAsia="宋体" w:cs="Times New Roman"/>
                <w:color w:val="auto"/>
                <w:sz w:val="24"/>
                <w:szCs w:val="24"/>
                <w:highlight w:val="none"/>
                <w:lang w:val="en-US" w:eastAsia="zh-CN"/>
              </w:rPr>
              <w:t>UV光解处理后的</w:t>
            </w:r>
            <w:r>
              <w:rPr>
                <w:rFonts w:hint="default" w:ascii="Times New Roman" w:hAnsi="Times New Roman" w:eastAsia="宋体" w:cs="Times New Roman"/>
                <w:color w:val="auto"/>
                <w:sz w:val="24"/>
                <w:szCs w:val="24"/>
                <w:highlight w:val="none"/>
                <w:lang w:eastAsia="zh-CN"/>
              </w:rPr>
              <w:t>吸附</w:t>
            </w:r>
            <w:r>
              <w:rPr>
                <w:rFonts w:hint="default" w:ascii="Times New Roman" w:hAnsi="Times New Roman" w:eastAsia="宋体" w:cs="Times New Roman"/>
                <w:color w:val="auto"/>
                <w:sz w:val="24"/>
                <w:szCs w:val="24"/>
                <w:highlight w:val="none"/>
              </w:rPr>
              <w:t>量为</w:t>
            </w:r>
            <w:r>
              <w:rPr>
                <w:rFonts w:hint="eastAsia" w:ascii="Times New Roman" w:hAnsi="Times New Roman" w:eastAsia="宋体" w:cs="Times New Roman"/>
                <w:color w:val="auto"/>
                <w:sz w:val="24"/>
                <w:szCs w:val="24"/>
                <w:highlight w:val="none"/>
                <w:lang w:val="en-US" w:eastAsia="zh-CN"/>
              </w:rPr>
              <w:t>0.154</w:t>
            </w:r>
            <w:r>
              <w:rPr>
                <w:rFonts w:hint="default" w:ascii="Times New Roman" w:hAnsi="Times New Roman" w:eastAsia="宋体" w:cs="Times New Roman"/>
                <w:color w:val="auto"/>
                <w:sz w:val="24"/>
                <w:szCs w:val="24"/>
                <w:highlight w:val="none"/>
                <w:lang w:val="en-US" w:eastAsia="zh-CN"/>
              </w:rPr>
              <w:t>t</w:t>
            </w: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color w:val="auto"/>
                <w:highlight w:val="none"/>
                <w:shd w:val="clear" w:color="auto" w:fill="FFFFFF"/>
              </w:rPr>
              <w:t>。根据《简明通风设计手册》，活性炭有效吸</w:t>
            </w:r>
            <w:r>
              <w:rPr>
                <w:rFonts w:hint="default" w:ascii="Times New Roman" w:hAnsi="Times New Roman" w:eastAsia="宋体" w:cs="Times New Roman"/>
                <w:color w:val="auto"/>
                <w:shd w:val="clear" w:color="auto" w:fill="FFFFFF"/>
              </w:rPr>
              <w:t>附量为0.24kg/kg炭，则理论上需要消耗活性炭的量约为</w:t>
            </w:r>
            <w:r>
              <w:rPr>
                <w:rFonts w:hint="eastAsia" w:ascii="Times New Roman" w:hAnsi="Times New Roman" w:eastAsia="宋体" w:cs="Times New Roman"/>
                <w:color w:val="auto"/>
                <w:shd w:val="clear" w:color="auto" w:fill="FFFFFF"/>
                <w:lang w:val="en-US" w:eastAsia="zh-CN"/>
              </w:rPr>
              <w:t>0.64</w:t>
            </w:r>
            <w:r>
              <w:rPr>
                <w:rFonts w:hint="default" w:ascii="Times New Roman" w:hAnsi="Times New Roman" w:eastAsia="宋体" w:cs="Times New Roman"/>
                <w:color w:val="auto"/>
                <w:shd w:val="clear" w:color="auto" w:fill="FFFFFF"/>
              </w:rPr>
              <w:t>t/a。</w:t>
            </w:r>
            <w:r>
              <w:rPr>
                <w:rFonts w:hint="default" w:ascii="Times New Roman" w:hAnsi="Times New Roman" w:eastAsia="宋体" w:cs="Times New Roman"/>
                <w:color w:val="auto"/>
              </w:rPr>
              <w:t>建议活性炭吸附装置装填量不低于</w:t>
            </w:r>
            <w:r>
              <w:rPr>
                <w:rFonts w:hint="eastAsia" w:ascii="Times New Roman" w:hAnsi="Times New Roman" w:eastAsia="宋体" w:cs="Times New Roman"/>
                <w:color w:val="auto"/>
                <w:lang w:val="en-US" w:eastAsia="zh-CN"/>
              </w:rPr>
              <w:t>0.16</w:t>
            </w:r>
            <w:r>
              <w:rPr>
                <w:rFonts w:hint="default" w:ascii="Times New Roman" w:hAnsi="Times New Roman" w:eastAsia="宋体" w:cs="Times New Roman"/>
                <w:color w:val="auto"/>
              </w:rPr>
              <w:t>t，活性炭3个月更换1次。则废活性炭产生量为</w:t>
            </w:r>
            <w:r>
              <w:rPr>
                <w:rFonts w:hint="eastAsia" w:ascii="Times New Roman" w:hAnsi="Times New Roman" w:eastAsia="宋体" w:cs="Times New Roman"/>
                <w:color w:val="auto"/>
                <w:lang w:val="en-US" w:eastAsia="zh-CN"/>
              </w:rPr>
              <w:t>0.793</w:t>
            </w:r>
            <w:r>
              <w:rPr>
                <w:rFonts w:hint="default" w:ascii="Times New Roman" w:hAnsi="Times New Roman" w:eastAsia="宋体" w:cs="Times New Roman"/>
                <w:color w:val="auto"/>
              </w:rPr>
              <w:t>t/a。</w:t>
            </w:r>
          </w:p>
          <w:p>
            <w:pPr>
              <w:pStyle w:val="2"/>
              <w:ind w:firstLine="480" w:firstLineChars="200"/>
              <w:rPr>
                <w:rFonts w:ascii="Times New Roman" w:hAnsi="Times New Roman" w:cs="Times New Roman"/>
                <w:color w:val="auto"/>
              </w:rPr>
            </w:pPr>
            <w:r>
              <w:rPr>
                <w:rFonts w:ascii="Times New Roman" w:hAnsi="Times New Roman" w:cs="Times New Roman"/>
                <w:color w:val="auto"/>
              </w:rPr>
              <w:t>废机油：</w:t>
            </w:r>
            <w:r>
              <w:rPr>
                <w:rFonts w:hint="eastAsia" w:ascii="Times New Roman" w:hAnsi="Times New Roman" w:cs="Times New Roman"/>
                <w:color w:val="auto"/>
                <w:lang w:eastAsia="zh-CN"/>
              </w:rPr>
              <w:t>扩建项目</w:t>
            </w:r>
            <w:r>
              <w:rPr>
                <w:rFonts w:ascii="Times New Roman" w:hAnsi="Times New Roman" w:cs="Times New Roman"/>
                <w:color w:val="auto"/>
              </w:rPr>
              <w:t>废机油使用量为0.0</w:t>
            </w:r>
            <w:r>
              <w:rPr>
                <w:rFonts w:hint="eastAsia" w:ascii="Times New Roman" w:hAnsi="Times New Roman" w:cs="Times New Roman"/>
                <w:color w:val="auto"/>
              </w:rPr>
              <w:t>3</w:t>
            </w:r>
            <w:r>
              <w:rPr>
                <w:rFonts w:ascii="Times New Roman" w:hAnsi="Times New Roman" w:cs="Times New Roman"/>
                <w:color w:val="auto"/>
              </w:rPr>
              <w:t>t/a，则废机油产生量为0.0</w:t>
            </w:r>
            <w:r>
              <w:rPr>
                <w:rFonts w:hint="eastAsia" w:ascii="Times New Roman" w:hAnsi="Times New Roman" w:cs="Times New Roman"/>
                <w:color w:val="auto"/>
              </w:rPr>
              <w:t>3t</w:t>
            </w:r>
            <w:r>
              <w:rPr>
                <w:rFonts w:ascii="Times New Roman" w:hAnsi="Times New Roman" w:cs="Times New Roman"/>
                <w:color w:val="auto"/>
              </w:rPr>
              <w:t>/a。</w:t>
            </w:r>
          </w:p>
          <w:p>
            <w:pPr>
              <w:pStyle w:val="2"/>
              <w:ind w:firstLine="480" w:firstLineChars="200"/>
              <w:rPr>
                <w:rFonts w:ascii="Times New Roman" w:hAnsi="Times New Roman" w:cs="Times New Roman"/>
                <w:color w:val="auto"/>
              </w:rPr>
            </w:pPr>
            <w:r>
              <w:rPr>
                <w:rFonts w:hint="eastAsia" w:ascii="Times New Roman" w:hAnsi="Times New Roman" w:cs="Times New Roman"/>
                <w:color w:val="auto"/>
              </w:rPr>
              <w:t>废弃的</w:t>
            </w:r>
            <w:r>
              <w:rPr>
                <w:rFonts w:ascii="Times New Roman" w:hAnsi="Times New Roman" w:cs="Times New Roman"/>
                <w:color w:val="auto"/>
              </w:rPr>
              <w:t>含油抹布、劳保用品：</w:t>
            </w:r>
            <w:r>
              <w:rPr>
                <w:rFonts w:hint="eastAsia" w:ascii="Times New Roman" w:hAnsi="Times New Roman" w:cs="Times New Roman"/>
                <w:color w:val="auto"/>
                <w:sz w:val="24"/>
                <w:szCs w:val="24"/>
                <w:lang w:eastAsia="zh-CN"/>
              </w:rPr>
              <w:t>扩建项目</w:t>
            </w:r>
            <w:r>
              <w:rPr>
                <w:rFonts w:ascii="Times New Roman" w:hAnsi="Times New Roman" w:cs="Times New Roman"/>
                <w:color w:val="auto"/>
              </w:rPr>
              <w:t>抹布、劳保用品使用量为0.03t/a,则废含油抹布、劳保用品产生量为0.0</w:t>
            </w:r>
            <w:r>
              <w:rPr>
                <w:rFonts w:hint="eastAsia" w:ascii="Times New Roman" w:hAnsi="Times New Roman" w:cs="Times New Roman"/>
                <w:color w:val="auto"/>
              </w:rPr>
              <w:t>3</w:t>
            </w:r>
            <w:r>
              <w:rPr>
                <w:rFonts w:ascii="Times New Roman" w:hAnsi="Times New Roman" w:cs="Times New Roman"/>
                <w:color w:val="auto"/>
              </w:rPr>
              <w:t>t/a。</w:t>
            </w:r>
          </w:p>
          <w:p>
            <w:pPr>
              <w:adjustRightInd w:val="0"/>
              <w:snapToGrid w:val="0"/>
              <w:spacing w:line="360" w:lineRule="auto"/>
              <w:ind w:firstLine="480" w:firstLineChars="200"/>
              <w:rPr>
                <w:color w:val="auto"/>
                <w:sz w:val="24"/>
              </w:rPr>
            </w:pPr>
            <w:r>
              <w:rPr>
                <w:color w:val="auto"/>
                <w:sz w:val="24"/>
              </w:rPr>
              <w:t>生活垃圾：</w:t>
            </w:r>
            <w:r>
              <w:rPr>
                <w:rFonts w:hint="eastAsia" w:ascii="Times New Roman" w:hAnsi="Times New Roman" w:cs="Times New Roman"/>
                <w:color w:val="auto"/>
                <w:sz w:val="24"/>
                <w:szCs w:val="24"/>
                <w:lang w:eastAsia="zh-CN"/>
              </w:rPr>
              <w:t>扩建项目</w:t>
            </w:r>
            <w:r>
              <w:rPr>
                <w:color w:val="auto"/>
                <w:sz w:val="24"/>
                <w:szCs w:val="24"/>
              </w:rPr>
              <w:t>生活垃</w:t>
            </w:r>
            <w:r>
              <w:rPr>
                <w:color w:val="auto"/>
                <w:sz w:val="24"/>
              </w:rPr>
              <w:t>圾产生量按0.5kg/d·人计算，员工人数为</w:t>
            </w:r>
            <w:r>
              <w:rPr>
                <w:rFonts w:hint="eastAsia"/>
                <w:color w:val="auto"/>
                <w:sz w:val="24"/>
              </w:rPr>
              <w:t>4</w:t>
            </w:r>
            <w:r>
              <w:rPr>
                <w:color w:val="auto"/>
                <w:sz w:val="24"/>
              </w:rPr>
              <w:t>人，则生活垃圾产生量</w:t>
            </w:r>
            <w:r>
              <w:rPr>
                <w:rFonts w:hint="eastAsia"/>
                <w:color w:val="auto"/>
                <w:sz w:val="24"/>
              </w:rPr>
              <w:t>0.6t</w:t>
            </w:r>
            <w:r>
              <w:rPr>
                <w:color w:val="auto"/>
                <w:sz w:val="24"/>
              </w:rPr>
              <w:t>/a。</w:t>
            </w:r>
          </w:p>
          <w:p>
            <w:pPr>
              <w:adjustRightInd w:val="0"/>
              <w:snapToGrid w:val="0"/>
              <w:spacing w:line="360" w:lineRule="auto"/>
              <w:ind w:firstLine="480" w:firstLineChars="200"/>
              <w:rPr>
                <w:color w:val="auto"/>
              </w:rPr>
            </w:pPr>
            <w:r>
              <w:rPr>
                <w:rFonts w:hint="eastAsia"/>
                <w:color w:val="auto"/>
                <w:sz w:val="24"/>
              </w:rPr>
              <w:t>餐厨垃圾</w:t>
            </w:r>
            <w:r>
              <w:rPr>
                <w:color w:val="auto"/>
                <w:sz w:val="24"/>
              </w:rPr>
              <w:t>：</w:t>
            </w:r>
            <w:r>
              <w:rPr>
                <w:rFonts w:hint="eastAsia" w:ascii="Times New Roman" w:hAnsi="Times New Roman" w:cs="Times New Roman"/>
                <w:color w:val="auto"/>
                <w:sz w:val="24"/>
                <w:szCs w:val="24"/>
                <w:lang w:eastAsia="zh-CN"/>
              </w:rPr>
              <w:t>扩建项目</w:t>
            </w:r>
            <w:r>
              <w:rPr>
                <w:color w:val="auto"/>
                <w:sz w:val="24"/>
              </w:rPr>
              <w:t>生活垃圾产生量按0.</w:t>
            </w:r>
            <w:r>
              <w:rPr>
                <w:rFonts w:hint="eastAsia"/>
                <w:color w:val="auto"/>
                <w:sz w:val="24"/>
              </w:rPr>
              <w:t>3</w:t>
            </w:r>
            <w:r>
              <w:rPr>
                <w:color w:val="auto"/>
                <w:sz w:val="24"/>
              </w:rPr>
              <w:t>kg/d·人计算，员工人数为</w:t>
            </w:r>
            <w:r>
              <w:rPr>
                <w:rFonts w:hint="eastAsia"/>
                <w:color w:val="auto"/>
                <w:sz w:val="24"/>
              </w:rPr>
              <w:t>4</w:t>
            </w:r>
            <w:r>
              <w:rPr>
                <w:color w:val="auto"/>
                <w:sz w:val="24"/>
              </w:rPr>
              <w:t>人，则生活垃圾产生量</w:t>
            </w:r>
            <w:r>
              <w:rPr>
                <w:rFonts w:hint="eastAsia"/>
                <w:color w:val="auto"/>
                <w:sz w:val="24"/>
              </w:rPr>
              <w:t>0.36t</w:t>
            </w:r>
            <w:r>
              <w:rPr>
                <w:color w:val="auto"/>
                <w:sz w:val="24"/>
              </w:rPr>
              <w:t>/a。</w:t>
            </w:r>
          </w:p>
          <w:p>
            <w:pPr>
              <w:adjustRightInd w:val="0"/>
              <w:snapToGrid w:val="0"/>
              <w:spacing w:line="360" w:lineRule="auto"/>
              <w:jc w:val="center"/>
              <w:rPr>
                <w:bCs/>
                <w:color w:val="auto"/>
                <w:sz w:val="21"/>
                <w:szCs w:val="21"/>
              </w:rPr>
            </w:pPr>
            <w:r>
              <w:rPr>
                <w:bCs/>
                <w:color w:val="auto"/>
                <w:sz w:val="21"/>
                <w:szCs w:val="21"/>
              </w:rPr>
              <w:t>表</w:t>
            </w:r>
            <w:r>
              <w:rPr>
                <w:rFonts w:hint="eastAsia"/>
                <w:bCs/>
                <w:color w:val="auto"/>
                <w:sz w:val="21"/>
                <w:szCs w:val="21"/>
              </w:rPr>
              <w:t>4.1</w:t>
            </w:r>
            <w:r>
              <w:rPr>
                <w:rFonts w:hint="eastAsia"/>
                <w:bCs/>
                <w:color w:val="auto"/>
                <w:sz w:val="21"/>
                <w:szCs w:val="21"/>
                <w:lang w:val="en-US" w:eastAsia="zh-CN"/>
              </w:rPr>
              <w:t>6</w:t>
            </w:r>
            <w:r>
              <w:rPr>
                <w:bCs/>
                <w:color w:val="auto"/>
                <w:sz w:val="21"/>
                <w:szCs w:val="21"/>
              </w:rPr>
              <w:t xml:space="preserve"> 危险废物产生情况汇总表</w:t>
            </w:r>
          </w:p>
          <w:tbl>
            <w:tblPr>
              <w:tblStyle w:val="22"/>
              <w:tblW w:w="4997" w:type="pct"/>
              <w:tblInd w:w="0" w:type="dxa"/>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65"/>
              <w:gridCol w:w="831"/>
              <w:gridCol w:w="1420"/>
              <w:gridCol w:w="831"/>
              <w:gridCol w:w="734"/>
              <w:gridCol w:w="1013"/>
              <w:gridCol w:w="633"/>
              <w:gridCol w:w="696"/>
              <w:gridCol w:w="1107"/>
              <w:gridCol w:w="775"/>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3" w:type="pct"/>
                  <w:tcBorders>
                    <w:top w:val="single" w:color="auto" w:sz="6" w:space="0"/>
                    <w:left w:val="nil"/>
                    <w:bottom w:val="single" w:color="auto" w:sz="4" w:space="0"/>
                    <w:right w:val="single" w:color="auto" w:sz="4" w:space="0"/>
                  </w:tcBorders>
                  <w:vAlign w:val="center"/>
                </w:tcPr>
                <w:p>
                  <w:pPr>
                    <w:snapToGrid w:val="0"/>
                    <w:jc w:val="center"/>
                    <w:rPr>
                      <w:bCs/>
                      <w:color w:val="auto"/>
                      <w:szCs w:val="21"/>
                    </w:rPr>
                  </w:pPr>
                  <w:r>
                    <w:rPr>
                      <w:bCs/>
                      <w:color w:val="auto"/>
                      <w:szCs w:val="21"/>
                    </w:rPr>
                    <w:t>序号</w:t>
                  </w:r>
                </w:p>
              </w:tc>
              <w:tc>
                <w:tcPr>
                  <w:tcW w:w="488" w:type="pct"/>
                  <w:tcBorders>
                    <w:top w:val="single" w:color="auto" w:sz="6" w:space="0"/>
                    <w:left w:val="single" w:color="auto" w:sz="4" w:space="0"/>
                    <w:bottom w:val="single" w:color="auto" w:sz="4" w:space="0"/>
                    <w:right w:val="single" w:color="auto" w:sz="4" w:space="0"/>
                  </w:tcBorders>
                  <w:vAlign w:val="center"/>
                </w:tcPr>
                <w:p>
                  <w:pPr>
                    <w:snapToGrid w:val="0"/>
                    <w:jc w:val="center"/>
                    <w:rPr>
                      <w:bCs/>
                      <w:color w:val="auto"/>
                      <w:szCs w:val="21"/>
                    </w:rPr>
                  </w:pPr>
                  <w:r>
                    <w:rPr>
                      <w:bCs/>
                      <w:color w:val="auto"/>
                      <w:szCs w:val="21"/>
                    </w:rPr>
                    <w:t>危废</w:t>
                  </w:r>
                </w:p>
                <w:p>
                  <w:pPr>
                    <w:snapToGrid w:val="0"/>
                    <w:jc w:val="center"/>
                    <w:rPr>
                      <w:bCs/>
                      <w:color w:val="auto"/>
                      <w:szCs w:val="21"/>
                    </w:rPr>
                  </w:pPr>
                  <w:r>
                    <w:rPr>
                      <w:bCs/>
                      <w:color w:val="auto"/>
                      <w:szCs w:val="21"/>
                    </w:rPr>
                    <w:t>名称</w:t>
                  </w:r>
                </w:p>
              </w:tc>
              <w:tc>
                <w:tcPr>
                  <w:tcW w:w="834" w:type="pct"/>
                  <w:tcBorders>
                    <w:top w:val="single" w:color="auto" w:sz="6" w:space="0"/>
                    <w:left w:val="single" w:color="auto" w:sz="4" w:space="0"/>
                    <w:bottom w:val="single" w:color="auto" w:sz="4" w:space="0"/>
                    <w:right w:val="single" w:color="auto" w:sz="4" w:space="0"/>
                  </w:tcBorders>
                  <w:vAlign w:val="center"/>
                </w:tcPr>
                <w:p>
                  <w:pPr>
                    <w:snapToGrid w:val="0"/>
                    <w:jc w:val="center"/>
                    <w:rPr>
                      <w:bCs/>
                      <w:color w:val="auto"/>
                      <w:szCs w:val="21"/>
                    </w:rPr>
                  </w:pPr>
                  <w:r>
                    <w:rPr>
                      <w:bCs/>
                      <w:color w:val="auto"/>
                      <w:szCs w:val="21"/>
                    </w:rPr>
                    <w:t>危废类别、代码及危险特性</w:t>
                  </w:r>
                </w:p>
              </w:tc>
              <w:tc>
                <w:tcPr>
                  <w:tcW w:w="488" w:type="pct"/>
                  <w:tcBorders>
                    <w:top w:val="single" w:color="auto" w:sz="6" w:space="0"/>
                    <w:left w:val="single" w:color="auto" w:sz="4" w:space="0"/>
                    <w:bottom w:val="single" w:color="auto" w:sz="4" w:space="0"/>
                    <w:right w:val="single" w:color="auto" w:sz="4" w:space="0"/>
                  </w:tcBorders>
                  <w:vAlign w:val="center"/>
                </w:tcPr>
                <w:p>
                  <w:pPr>
                    <w:snapToGrid w:val="0"/>
                    <w:jc w:val="center"/>
                    <w:rPr>
                      <w:bCs/>
                      <w:color w:val="auto"/>
                      <w:szCs w:val="21"/>
                    </w:rPr>
                  </w:pPr>
                  <w:r>
                    <w:rPr>
                      <w:rFonts w:hint="eastAsia"/>
                      <w:bCs/>
                      <w:color w:val="auto"/>
                      <w:szCs w:val="21"/>
                    </w:rPr>
                    <w:t>产生</w:t>
                  </w:r>
                </w:p>
                <w:p>
                  <w:pPr>
                    <w:snapToGrid w:val="0"/>
                    <w:jc w:val="center"/>
                    <w:rPr>
                      <w:bCs/>
                      <w:color w:val="auto"/>
                      <w:szCs w:val="21"/>
                    </w:rPr>
                  </w:pPr>
                  <w:r>
                    <w:rPr>
                      <w:rFonts w:hint="eastAsia"/>
                      <w:bCs/>
                      <w:color w:val="auto"/>
                      <w:szCs w:val="21"/>
                    </w:rPr>
                    <w:t>环节</w:t>
                  </w:r>
                </w:p>
              </w:tc>
              <w:tc>
                <w:tcPr>
                  <w:tcW w:w="431" w:type="pct"/>
                  <w:tcBorders>
                    <w:top w:val="single" w:color="auto" w:sz="6" w:space="0"/>
                    <w:left w:val="single" w:color="auto" w:sz="4" w:space="0"/>
                    <w:bottom w:val="single" w:color="auto" w:sz="4" w:space="0"/>
                    <w:right w:val="single" w:color="auto" w:sz="4" w:space="0"/>
                  </w:tcBorders>
                  <w:vAlign w:val="center"/>
                </w:tcPr>
                <w:p>
                  <w:pPr>
                    <w:snapToGrid w:val="0"/>
                    <w:jc w:val="center"/>
                    <w:rPr>
                      <w:bCs/>
                      <w:color w:val="auto"/>
                      <w:szCs w:val="21"/>
                    </w:rPr>
                  </w:pPr>
                  <w:r>
                    <w:rPr>
                      <w:bCs/>
                      <w:color w:val="auto"/>
                      <w:szCs w:val="21"/>
                    </w:rPr>
                    <w:t>产生量</w:t>
                  </w:r>
                </w:p>
                <w:p>
                  <w:pPr>
                    <w:snapToGrid w:val="0"/>
                    <w:jc w:val="center"/>
                    <w:rPr>
                      <w:bCs/>
                      <w:color w:val="auto"/>
                      <w:szCs w:val="21"/>
                    </w:rPr>
                  </w:pPr>
                  <w:r>
                    <w:rPr>
                      <w:bCs/>
                      <w:color w:val="auto"/>
                      <w:szCs w:val="21"/>
                    </w:rPr>
                    <w:t>(t/a)</w:t>
                  </w:r>
                </w:p>
              </w:tc>
              <w:tc>
                <w:tcPr>
                  <w:tcW w:w="595" w:type="pct"/>
                  <w:tcBorders>
                    <w:top w:val="single" w:color="auto" w:sz="6" w:space="0"/>
                    <w:left w:val="single" w:color="auto" w:sz="4" w:space="0"/>
                    <w:bottom w:val="single" w:color="auto" w:sz="4" w:space="0"/>
                    <w:right w:val="single" w:color="auto" w:sz="4" w:space="0"/>
                  </w:tcBorders>
                  <w:vAlign w:val="center"/>
                </w:tcPr>
                <w:p>
                  <w:pPr>
                    <w:snapToGrid w:val="0"/>
                    <w:jc w:val="center"/>
                    <w:rPr>
                      <w:bCs/>
                      <w:color w:val="auto"/>
                      <w:szCs w:val="21"/>
                    </w:rPr>
                  </w:pPr>
                  <w:r>
                    <w:rPr>
                      <w:bCs/>
                      <w:color w:val="auto"/>
                      <w:szCs w:val="21"/>
                    </w:rPr>
                    <w:t>有害</w:t>
                  </w:r>
                </w:p>
                <w:p>
                  <w:pPr>
                    <w:snapToGrid w:val="0"/>
                    <w:jc w:val="center"/>
                    <w:rPr>
                      <w:bCs/>
                      <w:color w:val="auto"/>
                      <w:szCs w:val="21"/>
                    </w:rPr>
                  </w:pPr>
                  <w:r>
                    <w:rPr>
                      <w:bCs/>
                      <w:color w:val="auto"/>
                      <w:szCs w:val="21"/>
                    </w:rPr>
                    <w:t>物质</w:t>
                  </w:r>
                </w:p>
              </w:tc>
              <w:tc>
                <w:tcPr>
                  <w:tcW w:w="372" w:type="pct"/>
                  <w:tcBorders>
                    <w:top w:val="single" w:color="auto" w:sz="6" w:space="0"/>
                    <w:left w:val="single" w:color="auto" w:sz="4" w:space="0"/>
                    <w:bottom w:val="single" w:color="auto" w:sz="4" w:space="0"/>
                    <w:right w:val="single" w:color="auto" w:sz="4" w:space="0"/>
                  </w:tcBorders>
                  <w:vAlign w:val="center"/>
                </w:tcPr>
                <w:p>
                  <w:pPr>
                    <w:snapToGrid w:val="0"/>
                    <w:jc w:val="center"/>
                    <w:rPr>
                      <w:bCs/>
                      <w:color w:val="auto"/>
                      <w:szCs w:val="21"/>
                    </w:rPr>
                  </w:pPr>
                  <w:r>
                    <w:rPr>
                      <w:rFonts w:hint="eastAsia"/>
                      <w:bCs/>
                      <w:color w:val="auto"/>
                      <w:szCs w:val="21"/>
                    </w:rPr>
                    <w:t>物理形状</w:t>
                  </w:r>
                </w:p>
              </w:tc>
              <w:tc>
                <w:tcPr>
                  <w:tcW w:w="409" w:type="pct"/>
                  <w:tcBorders>
                    <w:top w:val="single" w:color="auto" w:sz="6" w:space="0"/>
                    <w:left w:val="single" w:color="auto" w:sz="4" w:space="0"/>
                    <w:bottom w:val="single" w:color="auto" w:sz="4" w:space="0"/>
                    <w:right w:val="single" w:color="auto" w:sz="4" w:space="0"/>
                  </w:tcBorders>
                  <w:vAlign w:val="center"/>
                </w:tcPr>
                <w:p>
                  <w:pPr>
                    <w:snapToGrid w:val="0"/>
                    <w:jc w:val="center"/>
                    <w:rPr>
                      <w:bCs/>
                      <w:color w:val="auto"/>
                      <w:szCs w:val="21"/>
                    </w:rPr>
                  </w:pPr>
                  <w:r>
                    <w:rPr>
                      <w:bCs/>
                      <w:color w:val="auto"/>
                      <w:szCs w:val="21"/>
                    </w:rPr>
                    <w:t>产生</w:t>
                  </w:r>
                </w:p>
                <w:p>
                  <w:pPr>
                    <w:snapToGrid w:val="0"/>
                    <w:jc w:val="center"/>
                    <w:rPr>
                      <w:bCs/>
                      <w:color w:val="auto"/>
                      <w:szCs w:val="21"/>
                    </w:rPr>
                  </w:pPr>
                  <w:r>
                    <w:rPr>
                      <w:bCs/>
                      <w:color w:val="auto"/>
                      <w:szCs w:val="21"/>
                    </w:rPr>
                    <w:t>频次</w:t>
                  </w:r>
                </w:p>
              </w:tc>
              <w:tc>
                <w:tcPr>
                  <w:tcW w:w="650" w:type="pct"/>
                  <w:tcBorders>
                    <w:top w:val="single" w:color="auto" w:sz="6" w:space="0"/>
                    <w:left w:val="single" w:color="auto" w:sz="4" w:space="0"/>
                    <w:bottom w:val="single" w:color="auto" w:sz="4" w:space="0"/>
                    <w:right w:val="single" w:color="auto" w:sz="4" w:space="0"/>
                  </w:tcBorders>
                  <w:vAlign w:val="center"/>
                </w:tcPr>
                <w:p>
                  <w:pPr>
                    <w:snapToGrid w:val="0"/>
                    <w:jc w:val="center"/>
                    <w:rPr>
                      <w:bCs/>
                      <w:color w:val="auto"/>
                      <w:szCs w:val="21"/>
                    </w:rPr>
                  </w:pPr>
                  <w:r>
                    <w:rPr>
                      <w:rFonts w:hint="eastAsia"/>
                      <w:bCs/>
                      <w:color w:val="auto"/>
                      <w:szCs w:val="21"/>
                    </w:rPr>
                    <w:t>贮存方</w:t>
                  </w:r>
                </w:p>
                <w:p>
                  <w:pPr>
                    <w:snapToGrid w:val="0"/>
                    <w:jc w:val="center"/>
                    <w:rPr>
                      <w:bCs/>
                      <w:color w:val="auto"/>
                      <w:szCs w:val="21"/>
                    </w:rPr>
                  </w:pPr>
                  <w:r>
                    <w:rPr>
                      <w:rFonts w:hint="eastAsia"/>
                      <w:bCs/>
                      <w:color w:val="auto"/>
                      <w:szCs w:val="21"/>
                    </w:rPr>
                    <w:t>式及去向</w:t>
                  </w:r>
                </w:p>
              </w:tc>
              <w:tc>
                <w:tcPr>
                  <w:tcW w:w="455" w:type="pct"/>
                  <w:tcBorders>
                    <w:top w:val="single" w:color="auto" w:sz="6" w:space="0"/>
                    <w:left w:val="single" w:color="auto" w:sz="4" w:space="0"/>
                    <w:bottom w:val="single" w:color="auto" w:sz="4" w:space="0"/>
                    <w:right w:val="nil"/>
                  </w:tcBorders>
                  <w:vAlign w:val="center"/>
                </w:tcPr>
                <w:p>
                  <w:pPr>
                    <w:snapToGrid w:val="0"/>
                    <w:jc w:val="center"/>
                    <w:rPr>
                      <w:bCs/>
                      <w:color w:val="auto"/>
                      <w:szCs w:val="21"/>
                    </w:rPr>
                  </w:pPr>
                  <w:r>
                    <w:rPr>
                      <w:rFonts w:hint="eastAsia"/>
                      <w:bCs/>
                      <w:color w:val="auto"/>
                      <w:szCs w:val="21"/>
                    </w:rPr>
                    <w:t>处置量</w:t>
                  </w:r>
                  <w:r>
                    <w:rPr>
                      <w:bCs/>
                      <w:color w:val="auto"/>
                      <w:szCs w:val="21"/>
                    </w:rPr>
                    <w:t>(t/a)</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73" w:type="pct"/>
                  <w:tcBorders>
                    <w:top w:val="single" w:color="auto" w:sz="6" w:space="0"/>
                    <w:left w:val="nil"/>
                    <w:right w:val="single" w:color="auto" w:sz="4" w:space="0"/>
                  </w:tcBorders>
                  <w:vAlign w:val="center"/>
                </w:tcPr>
                <w:p>
                  <w:pPr>
                    <w:adjustRightInd w:val="0"/>
                    <w:snapToGrid w:val="0"/>
                    <w:spacing w:line="228" w:lineRule="auto"/>
                    <w:jc w:val="center"/>
                    <w:rPr>
                      <w:bCs/>
                      <w:color w:val="auto"/>
                      <w:szCs w:val="21"/>
                    </w:rPr>
                  </w:pPr>
                  <w:r>
                    <w:rPr>
                      <w:rFonts w:hint="eastAsia"/>
                      <w:bCs/>
                      <w:color w:val="auto"/>
                      <w:szCs w:val="21"/>
                    </w:rPr>
                    <w:t>1</w:t>
                  </w:r>
                </w:p>
              </w:tc>
              <w:tc>
                <w:tcPr>
                  <w:tcW w:w="488" w:type="pct"/>
                  <w:tcBorders>
                    <w:top w:val="single" w:color="auto" w:sz="6" w:space="0"/>
                    <w:left w:val="single" w:color="auto" w:sz="4" w:space="0"/>
                    <w:right w:val="single" w:color="auto" w:sz="4" w:space="0"/>
                  </w:tcBorders>
                  <w:vAlign w:val="center"/>
                </w:tcPr>
                <w:p>
                  <w:pPr>
                    <w:adjustRightInd w:val="0"/>
                    <w:snapToGrid w:val="0"/>
                    <w:spacing w:line="228" w:lineRule="auto"/>
                    <w:jc w:val="center"/>
                    <w:rPr>
                      <w:bCs/>
                      <w:color w:val="auto"/>
                      <w:szCs w:val="21"/>
                    </w:rPr>
                  </w:pPr>
                  <w:r>
                    <w:rPr>
                      <w:rFonts w:hint="eastAsia"/>
                      <w:bCs/>
                      <w:color w:val="auto"/>
                      <w:szCs w:val="21"/>
                    </w:rPr>
                    <w:t>废胶粘剂桶</w:t>
                  </w:r>
                </w:p>
              </w:tc>
              <w:tc>
                <w:tcPr>
                  <w:tcW w:w="834" w:type="pct"/>
                  <w:tcBorders>
                    <w:top w:val="single" w:color="auto" w:sz="6" w:space="0"/>
                    <w:left w:val="single" w:color="auto" w:sz="4" w:space="0"/>
                    <w:right w:val="single" w:color="auto" w:sz="4" w:space="0"/>
                  </w:tcBorders>
                  <w:vAlign w:val="center"/>
                </w:tcPr>
                <w:p>
                  <w:pPr>
                    <w:adjustRightInd w:val="0"/>
                    <w:snapToGrid w:val="0"/>
                    <w:jc w:val="center"/>
                    <w:rPr>
                      <w:bCs/>
                      <w:color w:val="auto"/>
                      <w:szCs w:val="21"/>
                    </w:rPr>
                  </w:pPr>
                  <w:r>
                    <w:rPr>
                      <w:bCs/>
                      <w:color w:val="auto"/>
                      <w:szCs w:val="21"/>
                    </w:rPr>
                    <w:t>HW</w:t>
                  </w:r>
                  <w:r>
                    <w:rPr>
                      <w:rFonts w:hint="eastAsia"/>
                      <w:bCs/>
                      <w:color w:val="auto"/>
                      <w:szCs w:val="21"/>
                    </w:rPr>
                    <w:t>49</w:t>
                  </w:r>
                </w:p>
                <w:p>
                  <w:pPr>
                    <w:adjustRightInd w:val="0"/>
                    <w:snapToGrid w:val="0"/>
                    <w:spacing w:line="228" w:lineRule="auto"/>
                    <w:jc w:val="center"/>
                    <w:rPr>
                      <w:bCs/>
                      <w:color w:val="auto"/>
                      <w:szCs w:val="21"/>
                    </w:rPr>
                  </w:pPr>
                  <w:r>
                    <w:rPr>
                      <w:bCs/>
                      <w:color w:val="auto"/>
                      <w:szCs w:val="21"/>
                    </w:rPr>
                    <w:t>900-</w:t>
                  </w:r>
                  <w:r>
                    <w:rPr>
                      <w:rFonts w:hint="eastAsia"/>
                      <w:bCs/>
                      <w:color w:val="auto"/>
                      <w:szCs w:val="21"/>
                    </w:rPr>
                    <w:t>041</w:t>
                  </w:r>
                  <w:r>
                    <w:rPr>
                      <w:bCs/>
                      <w:color w:val="auto"/>
                      <w:szCs w:val="21"/>
                    </w:rPr>
                    <w:t>-</w:t>
                  </w:r>
                  <w:r>
                    <w:rPr>
                      <w:rFonts w:hint="eastAsia"/>
                      <w:bCs/>
                      <w:color w:val="auto"/>
                      <w:szCs w:val="21"/>
                    </w:rPr>
                    <w:t>49</w:t>
                  </w:r>
                </w:p>
              </w:tc>
              <w:tc>
                <w:tcPr>
                  <w:tcW w:w="488" w:type="pct"/>
                  <w:tcBorders>
                    <w:top w:val="single" w:color="auto" w:sz="6" w:space="0"/>
                    <w:left w:val="single" w:color="auto" w:sz="4" w:space="0"/>
                    <w:right w:val="single" w:color="auto" w:sz="4" w:space="0"/>
                  </w:tcBorders>
                  <w:vAlign w:val="center"/>
                </w:tcPr>
                <w:p>
                  <w:pPr>
                    <w:adjustRightInd w:val="0"/>
                    <w:snapToGrid w:val="0"/>
                    <w:spacing w:line="228" w:lineRule="auto"/>
                    <w:jc w:val="center"/>
                    <w:rPr>
                      <w:bCs/>
                      <w:color w:val="auto"/>
                      <w:szCs w:val="21"/>
                    </w:rPr>
                  </w:pPr>
                  <w:r>
                    <w:rPr>
                      <w:rFonts w:hint="eastAsia"/>
                      <w:bCs/>
                      <w:color w:val="auto"/>
                      <w:szCs w:val="21"/>
                    </w:rPr>
                    <w:t>涂胶</w:t>
                  </w:r>
                </w:p>
              </w:tc>
              <w:tc>
                <w:tcPr>
                  <w:tcW w:w="431" w:type="pct"/>
                  <w:tcBorders>
                    <w:top w:val="single" w:color="auto" w:sz="6" w:space="0"/>
                    <w:left w:val="single" w:color="auto" w:sz="4" w:space="0"/>
                    <w:right w:val="single" w:color="auto" w:sz="4" w:space="0"/>
                  </w:tcBorders>
                  <w:vAlign w:val="center"/>
                </w:tcPr>
                <w:p>
                  <w:pPr>
                    <w:adjustRightInd w:val="0"/>
                    <w:snapToGrid w:val="0"/>
                    <w:spacing w:line="228" w:lineRule="auto"/>
                    <w:jc w:val="center"/>
                    <w:rPr>
                      <w:rFonts w:hint="default" w:eastAsia="宋体"/>
                      <w:bCs/>
                      <w:color w:val="auto"/>
                      <w:szCs w:val="21"/>
                      <w:lang w:val="en-US" w:eastAsia="zh-CN"/>
                    </w:rPr>
                  </w:pPr>
                  <w:r>
                    <w:rPr>
                      <w:rFonts w:hint="eastAsia"/>
                      <w:bCs/>
                      <w:color w:val="auto"/>
                      <w:szCs w:val="21"/>
                    </w:rPr>
                    <w:t>0.</w:t>
                  </w:r>
                  <w:r>
                    <w:rPr>
                      <w:rFonts w:hint="eastAsia"/>
                      <w:bCs/>
                      <w:color w:val="auto"/>
                      <w:szCs w:val="21"/>
                      <w:lang w:val="en-US" w:eastAsia="zh-CN"/>
                    </w:rPr>
                    <w:t>88</w:t>
                  </w:r>
                </w:p>
              </w:tc>
              <w:tc>
                <w:tcPr>
                  <w:tcW w:w="595" w:type="pct"/>
                  <w:tcBorders>
                    <w:top w:val="single" w:color="auto" w:sz="6" w:space="0"/>
                    <w:left w:val="single" w:color="auto" w:sz="4" w:space="0"/>
                    <w:right w:val="single" w:color="auto" w:sz="4" w:space="0"/>
                  </w:tcBorders>
                  <w:vAlign w:val="center"/>
                </w:tcPr>
                <w:p>
                  <w:pPr>
                    <w:adjustRightInd w:val="0"/>
                    <w:snapToGrid w:val="0"/>
                    <w:spacing w:line="228" w:lineRule="auto"/>
                    <w:jc w:val="center"/>
                    <w:rPr>
                      <w:bCs/>
                      <w:color w:val="auto"/>
                      <w:szCs w:val="21"/>
                    </w:rPr>
                  </w:pPr>
                  <w:r>
                    <w:rPr>
                      <w:rFonts w:hint="eastAsia"/>
                      <w:bCs/>
                      <w:color w:val="auto"/>
                      <w:szCs w:val="21"/>
                    </w:rPr>
                    <w:t>胶粘剂</w:t>
                  </w:r>
                </w:p>
              </w:tc>
              <w:tc>
                <w:tcPr>
                  <w:tcW w:w="372" w:type="pct"/>
                  <w:tcBorders>
                    <w:top w:val="single" w:color="auto" w:sz="6" w:space="0"/>
                    <w:left w:val="single" w:color="auto" w:sz="4" w:space="0"/>
                    <w:right w:val="single" w:color="auto" w:sz="4" w:space="0"/>
                  </w:tcBorders>
                  <w:vAlign w:val="center"/>
                </w:tcPr>
                <w:p>
                  <w:pPr>
                    <w:adjustRightInd w:val="0"/>
                    <w:snapToGrid w:val="0"/>
                    <w:spacing w:line="228" w:lineRule="auto"/>
                    <w:jc w:val="center"/>
                    <w:rPr>
                      <w:bCs/>
                      <w:color w:val="auto"/>
                      <w:szCs w:val="21"/>
                    </w:rPr>
                  </w:pPr>
                  <w:r>
                    <w:rPr>
                      <w:bCs/>
                      <w:color w:val="auto"/>
                      <w:szCs w:val="21"/>
                    </w:rPr>
                    <w:t>固体</w:t>
                  </w:r>
                </w:p>
              </w:tc>
              <w:tc>
                <w:tcPr>
                  <w:tcW w:w="409" w:type="pct"/>
                  <w:tcBorders>
                    <w:top w:val="single" w:color="auto" w:sz="6" w:space="0"/>
                    <w:left w:val="single" w:color="auto" w:sz="4" w:space="0"/>
                    <w:right w:val="single" w:color="auto" w:sz="4" w:space="0"/>
                  </w:tcBorders>
                  <w:vAlign w:val="center"/>
                </w:tcPr>
                <w:p>
                  <w:pPr>
                    <w:adjustRightInd w:val="0"/>
                    <w:snapToGrid w:val="0"/>
                    <w:spacing w:line="228" w:lineRule="auto"/>
                    <w:jc w:val="center"/>
                    <w:rPr>
                      <w:bCs/>
                      <w:color w:val="auto"/>
                      <w:szCs w:val="21"/>
                    </w:rPr>
                  </w:pPr>
                  <w:r>
                    <w:rPr>
                      <w:bCs/>
                      <w:color w:val="auto"/>
                      <w:szCs w:val="21"/>
                    </w:rPr>
                    <w:t>间歇</w:t>
                  </w:r>
                </w:p>
              </w:tc>
              <w:tc>
                <w:tcPr>
                  <w:tcW w:w="650" w:type="pct"/>
                  <w:vMerge w:val="restart"/>
                  <w:tcBorders>
                    <w:top w:val="single" w:color="auto" w:sz="6" w:space="0"/>
                    <w:left w:val="single" w:color="auto" w:sz="4" w:space="0"/>
                    <w:right w:val="single" w:color="auto" w:sz="4" w:space="0"/>
                  </w:tcBorders>
                  <w:vAlign w:val="center"/>
                </w:tcPr>
                <w:p>
                  <w:pPr>
                    <w:adjustRightInd w:val="0"/>
                    <w:snapToGrid w:val="0"/>
                    <w:jc w:val="center"/>
                    <w:rPr>
                      <w:bCs/>
                      <w:color w:val="auto"/>
                      <w:szCs w:val="21"/>
                    </w:rPr>
                  </w:pPr>
                  <w:r>
                    <w:rPr>
                      <w:color w:val="auto"/>
                      <w:szCs w:val="21"/>
                    </w:rPr>
                    <w:t>经危险废物暂存间暂存后交有危废资质单位处置</w:t>
                  </w:r>
                </w:p>
              </w:tc>
              <w:tc>
                <w:tcPr>
                  <w:tcW w:w="455" w:type="pct"/>
                  <w:tcBorders>
                    <w:top w:val="single" w:color="auto" w:sz="6" w:space="0"/>
                    <w:left w:val="single" w:color="auto" w:sz="4" w:space="0"/>
                    <w:bottom w:val="single" w:color="auto" w:sz="4" w:space="0"/>
                    <w:right w:val="nil"/>
                  </w:tcBorders>
                  <w:vAlign w:val="center"/>
                </w:tcPr>
                <w:p>
                  <w:pPr>
                    <w:adjustRightInd w:val="0"/>
                    <w:snapToGrid w:val="0"/>
                    <w:spacing w:line="228" w:lineRule="auto"/>
                    <w:jc w:val="center"/>
                    <w:rPr>
                      <w:rFonts w:hint="default" w:eastAsia="宋体"/>
                      <w:color w:val="auto"/>
                      <w:szCs w:val="21"/>
                      <w:lang w:val="en-US" w:eastAsia="zh-CN"/>
                    </w:rPr>
                  </w:pPr>
                  <w:r>
                    <w:rPr>
                      <w:rFonts w:hint="eastAsia"/>
                      <w:color w:val="auto"/>
                      <w:szCs w:val="21"/>
                    </w:rPr>
                    <w:t>0.</w:t>
                  </w:r>
                  <w:r>
                    <w:rPr>
                      <w:rFonts w:hint="eastAsia"/>
                      <w:color w:val="auto"/>
                      <w:szCs w:val="21"/>
                      <w:lang w:val="en-US" w:eastAsia="zh-CN"/>
                    </w:rPr>
                    <w:t>88</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auto"/>
                      <w:szCs w:val="21"/>
                    </w:rPr>
                  </w:pPr>
                  <w:r>
                    <w:rPr>
                      <w:rFonts w:hint="eastAsia"/>
                      <w:bCs/>
                      <w:color w:val="auto"/>
                      <w:szCs w:val="21"/>
                    </w:rPr>
                    <w:t>2</w:t>
                  </w:r>
                </w:p>
              </w:tc>
              <w:tc>
                <w:tcPr>
                  <w:tcW w:w="48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auto"/>
                      <w:szCs w:val="21"/>
                    </w:rPr>
                  </w:pPr>
                  <w:r>
                    <w:rPr>
                      <w:bCs/>
                      <w:color w:val="auto"/>
                      <w:szCs w:val="21"/>
                    </w:rPr>
                    <w:t>废活</w:t>
                  </w:r>
                </w:p>
                <w:p>
                  <w:pPr>
                    <w:adjustRightInd w:val="0"/>
                    <w:snapToGrid w:val="0"/>
                    <w:jc w:val="center"/>
                    <w:rPr>
                      <w:bCs/>
                      <w:color w:val="auto"/>
                      <w:szCs w:val="21"/>
                    </w:rPr>
                  </w:pPr>
                  <w:r>
                    <w:rPr>
                      <w:bCs/>
                      <w:color w:val="auto"/>
                      <w:szCs w:val="21"/>
                    </w:rPr>
                    <w:t>性炭</w:t>
                  </w:r>
                </w:p>
              </w:tc>
              <w:tc>
                <w:tcPr>
                  <w:tcW w:w="8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auto"/>
                      <w:szCs w:val="21"/>
                    </w:rPr>
                  </w:pPr>
                  <w:r>
                    <w:rPr>
                      <w:bCs/>
                      <w:color w:val="auto"/>
                      <w:szCs w:val="21"/>
                    </w:rPr>
                    <w:t>HW</w:t>
                  </w:r>
                  <w:r>
                    <w:rPr>
                      <w:rFonts w:hint="eastAsia"/>
                      <w:bCs/>
                      <w:color w:val="auto"/>
                      <w:szCs w:val="21"/>
                    </w:rPr>
                    <w:t>49</w:t>
                  </w:r>
                </w:p>
                <w:p>
                  <w:pPr>
                    <w:adjustRightInd w:val="0"/>
                    <w:snapToGrid w:val="0"/>
                    <w:jc w:val="center"/>
                    <w:rPr>
                      <w:bCs/>
                      <w:color w:val="auto"/>
                      <w:szCs w:val="21"/>
                    </w:rPr>
                  </w:pPr>
                  <w:r>
                    <w:rPr>
                      <w:bCs/>
                      <w:color w:val="auto"/>
                      <w:szCs w:val="21"/>
                    </w:rPr>
                    <w:t>900-</w:t>
                  </w:r>
                  <w:r>
                    <w:rPr>
                      <w:rFonts w:hint="eastAsia"/>
                      <w:bCs/>
                      <w:color w:val="auto"/>
                      <w:szCs w:val="21"/>
                    </w:rPr>
                    <w:t>039</w:t>
                  </w:r>
                  <w:r>
                    <w:rPr>
                      <w:bCs/>
                      <w:color w:val="auto"/>
                      <w:szCs w:val="21"/>
                    </w:rPr>
                    <w:t>-</w:t>
                  </w:r>
                  <w:r>
                    <w:rPr>
                      <w:rFonts w:hint="eastAsia"/>
                      <w:bCs/>
                      <w:color w:val="auto"/>
                      <w:szCs w:val="21"/>
                    </w:rPr>
                    <w:t>49</w:t>
                  </w:r>
                </w:p>
              </w:tc>
              <w:tc>
                <w:tcPr>
                  <w:tcW w:w="48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auto"/>
                      <w:szCs w:val="21"/>
                    </w:rPr>
                  </w:pPr>
                  <w:r>
                    <w:rPr>
                      <w:bCs/>
                      <w:color w:val="auto"/>
                      <w:szCs w:val="21"/>
                    </w:rPr>
                    <w:t>废气</w:t>
                  </w:r>
                </w:p>
                <w:p>
                  <w:pPr>
                    <w:adjustRightInd w:val="0"/>
                    <w:snapToGrid w:val="0"/>
                    <w:jc w:val="center"/>
                    <w:rPr>
                      <w:bCs/>
                      <w:color w:val="auto"/>
                      <w:szCs w:val="21"/>
                    </w:rPr>
                  </w:pPr>
                  <w:r>
                    <w:rPr>
                      <w:bCs/>
                      <w:color w:val="auto"/>
                      <w:szCs w:val="21"/>
                    </w:rPr>
                    <w:t>处理</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eastAsia="宋体"/>
                      <w:bCs/>
                      <w:color w:val="auto"/>
                      <w:szCs w:val="21"/>
                      <w:lang w:val="en-US" w:eastAsia="zh-CN"/>
                    </w:rPr>
                  </w:pPr>
                  <w:r>
                    <w:rPr>
                      <w:rFonts w:hint="eastAsia"/>
                      <w:color w:val="auto"/>
                      <w:szCs w:val="21"/>
                      <w:lang w:val="en-US" w:eastAsia="zh-CN"/>
                    </w:rPr>
                    <w:t>0.793</w:t>
                  </w:r>
                </w:p>
              </w:tc>
              <w:tc>
                <w:tcPr>
                  <w:tcW w:w="59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auto"/>
                      <w:szCs w:val="21"/>
                    </w:rPr>
                  </w:pPr>
                  <w:r>
                    <w:rPr>
                      <w:color w:val="auto"/>
                      <w:szCs w:val="21"/>
                    </w:rPr>
                    <w:t>有机物质</w:t>
                  </w:r>
                </w:p>
              </w:tc>
              <w:tc>
                <w:tcPr>
                  <w:tcW w:w="3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auto"/>
                      <w:szCs w:val="21"/>
                    </w:rPr>
                  </w:pPr>
                  <w:r>
                    <w:rPr>
                      <w:bCs/>
                      <w:color w:val="auto"/>
                      <w:szCs w:val="21"/>
                    </w:rPr>
                    <w:t>固体</w:t>
                  </w:r>
                </w:p>
              </w:tc>
              <w:tc>
                <w:tcPr>
                  <w:tcW w:w="4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auto"/>
                      <w:szCs w:val="21"/>
                    </w:rPr>
                  </w:pPr>
                  <w:r>
                    <w:rPr>
                      <w:bCs/>
                      <w:color w:val="auto"/>
                      <w:szCs w:val="21"/>
                    </w:rPr>
                    <w:t>间歇</w:t>
                  </w:r>
                </w:p>
              </w:tc>
              <w:tc>
                <w:tcPr>
                  <w:tcW w:w="650" w:type="pct"/>
                  <w:vMerge w:val="continue"/>
                  <w:tcBorders>
                    <w:left w:val="single" w:color="auto" w:sz="4" w:space="0"/>
                    <w:right w:val="single" w:color="auto" w:sz="4" w:space="0"/>
                  </w:tcBorders>
                  <w:vAlign w:val="center"/>
                </w:tcPr>
                <w:p>
                  <w:pPr>
                    <w:adjustRightInd w:val="0"/>
                    <w:snapToGrid w:val="0"/>
                    <w:jc w:val="center"/>
                    <w:rPr>
                      <w:bCs/>
                      <w:color w:val="auto"/>
                      <w:szCs w:val="21"/>
                    </w:rPr>
                  </w:pPr>
                </w:p>
              </w:tc>
              <w:tc>
                <w:tcPr>
                  <w:tcW w:w="455" w:type="pct"/>
                  <w:tcBorders>
                    <w:top w:val="single" w:color="auto" w:sz="4" w:space="0"/>
                    <w:left w:val="single" w:color="auto" w:sz="4" w:space="0"/>
                    <w:bottom w:val="single" w:color="auto" w:sz="4" w:space="0"/>
                    <w:right w:val="nil"/>
                  </w:tcBorders>
                  <w:vAlign w:val="center"/>
                </w:tcPr>
                <w:p>
                  <w:pPr>
                    <w:adjustRightInd w:val="0"/>
                    <w:snapToGrid w:val="0"/>
                    <w:jc w:val="center"/>
                    <w:rPr>
                      <w:rFonts w:hint="default" w:eastAsia="宋体"/>
                      <w:bCs/>
                      <w:color w:val="auto"/>
                      <w:szCs w:val="21"/>
                      <w:lang w:val="en-US" w:eastAsia="zh-CN"/>
                    </w:rPr>
                  </w:pPr>
                  <w:r>
                    <w:rPr>
                      <w:rFonts w:hint="eastAsia"/>
                      <w:bCs/>
                      <w:color w:val="auto"/>
                      <w:szCs w:val="21"/>
                      <w:lang w:val="en-US" w:eastAsia="zh-CN"/>
                    </w:rPr>
                    <w:t>0.793</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auto"/>
                      <w:szCs w:val="21"/>
                    </w:rPr>
                  </w:pPr>
                  <w:r>
                    <w:rPr>
                      <w:rFonts w:hint="eastAsia"/>
                      <w:bCs/>
                      <w:color w:val="auto"/>
                      <w:szCs w:val="21"/>
                    </w:rPr>
                    <w:t>3</w:t>
                  </w:r>
                </w:p>
              </w:tc>
              <w:tc>
                <w:tcPr>
                  <w:tcW w:w="48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auto"/>
                      <w:szCs w:val="21"/>
                    </w:rPr>
                  </w:pPr>
                  <w:r>
                    <w:rPr>
                      <w:rFonts w:hint="eastAsia"/>
                      <w:bCs/>
                      <w:color w:val="auto"/>
                      <w:szCs w:val="21"/>
                    </w:rPr>
                    <w:t>废机油</w:t>
                  </w:r>
                </w:p>
              </w:tc>
              <w:tc>
                <w:tcPr>
                  <w:tcW w:w="834"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28" w:lineRule="auto"/>
                    <w:jc w:val="center"/>
                    <w:rPr>
                      <w:bCs/>
                      <w:color w:val="auto"/>
                      <w:szCs w:val="21"/>
                    </w:rPr>
                  </w:pPr>
                  <w:r>
                    <w:rPr>
                      <w:bCs/>
                      <w:color w:val="auto"/>
                      <w:szCs w:val="21"/>
                    </w:rPr>
                    <w:t>HW</w:t>
                  </w:r>
                  <w:r>
                    <w:rPr>
                      <w:rFonts w:hint="eastAsia"/>
                      <w:bCs/>
                      <w:color w:val="auto"/>
                      <w:szCs w:val="21"/>
                    </w:rPr>
                    <w:t>08</w:t>
                  </w:r>
                </w:p>
                <w:p>
                  <w:pPr>
                    <w:adjustRightInd w:val="0"/>
                    <w:snapToGrid w:val="0"/>
                    <w:jc w:val="center"/>
                    <w:rPr>
                      <w:bCs/>
                      <w:color w:val="auto"/>
                      <w:szCs w:val="21"/>
                    </w:rPr>
                  </w:pPr>
                  <w:r>
                    <w:rPr>
                      <w:bCs/>
                      <w:color w:val="auto"/>
                      <w:szCs w:val="21"/>
                    </w:rPr>
                    <w:t>900-</w:t>
                  </w:r>
                  <w:r>
                    <w:rPr>
                      <w:rFonts w:hint="eastAsia"/>
                      <w:bCs/>
                      <w:color w:val="auto"/>
                      <w:szCs w:val="21"/>
                    </w:rPr>
                    <w:t>249</w:t>
                  </w:r>
                  <w:r>
                    <w:rPr>
                      <w:bCs/>
                      <w:color w:val="auto"/>
                      <w:szCs w:val="21"/>
                    </w:rPr>
                    <w:t>-</w:t>
                  </w:r>
                  <w:r>
                    <w:rPr>
                      <w:rFonts w:hint="eastAsia"/>
                      <w:bCs/>
                      <w:color w:val="auto"/>
                      <w:szCs w:val="21"/>
                    </w:rPr>
                    <w:t>08</w:t>
                  </w:r>
                </w:p>
              </w:tc>
              <w:tc>
                <w:tcPr>
                  <w:tcW w:w="48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auto"/>
                      <w:szCs w:val="21"/>
                    </w:rPr>
                  </w:pPr>
                  <w:r>
                    <w:rPr>
                      <w:rFonts w:hint="eastAsia"/>
                      <w:bCs/>
                      <w:color w:val="auto"/>
                      <w:szCs w:val="21"/>
                    </w:rPr>
                    <w:t>设备润滑</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rFonts w:hint="eastAsia"/>
                      <w:bCs/>
                      <w:color w:val="auto"/>
                      <w:szCs w:val="21"/>
                    </w:rPr>
                    <w:t>0.03</w:t>
                  </w:r>
                </w:p>
              </w:tc>
              <w:tc>
                <w:tcPr>
                  <w:tcW w:w="59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szCs w:val="21"/>
                    </w:rPr>
                  </w:pPr>
                  <w:r>
                    <w:rPr>
                      <w:color w:val="auto"/>
                      <w:szCs w:val="21"/>
                    </w:rPr>
                    <w:t>矿物油</w:t>
                  </w:r>
                </w:p>
              </w:tc>
              <w:tc>
                <w:tcPr>
                  <w:tcW w:w="3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auto"/>
                      <w:szCs w:val="21"/>
                    </w:rPr>
                  </w:pPr>
                  <w:r>
                    <w:rPr>
                      <w:rFonts w:hint="eastAsia"/>
                      <w:bCs/>
                      <w:color w:val="auto"/>
                      <w:szCs w:val="21"/>
                    </w:rPr>
                    <w:t>液体</w:t>
                  </w:r>
                </w:p>
              </w:tc>
              <w:tc>
                <w:tcPr>
                  <w:tcW w:w="4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auto"/>
                      <w:szCs w:val="21"/>
                    </w:rPr>
                  </w:pPr>
                  <w:r>
                    <w:rPr>
                      <w:bCs/>
                      <w:color w:val="auto"/>
                      <w:szCs w:val="21"/>
                    </w:rPr>
                    <w:t>间歇</w:t>
                  </w:r>
                </w:p>
              </w:tc>
              <w:tc>
                <w:tcPr>
                  <w:tcW w:w="650" w:type="pct"/>
                  <w:vMerge w:val="continue"/>
                  <w:tcBorders>
                    <w:left w:val="single" w:color="auto" w:sz="4" w:space="0"/>
                    <w:right w:val="single" w:color="auto" w:sz="4" w:space="0"/>
                  </w:tcBorders>
                  <w:vAlign w:val="center"/>
                </w:tcPr>
                <w:p>
                  <w:pPr>
                    <w:adjustRightInd w:val="0"/>
                    <w:snapToGrid w:val="0"/>
                    <w:jc w:val="center"/>
                    <w:rPr>
                      <w:bCs/>
                      <w:color w:val="auto"/>
                      <w:szCs w:val="21"/>
                    </w:rPr>
                  </w:pPr>
                </w:p>
              </w:tc>
              <w:tc>
                <w:tcPr>
                  <w:tcW w:w="455" w:type="pct"/>
                  <w:tcBorders>
                    <w:top w:val="single" w:color="auto" w:sz="4" w:space="0"/>
                    <w:left w:val="single" w:color="auto" w:sz="4" w:space="0"/>
                    <w:bottom w:val="single" w:color="auto" w:sz="4" w:space="0"/>
                    <w:right w:val="nil"/>
                  </w:tcBorders>
                  <w:vAlign w:val="center"/>
                </w:tcPr>
                <w:p>
                  <w:pPr>
                    <w:adjustRightInd w:val="0"/>
                    <w:snapToGrid w:val="0"/>
                    <w:jc w:val="center"/>
                    <w:rPr>
                      <w:color w:val="auto"/>
                      <w:szCs w:val="21"/>
                    </w:rPr>
                  </w:pPr>
                  <w:r>
                    <w:rPr>
                      <w:rFonts w:hint="eastAsia"/>
                      <w:bCs/>
                      <w:color w:val="auto"/>
                      <w:szCs w:val="21"/>
                    </w:rPr>
                    <w:t>0.03</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73" w:type="pct"/>
                  <w:tcBorders>
                    <w:top w:val="single" w:color="auto" w:sz="4" w:space="0"/>
                    <w:left w:val="nil"/>
                    <w:bottom w:val="single" w:color="auto" w:sz="4" w:space="0"/>
                    <w:right w:val="single" w:color="auto" w:sz="4" w:space="0"/>
                  </w:tcBorders>
                  <w:vAlign w:val="center"/>
                </w:tcPr>
                <w:p>
                  <w:pPr>
                    <w:adjustRightInd w:val="0"/>
                    <w:snapToGrid w:val="0"/>
                    <w:jc w:val="center"/>
                    <w:rPr>
                      <w:bCs/>
                      <w:color w:val="auto"/>
                      <w:szCs w:val="21"/>
                    </w:rPr>
                  </w:pPr>
                  <w:r>
                    <w:rPr>
                      <w:rFonts w:hint="eastAsia"/>
                      <w:bCs/>
                      <w:color w:val="auto"/>
                      <w:szCs w:val="21"/>
                    </w:rPr>
                    <w:t>4</w:t>
                  </w:r>
                </w:p>
              </w:tc>
              <w:tc>
                <w:tcPr>
                  <w:tcW w:w="488" w:type="pct"/>
                  <w:tcBorders>
                    <w:top w:val="single" w:color="auto" w:sz="4" w:space="0"/>
                    <w:left w:val="single" w:color="auto" w:sz="4" w:space="0"/>
                    <w:bottom w:val="single" w:color="auto" w:sz="4" w:space="0"/>
                    <w:right w:val="single" w:color="auto" w:sz="4" w:space="0"/>
                  </w:tcBorders>
                  <w:vAlign w:val="center"/>
                </w:tcPr>
                <w:p>
                  <w:pPr>
                    <w:adjustRightInd w:val="0"/>
                    <w:snapToGrid w:val="0"/>
                    <w:rPr>
                      <w:color w:val="auto"/>
                      <w:szCs w:val="21"/>
                    </w:rPr>
                  </w:pPr>
                  <w:r>
                    <w:rPr>
                      <w:rFonts w:hint="eastAsia"/>
                      <w:color w:val="auto"/>
                      <w:szCs w:val="21"/>
                      <w:lang w:bidi="ar"/>
                    </w:rPr>
                    <w:t>含油抹布、劳保用品</w:t>
                  </w:r>
                </w:p>
              </w:tc>
              <w:tc>
                <w:tcPr>
                  <w:tcW w:w="8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auto"/>
                      <w:szCs w:val="21"/>
                    </w:rPr>
                  </w:pPr>
                  <w:r>
                    <w:rPr>
                      <w:bCs/>
                      <w:color w:val="auto"/>
                      <w:szCs w:val="21"/>
                    </w:rPr>
                    <w:t>HW49</w:t>
                  </w:r>
                </w:p>
                <w:p>
                  <w:pPr>
                    <w:adjustRightInd w:val="0"/>
                    <w:snapToGrid w:val="0"/>
                    <w:jc w:val="center"/>
                    <w:rPr>
                      <w:bCs/>
                      <w:color w:val="auto"/>
                      <w:szCs w:val="21"/>
                    </w:rPr>
                  </w:pPr>
                  <w:r>
                    <w:rPr>
                      <w:bCs/>
                      <w:color w:val="auto"/>
                      <w:szCs w:val="21"/>
                    </w:rPr>
                    <w:t>900-041-49</w:t>
                  </w:r>
                </w:p>
              </w:tc>
              <w:tc>
                <w:tcPr>
                  <w:tcW w:w="48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auto"/>
                      <w:szCs w:val="21"/>
                    </w:rPr>
                  </w:pPr>
                  <w:r>
                    <w:rPr>
                      <w:bCs/>
                      <w:color w:val="auto"/>
                      <w:szCs w:val="21"/>
                    </w:rPr>
                    <w:t>零部件、设备擦拭等</w:t>
                  </w:r>
                </w:p>
              </w:tc>
              <w:tc>
                <w:tcPr>
                  <w:tcW w:w="43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auto"/>
                      <w:szCs w:val="21"/>
                    </w:rPr>
                  </w:pPr>
                  <w:r>
                    <w:rPr>
                      <w:color w:val="auto"/>
                      <w:szCs w:val="21"/>
                    </w:rPr>
                    <w:t>0.0</w:t>
                  </w:r>
                  <w:r>
                    <w:rPr>
                      <w:rFonts w:hint="eastAsia"/>
                      <w:color w:val="auto"/>
                      <w:szCs w:val="21"/>
                    </w:rPr>
                    <w:t>3</w:t>
                  </w:r>
                </w:p>
              </w:tc>
              <w:tc>
                <w:tcPr>
                  <w:tcW w:w="59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auto"/>
                      <w:szCs w:val="21"/>
                    </w:rPr>
                  </w:pPr>
                  <w:r>
                    <w:rPr>
                      <w:color w:val="auto"/>
                      <w:szCs w:val="21"/>
                    </w:rPr>
                    <w:t>矿物油</w:t>
                  </w:r>
                </w:p>
              </w:tc>
              <w:tc>
                <w:tcPr>
                  <w:tcW w:w="37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auto"/>
                      <w:szCs w:val="21"/>
                    </w:rPr>
                  </w:pPr>
                  <w:r>
                    <w:rPr>
                      <w:bCs/>
                      <w:color w:val="auto"/>
                      <w:szCs w:val="21"/>
                    </w:rPr>
                    <w:t>固体</w:t>
                  </w:r>
                </w:p>
              </w:tc>
              <w:tc>
                <w:tcPr>
                  <w:tcW w:w="4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Cs/>
                      <w:color w:val="auto"/>
                      <w:szCs w:val="21"/>
                    </w:rPr>
                  </w:pPr>
                  <w:r>
                    <w:rPr>
                      <w:bCs/>
                      <w:color w:val="auto"/>
                      <w:szCs w:val="21"/>
                    </w:rPr>
                    <w:t>间歇</w:t>
                  </w:r>
                </w:p>
              </w:tc>
              <w:tc>
                <w:tcPr>
                  <w:tcW w:w="650" w:type="pct"/>
                  <w:vMerge w:val="continue"/>
                  <w:tcBorders>
                    <w:left w:val="single" w:color="auto" w:sz="4" w:space="0"/>
                    <w:right w:val="single" w:color="auto" w:sz="4" w:space="0"/>
                  </w:tcBorders>
                  <w:vAlign w:val="center"/>
                </w:tcPr>
                <w:p>
                  <w:pPr>
                    <w:adjustRightInd w:val="0"/>
                    <w:snapToGrid w:val="0"/>
                    <w:jc w:val="center"/>
                    <w:rPr>
                      <w:bCs/>
                      <w:color w:val="auto"/>
                      <w:szCs w:val="21"/>
                    </w:rPr>
                  </w:pPr>
                </w:p>
              </w:tc>
              <w:tc>
                <w:tcPr>
                  <w:tcW w:w="455" w:type="pct"/>
                  <w:tcBorders>
                    <w:top w:val="single" w:color="auto" w:sz="4" w:space="0"/>
                    <w:left w:val="single" w:color="auto" w:sz="4" w:space="0"/>
                    <w:bottom w:val="single" w:color="auto" w:sz="4" w:space="0"/>
                    <w:right w:val="nil"/>
                  </w:tcBorders>
                  <w:vAlign w:val="center"/>
                </w:tcPr>
                <w:p>
                  <w:pPr>
                    <w:adjustRightInd w:val="0"/>
                    <w:snapToGrid w:val="0"/>
                    <w:jc w:val="center"/>
                    <w:rPr>
                      <w:bCs/>
                      <w:color w:val="auto"/>
                      <w:szCs w:val="21"/>
                    </w:rPr>
                  </w:pPr>
                  <w:r>
                    <w:rPr>
                      <w:color w:val="auto"/>
                      <w:szCs w:val="21"/>
                    </w:rPr>
                    <w:t>0.0</w:t>
                  </w:r>
                  <w:r>
                    <w:rPr>
                      <w:rFonts w:hint="eastAsia"/>
                      <w:color w:val="auto"/>
                      <w:szCs w:val="21"/>
                    </w:rPr>
                    <w:t>3</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73" w:type="pct"/>
                  <w:tcBorders>
                    <w:top w:val="single" w:color="auto" w:sz="4" w:space="0"/>
                    <w:left w:val="nil"/>
                    <w:bottom w:val="single" w:color="auto" w:sz="6" w:space="0"/>
                    <w:right w:val="single" w:color="auto" w:sz="4" w:space="0"/>
                  </w:tcBorders>
                  <w:vAlign w:val="center"/>
                </w:tcPr>
                <w:p>
                  <w:pPr>
                    <w:adjustRightInd w:val="0"/>
                    <w:snapToGrid w:val="0"/>
                    <w:jc w:val="center"/>
                    <w:rPr>
                      <w:rFonts w:hint="eastAsia" w:eastAsia="宋体"/>
                      <w:bCs/>
                      <w:color w:val="auto"/>
                      <w:szCs w:val="21"/>
                      <w:lang w:val="en-US" w:eastAsia="zh-CN"/>
                    </w:rPr>
                  </w:pPr>
                  <w:r>
                    <w:rPr>
                      <w:rFonts w:hint="eastAsia"/>
                      <w:bCs/>
                      <w:color w:val="auto"/>
                      <w:szCs w:val="21"/>
                      <w:lang w:val="en-US" w:eastAsia="zh-CN"/>
                    </w:rPr>
                    <w:t>5</w:t>
                  </w:r>
                </w:p>
              </w:tc>
              <w:tc>
                <w:tcPr>
                  <w:tcW w:w="488" w:type="pct"/>
                  <w:tcBorders>
                    <w:top w:val="single" w:color="auto" w:sz="4" w:space="0"/>
                    <w:left w:val="single" w:color="auto" w:sz="4" w:space="0"/>
                    <w:bottom w:val="single" w:color="auto" w:sz="6" w:space="0"/>
                    <w:right w:val="single" w:color="auto" w:sz="4" w:space="0"/>
                  </w:tcBorders>
                  <w:vAlign w:val="center"/>
                </w:tcPr>
                <w:p>
                  <w:pPr>
                    <w:adjustRightInd w:val="0"/>
                    <w:snapToGrid w:val="0"/>
                    <w:jc w:val="center"/>
                    <w:rPr>
                      <w:rFonts w:hint="default" w:eastAsia="宋体"/>
                      <w:color w:val="auto"/>
                      <w:szCs w:val="21"/>
                      <w:lang w:val="en-US" w:eastAsia="zh-CN" w:bidi="ar"/>
                    </w:rPr>
                  </w:pPr>
                  <w:r>
                    <w:rPr>
                      <w:rFonts w:hint="eastAsia"/>
                      <w:bCs/>
                      <w:color w:val="auto"/>
                      <w:sz w:val="21"/>
                      <w:szCs w:val="21"/>
                      <w:lang w:eastAsia="zh-CN"/>
                    </w:rPr>
                    <w:t>废</w:t>
                  </w:r>
                  <w:r>
                    <w:rPr>
                      <w:rFonts w:hint="eastAsia"/>
                      <w:bCs/>
                      <w:color w:val="auto"/>
                      <w:sz w:val="21"/>
                      <w:szCs w:val="21"/>
                      <w:lang w:val="en-US" w:eastAsia="zh-CN"/>
                    </w:rPr>
                    <w:t>UV灯管</w:t>
                  </w:r>
                </w:p>
              </w:tc>
              <w:tc>
                <w:tcPr>
                  <w:tcW w:w="834" w:type="pct"/>
                  <w:tcBorders>
                    <w:top w:val="single" w:color="auto" w:sz="4" w:space="0"/>
                    <w:left w:val="single" w:color="auto" w:sz="4" w:space="0"/>
                    <w:bottom w:val="single" w:color="auto" w:sz="6" w:space="0"/>
                    <w:right w:val="single" w:color="auto" w:sz="4" w:space="0"/>
                  </w:tcBorders>
                  <w:vAlign w:val="center"/>
                </w:tcPr>
                <w:p>
                  <w:pPr>
                    <w:adjustRightInd w:val="0"/>
                    <w:snapToGrid w:val="0"/>
                    <w:spacing w:line="228"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HW29</w:t>
                  </w:r>
                </w:p>
                <w:p>
                  <w:pPr>
                    <w:adjustRightInd w:val="0"/>
                    <w:snapToGrid w:val="0"/>
                    <w:spacing w:line="228" w:lineRule="auto"/>
                    <w:jc w:val="center"/>
                    <w:rPr>
                      <w:bCs/>
                      <w:color w:val="auto"/>
                      <w:szCs w:val="21"/>
                    </w:rPr>
                  </w:pPr>
                  <w:r>
                    <w:rPr>
                      <w:rFonts w:hint="default" w:ascii="Times New Roman" w:hAnsi="Times New Roman" w:cs="Times New Roman"/>
                      <w:color w:val="auto"/>
                      <w:sz w:val="21"/>
                      <w:szCs w:val="21"/>
                    </w:rPr>
                    <w:t>900-023-29</w:t>
                  </w:r>
                </w:p>
              </w:tc>
              <w:tc>
                <w:tcPr>
                  <w:tcW w:w="488" w:type="pct"/>
                  <w:tcBorders>
                    <w:top w:val="single" w:color="auto" w:sz="4" w:space="0"/>
                    <w:left w:val="single" w:color="auto" w:sz="4" w:space="0"/>
                    <w:bottom w:val="single" w:color="auto" w:sz="6" w:space="0"/>
                    <w:right w:val="single" w:color="auto" w:sz="4" w:space="0"/>
                  </w:tcBorders>
                  <w:vAlign w:val="center"/>
                </w:tcPr>
                <w:p>
                  <w:pPr>
                    <w:adjustRightInd w:val="0"/>
                    <w:snapToGrid w:val="0"/>
                    <w:spacing w:line="228"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w:t>
                  </w:r>
                </w:p>
                <w:p>
                  <w:pPr>
                    <w:adjustRightInd w:val="0"/>
                    <w:snapToGrid w:val="0"/>
                    <w:spacing w:line="228" w:lineRule="auto"/>
                    <w:jc w:val="center"/>
                    <w:rPr>
                      <w:bCs/>
                      <w:color w:val="auto"/>
                      <w:szCs w:val="21"/>
                    </w:rPr>
                  </w:pPr>
                  <w:r>
                    <w:rPr>
                      <w:rFonts w:hint="default" w:ascii="Times New Roman" w:hAnsi="Times New Roman" w:cs="Times New Roman"/>
                      <w:color w:val="auto"/>
                      <w:sz w:val="21"/>
                      <w:szCs w:val="21"/>
                    </w:rPr>
                    <w:t>处理</w:t>
                  </w:r>
                </w:p>
              </w:tc>
              <w:tc>
                <w:tcPr>
                  <w:tcW w:w="431" w:type="pct"/>
                  <w:tcBorders>
                    <w:top w:val="single" w:color="auto" w:sz="4" w:space="0"/>
                    <w:left w:val="single" w:color="auto" w:sz="4" w:space="0"/>
                    <w:bottom w:val="single" w:color="auto" w:sz="6" w:space="0"/>
                    <w:right w:val="single" w:color="auto" w:sz="4" w:space="0"/>
                  </w:tcBorders>
                  <w:vAlign w:val="center"/>
                </w:tcPr>
                <w:p>
                  <w:pPr>
                    <w:adjustRightInd w:val="0"/>
                    <w:snapToGrid w:val="0"/>
                    <w:spacing w:line="228" w:lineRule="auto"/>
                    <w:jc w:val="center"/>
                    <w:rPr>
                      <w:color w:val="auto"/>
                      <w:szCs w:val="21"/>
                    </w:rPr>
                  </w:pPr>
                  <w:r>
                    <w:rPr>
                      <w:rFonts w:hint="eastAsia"/>
                      <w:bCs/>
                      <w:color w:val="auto"/>
                      <w:sz w:val="21"/>
                      <w:szCs w:val="21"/>
                      <w:lang w:val="en-US" w:eastAsia="zh-CN"/>
                    </w:rPr>
                    <w:t>0.03</w:t>
                  </w:r>
                </w:p>
              </w:tc>
              <w:tc>
                <w:tcPr>
                  <w:tcW w:w="595" w:type="pct"/>
                  <w:tcBorders>
                    <w:top w:val="single" w:color="auto" w:sz="4" w:space="0"/>
                    <w:left w:val="single" w:color="auto" w:sz="4" w:space="0"/>
                    <w:bottom w:val="single" w:color="auto" w:sz="6" w:space="0"/>
                    <w:right w:val="single" w:color="auto" w:sz="4" w:space="0"/>
                  </w:tcBorders>
                  <w:vAlign w:val="center"/>
                </w:tcPr>
                <w:p>
                  <w:pPr>
                    <w:adjustRightInd w:val="0"/>
                    <w:snapToGrid w:val="0"/>
                    <w:spacing w:line="228" w:lineRule="auto"/>
                    <w:jc w:val="center"/>
                    <w:rPr>
                      <w:color w:val="auto"/>
                      <w:szCs w:val="21"/>
                    </w:rPr>
                  </w:pPr>
                  <w:r>
                    <w:rPr>
                      <w:rFonts w:hint="default" w:ascii="Times New Roman" w:hAnsi="Times New Roman" w:cs="Times New Roman"/>
                      <w:color w:val="auto"/>
                      <w:sz w:val="21"/>
                      <w:szCs w:val="21"/>
                    </w:rPr>
                    <w:t>含汞</w:t>
                  </w:r>
                </w:p>
              </w:tc>
              <w:tc>
                <w:tcPr>
                  <w:tcW w:w="372" w:type="pct"/>
                  <w:tcBorders>
                    <w:top w:val="single" w:color="auto" w:sz="4" w:space="0"/>
                    <w:left w:val="single" w:color="auto" w:sz="4" w:space="0"/>
                    <w:bottom w:val="single" w:color="auto" w:sz="6" w:space="0"/>
                    <w:right w:val="single" w:color="auto" w:sz="4" w:space="0"/>
                  </w:tcBorders>
                  <w:vAlign w:val="center"/>
                </w:tcPr>
                <w:p>
                  <w:pPr>
                    <w:adjustRightInd w:val="0"/>
                    <w:snapToGrid w:val="0"/>
                    <w:spacing w:line="228" w:lineRule="auto"/>
                    <w:jc w:val="center"/>
                    <w:rPr>
                      <w:bCs/>
                      <w:color w:val="auto"/>
                      <w:szCs w:val="21"/>
                    </w:rPr>
                  </w:pPr>
                  <w:r>
                    <w:rPr>
                      <w:bCs/>
                      <w:color w:val="auto"/>
                      <w:sz w:val="21"/>
                      <w:szCs w:val="21"/>
                    </w:rPr>
                    <w:t>固体</w:t>
                  </w:r>
                </w:p>
              </w:tc>
              <w:tc>
                <w:tcPr>
                  <w:tcW w:w="409" w:type="pct"/>
                  <w:tcBorders>
                    <w:top w:val="single" w:color="auto" w:sz="4" w:space="0"/>
                    <w:left w:val="single" w:color="auto" w:sz="4" w:space="0"/>
                    <w:bottom w:val="single" w:color="auto" w:sz="6" w:space="0"/>
                    <w:right w:val="single" w:color="auto" w:sz="4" w:space="0"/>
                  </w:tcBorders>
                  <w:vAlign w:val="center"/>
                </w:tcPr>
                <w:p>
                  <w:pPr>
                    <w:adjustRightInd w:val="0"/>
                    <w:snapToGrid w:val="0"/>
                    <w:spacing w:line="228" w:lineRule="auto"/>
                    <w:jc w:val="center"/>
                    <w:rPr>
                      <w:bCs/>
                      <w:color w:val="auto"/>
                      <w:szCs w:val="21"/>
                    </w:rPr>
                  </w:pPr>
                  <w:r>
                    <w:rPr>
                      <w:bCs/>
                      <w:color w:val="auto"/>
                      <w:sz w:val="21"/>
                      <w:szCs w:val="21"/>
                    </w:rPr>
                    <w:t>间歇</w:t>
                  </w:r>
                </w:p>
              </w:tc>
              <w:tc>
                <w:tcPr>
                  <w:tcW w:w="650" w:type="pct"/>
                  <w:vMerge w:val="continue"/>
                  <w:tcBorders>
                    <w:left w:val="single" w:color="auto" w:sz="4" w:space="0"/>
                    <w:bottom w:val="single" w:color="auto" w:sz="6" w:space="0"/>
                    <w:right w:val="single" w:color="auto" w:sz="4" w:space="0"/>
                  </w:tcBorders>
                  <w:vAlign w:val="center"/>
                </w:tcPr>
                <w:p>
                  <w:pPr>
                    <w:adjustRightInd w:val="0"/>
                    <w:snapToGrid w:val="0"/>
                    <w:jc w:val="center"/>
                    <w:rPr>
                      <w:bCs/>
                      <w:color w:val="auto"/>
                      <w:szCs w:val="21"/>
                    </w:rPr>
                  </w:pPr>
                </w:p>
              </w:tc>
              <w:tc>
                <w:tcPr>
                  <w:tcW w:w="455" w:type="pct"/>
                  <w:tcBorders>
                    <w:top w:val="single" w:color="auto" w:sz="4" w:space="0"/>
                    <w:left w:val="single" w:color="auto" w:sz="4" w:space="0"/>
                    <w:bottom w:val="single" w:color="auto" w:sz="6" w:space="0"/>
                    <w:right w:val="nil"/>
                  </w:tcBorders>
                  <w:vAlign w:val="center"/>
                </w:tcPr>
                <w:p>
                  <w:pPr>
                    <w:adjustRightInd w:val="0"/>
                    <w:snapToGrid w:val="0"/>
                    <w:jc w:val="center"/>
                    <w:rPr>
                      <w:rFonts w:hint="default" w:eastAsia="宋体"/>
                      <w:color w:val="auto"/>
                      <w:szCs w:val="21"/>
                      <w:lang w:val="en-US" w:eastAsia="zh-CN"/>
                    </w:rPr>
                  </w:pPr>
                  <w:r>
                    <w:rPr>
                      <w:rFonts w:hint="eastAsia"/>
                      <w:color w:val="auto"/>
                      <w:szCs w:val="21"/>
                      <w:lang w:val="en-US" w:eastAsia="zh-CN"/>
                    </w:rPr>
                    <w:t>0.03</w:t>
                  </w:r>
                </w:p>
              </w:tc>
            </w:tr>
          </w:tbl>
          <w:p>
            <w:pPr>
              <w:pStyle w:val="2"/>
              <w:spacing w:line="360" w:lineRule="auto"/>
              <w:jc w:val="center"/>
              <w:rPr>
                <w:rFonts w:ascii="Times New Roman" w:cs="Times New Roman"/>
                <w:color w:val="auto"/>
                <w:sz w:val="21"/>
                <w:szCs w:val="21"/>
                <w:highlight w:val="none"/>
              </w:rPr>
            </w:pPr>
            <w:r>
              <w:rPr>
                <w:rFonts w:ascii="Times New Roman" w:cs="Times New Roman"/>
                <w:color w:val="auto"/>
                <w:sz w:val="21"/>
                <w:szCs w:val="21"/>
                <w:highlight w:val="none"/>
              </w:rPr>
              <w:t>表4.</w:t>
            </w:r>
            <w:r>
              <w:rPr>
                <w:rFonts w:hint="eastAsia" w:ascii="Times New Roman" w:cs="Times New Roman"/>
                <w:color w:val="auto"/>
                <w:sz w:val="21"/>
                <w:szCs w:val="21"/>
                <w:highlight w:val="none"/>
              </w:rPr>
              <w:t>1</w:t>
            </w:r>
            <w:r>
              <w:rPr>
                <w:rFonts w:hint="eastAsia" w:ascii="Times New Roman" w:cs="Times New Roman"/>
                <w:color w:val="auto"/>
                <w:sz w:val="21"/>
                <w:szCs w:val="21"/>
                <w:highlight w:val="none"/>
                <w:lang w:val="en-US" w:eastAsia="zh-CN"/>
              </w:rPr>
              <w:t>7</w:t>
            </w:r>
            <w:r>
              <w:rPr>
                <w:rFonts w:ascii="Times New Roman" w:cs="Times New Roman"/>
                <w:color w:val="auto"/>
                <w:sz w:val="21"/>
                <w:szCs w:val="21"/>
                <w:highlight w:val="none"/>
              </w:rPr>
              <w:t xml:space="preserve"> </w:t>
            </w:r>
            <w:r>
              <w:rPr>
                <w:rFonts w:hint="eastAsia" w:ascii="Times New Roman" w:cs="Times New Roman"/>
                <w:color w:val="auto"/>
                <w:sz w:val="21"/>
                <w:szCs w:val="21"/>
                <w:highlight w:val="none"/>
              </w:rPr>
              <w:t>一般</w:t>
            </w:r>
            <w:r>
              <w:rPr>
                <w:rFonts w:ascii="Times New Roman" w:cs="Times New Roman"/>
                <w:color w:val="auto"/>
                <w:sz w:val="21"/>
                <w:szCs w:val="21"/>
                <w:highlight w:val="none"/>
              </w:rPr>
              <w:t>固体废物产生处置情况汇总表</w:t>
            </w:r>
          </w:p>
          <w:tbl>
            <w:tblPr>
              <w:tblStyle w:val="22"/>
              <w:tblW w:w="4995" w:type="pct"/>
              <w:tblInd w:w="0" w:type="dxa"/>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904"/>
              <w:gridCol w:w="1365"/>
              <w:gridCol w:w="1060"/>
              <w:gridCol w:w="907"/>
              <w:gridCol w:w="757"/>
              <w:gridCol w:w="909"/>
              <w:gridCol w:w="1218"/>
              <w:gridCol w:w="914"/>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5" w:type="pct"/>
                  <w:tcBorders>
                    <w:top w:val="single" w:color="auto" w:sz="6" w:space="0"/>
                    <w:left w:val="nil"/>
                    <w:bottom w:val="single" w:color="auto" w:sz="4" w:space="0"/>
                    <w:right w:val="single" w:color="auto" w:sz="4" w:space="0"/>
                  </w:tcBorders>
                  <w:vAlign w:val="center"/>
                </w:tcPr>
                <w:p>
                  <w:pPr>
                    <w:spacing w:line="228" w:lineRule="auto"/>
                    <w:jc w:val="center"/>
                    <w:rPr>
                      <w:color w:val="auto"/>
                      <w:szCs w:val="21"/>
                      <w:highlight w:val="none"/>
                    </w:rPr>
                  </w:pPr>
                  <w:r>
                    <w:rPr>
                      <w:color w:val="auto"/>
                      <w:szCs w:val="21"/>
                      <w:highlight w:val="none"/>
                    </w:rPr>
                    <w:t>序号</w:t>
                  </w:r>
                </w:p>
              </w:tc>
              <w:tc>
                <w:tcPr>
                  <w:tcW w:w="531" w:type="pct"/>
                  <w:tcBorders>
                    <w:top w:val="single" w:color="auto" w:sz="6" w:space="0"/>
                    <w:left w:val="single" w:color="auto" w:sz="4" w:space="0"/>
                    <w:bottom w:val="single" w:color="auto" w:sz="4" w:space="0"/>
                    <w:right w:val="single" w:color="auto" w:sz="4" w:space="0"/>
                  </w:tcBorders>
                  <w:vAlign w:val="center"/>
                </w:tcPr>
                <w:p>
                  <w:pPr>
                    <w:spacing w:line="228" w:lineRule="auto"/>
                    <w:jc w:val="center"/>
                    <w:rPr>
                      <w:color w:val="auto"/>
                      <w:szCs w:val="21"/>
                      <w:highlight w:val="none"/>
                    </w:rPr>
                  </w:pPr>
                  <w:r>
                    <w:rPr>
                      <w:color w:val="auto"/>
                      <w:szCs w:val="21"/>
                      <w:highlight w:val="none"/>
                    </w:rPr>
                    <w:t>固废</w:t>
                  </w:r>
                </w:p>
                <w:p>
                  <w:pPr>
                    <w:spacing w:line="228" w:lineRule="auto"/>
                    <w:jc w:val="center"/>
                    <w:rPr>
                      <w:color w:val="auto"/>
                      <w:szCs w:val="21"/>
                      <w:highlight w:val="none"/>
                    </w:rPr>
                  </w:pPr>
                  <w:r>
                    <w:rPr>
                      <w:color w:val="auto"/>
                      <w:szCs w:val="21"/>
                      <w:highlight w:val="none"/>
                    </w:rPr>
                    <w:t>名称</w:t>
                  </w:r>
                </w:p>
              </w:tc>
              <w:tc>
                <w:tcPr>
                  <w:tcW w:w="802" w:type="pct"/>
                  <w:tcBorders>
                    <w:top w:val="single" w:color="auto" w:sz="6" w:space="0"/>
                    <w:left w:val="single" w:color="auto" w:sz="4" w:space="0"/>
                    <w:bottom w:val="single" w:color="auto" w:sz="4" w:space="0"/>
                    <w:right w:val="single" w:color="auto" w:sz="4" w:space="0"/>
                  </w:tcBorders>
                  <w:vAlign w:val="center"/>
                </w:tcPr>
                <w:p>
                  <w:pPr>
                    <w:spacing w:line="228" w:lineRule="auto"/>
                    <w:jc w:val="center"/>
                    <w:rPr>
                      <w:color w:val="auto"/>
                      <w:szCs w:val="21"/>
                      <w:highlight w:val="none"/>
                    </w:rPr>
                  </w:pPr>
                  <w:r>
                    <w:rPr>
                      <w:rFonts w:hint="eastAsia"/>
                      <w:color w:val="auto"/>
                      <w:szCs w:val="21"/>
                      <w:highlight w:val="none"/>
                    </w:rPr>
                    <w:t>一般固体废物代码</w:t>
                  </w:r>
                </w:p>
              </w:tc>
              <w:tc>
                <w:tcPr>
                  <w:tcW w:w="623" w:type="pct"/>
                  <w:tcBorders>
                    <w:top w:val="single" w:color="auto" w:sz="6" w:space="0"/>
                    <w:left w:val="single" w:color="auto" w:sz="4" w:space="0"/>
                    <w:bottom w:val="single" w:color="auto" w:sz="4" w:space="0"/>
                    <w:right w:val="single" w:color="auto" w:sz="4" w:space="0"/>
                  </w:tcBorders>
                  <w:vAlign w:val="center"/>
                </w:tcPr>
                <w:p>
                  <w:pPr>
                    <w:spacing w:line="228" w:lineRule="auto"/>
                    <w:jc w:val="center"/>
                    <w:rPr>
                      <w:color w:val="auto"/>
                      <w:szCs w:val="21"/>
                      <w:highlight w:val="none"/>
                    </w:rPr>
                  </w:pPr>
                  <w:r>
                    <w:rPr>
                      <w:color w:val="auto"/>
                      <w:szCs w:val="21"/>
                      <w:highlight w:val="none"/>
                    </w:rPr>
                    <w:t>产生</w:t>
                  </w:r>
                </w:p>
                <w:p>
                  <w:pPr>
                    <w:spacing w:line="228" w:lineRule="auto"/>
                    <w:jc w:val="center"/>
                    <w:rPr>
                      <w:color w:val="auto"/>
                      <w:szCs w:val="21"/>
                      <w:highlight w:val="none"/>
                    </w:rPr>
                  </w:pPr>
                  <w:r>
                    <w:rPr>
                      <w:color w:val="auto"/>
                      <w:szCs w:val="21"/>
                      <w:highlight w:val="none"/>
                    </w:rPr>
                    <w:t>环节</w:t>
                  </w:r>
                </w:p>
              </w:tc>
              <w:tc>
                <w:tcPr>
                  <w:tcW w:w="533" w:type="pct"/>
                  <w:tcBorders>
                    <w:top w:val="single" w:color="auto" w:sz="6" w:space="0"/>
                    <w:left w:val="single" w:color="auto" w:sz="4" w:space="0"/>
                    <w:bottom w:val="single" w:color="auto" w:sz="4" w:space="0"/>
                    <w:right w:val="single" w:color="auto" w:sz="4" w:space="0"/>
                  </w:tcBorders>
                  <w:vAlign w:val="center"/>
                </w:tcPr>
                <w:p>
                  <w:pPr>
                    <w:spacing w:line="228" w:lineRule="auto"/>
                    <w:jc w:val="center"/>
                    <w:rPr>
                      <w:color w:val="auto"/>
                      <w:szCs w:val="21"/>
                      <w:highlight w:val="none"/>
                    </w:rPr>
                  </w:pPr>
                  <w:r>
                    <w:rPr>
                      <w:color w:val="auto"/>
                      <w:szCs w:val="21"/>
                      <w:highlight w:val="none"/>
                    </w:rPr>
                    <w:t>产生量</w:t>
                  </w:r>
                </w:p>
                <w:p>
                  <w:pPr>
                    <w:spacing w:line="228" w:lineRule="auto"/>
                    <w:jc w:val="center"/>
                    <w:rPr>
                      <w:color w:val="auto"/>
                      <w:szCs w:val="21"/>
                      <w:highlight w:val="none"/>
                    </w:rPr>
                  </w:pPr>
                  <w:r>
                    <w:rPr>
                      <w:color w:val="auto"/>
                      <w:szCs w:val="21"/>
                      <w:highlight w:val="none"/>
                    </w:rPr>
                    <w:t>(t/a)</w:t>
                  </w:r>
                </w:p>
              </w:tc>
              <w:tc>
                <w:tcPr>
                  <w:tcW w:w="445" w:type="pct"/>
                  <w:tcBorders>
                    <w:top w:val="single" w:color="auto" w:sz="6" w:space="0"/>
                    <w:left w:val="single" w:color="auto" w:sz="4" w:space="0"/>
                    <w:bottom w:val="single" w:color="auto" w:sz="4" w:space="0"/>
                    <w:right w:val="single" w:color="auto" w:sz="4" w:space="0"/>
                  </w:tcBorders>
                  <w:vAlign w:val="center"/>
                </w:tcPr>
                <w:p>
                  <w:pPr>
                    <w:spacing w:line="228" w:lineRule="auto"/>
                    <w:jc w:val="center"/>
                    <w:rPr>
                      <w:color w:val="auto"/>
                      <w:szCs w:val="21"/>
                      <w:highlight w:val="none"/>
                    </w:rPr>
                  </w:pPr>
                  <w:r>
                    <w:rPr>
                      <w:color w:val="auto"/>
                      <w:szCs w:val="21"/>
                      <w:highlight w:val="none"/>
                    </w:rPr>
                    <w:t>有害</w:t>
                  </w:r>
                </w:p>
                <w:p>
                  <w:pPr>
                    <w:spacing w:line="228" w:lineRule="auto"/>
                    <w:jc w:val="center"/>
                    <w:rPr>
                      <w:color w:val="auto"/>
                      <w:szCs w:val="21"/>
                      <w:highlight w:val="none"/>
                    </w:rPr>
                  </w:pPr>
                  <w:r>
                    <w:rPr>
                      <w:color w:val="auto"/>
                      <w:szCs w:val="21"/>
                      <w:highlight w:val="none"/>
                    </w:rPr>
                    <w:t>物质</w:t>
                  </w:r>
                </w:p>
              </w:tc>
              <w:tc>
                <w:tcPr>
                  <w:tcW w:w="534" w:type="pct"/>
                  <w:tcBorders>
                    <w:top w:val="single" w:color="auto" w:sz="6" w:space="0"/>
                    <w:left w:val="single" w:color="auto" w:sz="4" w:space="0"/>
                    <w:bottom w:val="single" w:color="auto" w:sz="4" w:space="0"/>
                    <w:right w:val="single" w:color="auto" w:sz="4" w:space="0"/>
                  </w:tcBorders>
                  <w:vAlign w:val="center"/>
                </w:tcPr>
                <w:p>
                  <w:pPr>
                    <w:spacing w:line="228" w:lineRule="auto"/>
                    <w:jc w:val="center"/>
                    <w:rPr>
                      <w:color w:val="auto"/>
                      <w:szCs w:val="21"/>
                      <w:highlight w:val="none"/>
                    </w:rPr>
                  </w:pPr>
                  <w:r>
                    <w:rPr>
                      <w:color w:val="auto"/>
                      <w:szCs w:val="21"/>
                      <w:highlight w:val="none"/>
                    </w:rPr>
                    <w:t>物理</w:t>
                  </w:r>
                </w:p>
                <w:p>
                  <w:pPr>
                    <w:spacing w:line="228" w:lineRule="auto"/>
                    <w:jc w:val="center"/>
                    <w:rPr>
                      <w:color w:val="auto"/>
                      <w:szCs w:val="21"/>
                      <w:highlight w:val="none"/>
                    </w:rPr>
                  </w:pPr>
                  <w:r>
                    <w:rPr>
                      <w:color w:val="auto"/>
                      <w:szCs w:val="21"/>
                      <w:highlight w:val="none"/>
                    </w:rPr>
                    <w:t>性状</w:t>
                  </w:r>
                </w:p>
              </w:tc>
              <w:tc>
                <w:tcPr>
                  <w:tcW w:w="716" w:type="pct"/>
                  <w:tcBorders>
                    <w:top w:val="single" w:color="auto" w:sz="6" w:space="0"/>
                    <w:left w:val="single" w:color="auto" w:sz="4" w:space="0"/>
                    <w:bottom w:val="single" w:color="auto" w:sz="4" w:space="0"/>
                    <w:right w:val="single" w:color="auto" w:sz="4" w:space="0"/>
                  </w:tcBorders>
                  <w:vAlign w:val="center"/>
                </w:tcPr>
                <w:p>
                  <w:pPr>
                    <w:spacing w:line="228" w:lineRule="auto"/>
                    <w:jc w:val="center"/>
                    <w:rPr>
                      <w:color w:val="auto"/>
                      <w:szCs w:val="21"/>
                      <w:highlight w:val="none"/>
                    </w:rPr>
                  </w:pPr>
                  <w:r>
                    <w:rPr>
                      <w:color w:val="auto"/>
                      <w:szCs w:val="21"/>
                      <w:highlight w:val="none"/>
                    </w:rPr>
                    <w:t>贮存场所及去向</w:t>
                  </w:r>
                </w:p>
              </w:tc>
              <w:tc>
                <w:tcPr>
                  <w:tcW w:w="537" w:type="pct"/>
                  <w:tcBorders>
                    <w:top w:val="single" w:color="auto" w:sz="6" w:space="0"/>
                    <w:left w:val="single" w:color="auto" w:sz="4" w:space="0"/>
                    <w:bottom w:val="single" w:color="auto" w:sz="4" w:space="0"/>
                    <w:right w:val="nil"/>
                  </w:tcBorders>
                  <w:vAlign w:val="center"/>
                </w:tcPr>
                <w:p>
                  <w:pPr>
                    <w:spacing w:line="228" w:lineRule="auto"/>
                    <w:jc w:val="center"/>
                    <w:rPr>
                      <w:color w:val="auto"/>
                      <w:szCs w:val="21"/>
                      <w:highlight w:val="none"/>
                    </w:rPr>
                  </w:pPr>
                  <w:r>
                    <w:rPr>
                      <w:color w:val="auto"/>
                      <w:szCs w:val="21"/>
                      <w:highlight w:val="none"/>
                    </w:rPr>
                    <w:t>处置量(t/a)</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75" w:type="pct"/>
                  <w:tcBorders>
                    <w:top w:val="single" w:color="auto" w:sz="4" w:space="0"/>
                    <w:left w:val="nil"/>
                    <w:bottom w:val="single" w:color="auto" w:sz="4" w:space="0"/>
                    <w:right w:val="single" w:color="auto" w:sz="4" w:space="0"/>
                  </w:tcBorders>
                  <w:vAlign w:val="center"/>
                </w:tcPr>
                <w:p>
                  <w:pPr>
                    <w:spacing w:line="228" w:lineRule="auto"/>
                    <w:jc w:val="center"/>
                    <w:rPr>
                      <w:rFonts w:hint="eastAsia" w:eastAsia="宋体"/>
                      <w:color w:val="auto"/>
                      <w:szCs w:val="21"/>
                      <w:highlight w:val="none"/>
                      <w:lang w:eastAsia="zh-CN"/>
                    </w:rPr>
                  </w:pPr>
                  <w:r>
                    <w:rPr>
                      <w:rFonts w:hint="eastAsia"/>
                      <w:color w:val="auto"/>
                      <w:szCs w:val="21"/>
                      <w:highlight w:val="none"/>
                      <w:lang w:val="en-US" w:eastAsia="zh-CN"/>
                    </w:rPr>
                    <w:t>1</w:t>
                  </w:r>
                </w:p>
              </w:tc>
              <w:tc>
                <w:tcPr>
                  <w:tcW w:w="531"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废包装</w:t>
                  </w:r>
                </w:p>
              </w:tc>
              <w:tc>
                <w:tcPr>
                  <w:tcW w:w="802" w:type="pct"/>
                  <w:tcBorders>
                    <w:top w:val="single" w:color="auto" w:sz="4" w:space="0"/>
                    <w:left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367-001-05</w:t>
                  </w:r>
                </w:p>
              </w:tc>
              <w:tc>
                <w:tcPr>
                  <w:tcW w:w="623" w:type="pc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Cs w:val="21"/>
                      <w:highlight w:val="none"/>
                      <w:lang w:eastAsia="zh-CN"/>
                    </w:rPr>
                  </w:pPr>
                  <w:r>
                    <w:rPr>
                      <w:rFonts w:hint="eastAsia"/>
                      <w:color w:val="auto"/>
                      <w:szCs w:val="21"/>
                      <w:highlight w:val="none"/>
                      <w:lang w:eastAsia="zh-CN"/>
                    </w:rPr>
                    <w:t>淋膜</w:t>
                  </w:r>
                </w:p>
              </w:tc>
              <w:tc>
                <w:tcPr>
                  <w:tcW w:w="533"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0.24</w:t>
                  </w:r>
                </w:p>
              </w:tc>
              <w:tc>
                <w:tcPr>
                  <w:tcW w:w="445"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w:t>
                  </w:r>
                </w:p>
              </w:tc>
              <w:tc>
                <w:tcPr>
                  <w:tcW w:w="534"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固态</w:t>
                  </w:r>
                </w:p>
              </w:tc>
              <w:tc>
                <w:tcPr>
                  <w:tcW w:w="716" w:type="pct"/>
                  <w:tcBorders>
                    <w:left w:val="single" w:color="auto" w:sz="4" w:space="0"/>
                    <w:right w:val="single" w:color="auto" w:sz="4" w:space="0"/>
                  </w:tcBorders>
                  <w:vAlign w:val="center"/>
                </w:tcPr>
                <w:p>
                  <w:pPr>
                    <w:spacing w:line="228" w:lineRule="auto"/>
                    <w:jc w:val="center"/>
                    <w:rPr>
                      <w:rFonts w:hint="eastAsia" w:eastAsia="宋体"/>
                      <w:color w:val="auto"/>
                      <w:szCs w:val="21"/>
                      <w:highlight w:val="none"/>
                      <w:lang w:eastAsia="zh-CN"/>
                    </w:rPr>
                  </w:pPr>
                  <w:r>
                    <w:rPr>
                      <w:rFonts w:hint="eastAsia"/>
                      <w:color w:val="auto"/>
                      <w:szCs w:val="21"/>
                      <w:highlight w:val="none"/>
                      <w:lang w:eastAsia="zh-CN"/>
                    </w:rPr>
                    <w:t>交废品回收公司处置</w:t>
                  </w:r>
                </w:p>
              </w:tc>
              <w:tc>
                <w:tcPr>
                  <w:tcW w:w="537" w:type="pct"/>
                  <w:tcBorders>
                    <w:top w:val="single" w:color="auto" w:sz="4" w:space="0"/>
                    <w:left w:val="single" w:color="auto" w:sz="4" w:space="0"/>
                    <w:bottom w:val="single" w:color="auto" w:sz="4" w:space="0"/>
                    <w:right w:val="nil"/>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0.24</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tcBorders>
                    <w:top w:val="single" w:color="auto" w:sz="4" w:space="0"/>
                    <w:left w:val="nil"/>
                    <w:bottom w:val="single" w:color="auto" w:sz="4" w:space="0"/>
                    <w:right w:val="single" w:color="auto" w:sz="4" w:space="0"/>
                  </w:tcBorders>
                  <w:vAlign w:val="center"/>
                </w:tcPr>
                <w:p>
                  <w:pPr>
                    <w:spacing w:line="228" w:lineRule="auto"/>
                    <w:jc w:val="center"/>
                    <w:rPr>
                      <w:rFonts w:hint="eastAsia" w:eastAsia="宋体"/>
                      <w:color w:val="auto"/>
                      <w:szCs w:val="21"/>
                      <w:highlight w:val="none"/>
                      <w:lang w:val="en-US" w:eastAsia="zh-CN"/>
                    </w:rPr>
                  </w:pPr>
                  <w:r>
                    <w:rPr>
                      <w:rFonts w:hint="eastAsia"/>
                      <w:color w:val="auto"/>
                      <w:szCs w:val="21"/>
                      <w:highlight w:val="none"/>
                      <w:lang w:val="en-US" w:eastAsia="zh-CN"/>
                    </w:rPr>
                    <w:t>2</w:t>
                  </w:r>
                </w:p>
              </w:tc>
              <w:tc>
                <w:tcPr>
                  <w:tcW w:w="531"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color w:val="auto"/>
                      <w:szCs w:val="21"/>
                      <w:highlight w:val="none"/>
                    </w:rPr>
                    <w:t>生活</w:t>
                  </w:r>
                </w:p>
                <w:p>
                  <w:pPr>
                    <w:jc w:val="center"/>
                    <w:rPr>
                      <w:color w:val="auto"/>
                      <w:szCs w:val="21"/>
                      <w:highlight w:val="none"/>
                    </w:rPr>
                  </w:pPr>
                  <w:r>
                    <w:rPr>
                      <w:color w:val="auto"/>
                      <w:szCs w:val="21"/>
                      <w:highlight w:val="none"/>
                    </w:rPr>
                    <w:t>垃圾</w:t>
                  </w:r>
                </w:p>
              </w:tc>
              <w:tc>
                <w:tcPr>
                  <w:tcW w:w="802"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w:t>
                  </w:r>
                </w:p>
              </w:tc>
              <w:tc>
                <w:tcPr>
                  <w:tcW w:w="623"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color w:val="auto"/>
                      <w:szCs w:val="21"/>
                      <w:highlight w:val="none"/>
                    </w:rPr>
                    <w:t>员工</w:t>
                  </w:r>
                </w:p>
              </w:tc>
              <w:tc>
                <w:tcPr>
                  <w:tcW w:w="533" w:type="pct"/>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0.6</w:t>
                  </w:r>
                </w:p>
              </w:tc>
              <w:tc>
                <w:tcPr>
                  <w:tcW w:w="445"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color w:val="auto"/>
                      <w:szCs w:val="21"/>
                      <w:highlight w:val="none"/>
                    </w:rPr>
                    <w:t>/</w:t>
                  </w:r>
                </w:p>
              </w:tc>
              <w:tc>
                <w:tcPr>
                  <w:tcW w:w="534" w:type="pct"/>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color w:val="auto"/>
                      <w:szCs w:val="21"/>
                      <w:highlight w:val="none"/>
                    </w:rPr>
                    <w:t>固态</w:t>
                  </w:r>
                </w:p>
              </w:tc>
              <w:tc>
                <w:tcPr>
                  <w:tcW w:w="716" w:type="pct"/>
                  <w:tcBorders>
                    <w:left w:val="single" w:color="auto" w:sz="4" w:space="0"/>
                    <w:right w:val="single" w:color="auto" w:sz="4" w:space="0"/>
                  </w:tcBorders>
                  <w:vAlign w:val="center"/>
                </w:tcPr>
                <w:p>
                  <w:pPr>
                    <w:spacing w:line="228" w:lineRule="auto"/>
                    <w:rPr>
                      <w:color w:val="auto"/>
                      <w:szCs w:val="21"/>
                      <w:highlight w:val="none"/>
                    </w:rPr>
                  </w:pPr>
                  <w:r>
                    <w:rPr>
                      <w:color w:val="auto"/>
                      <w:szCs w:val="21"/>
                      <w:highlight w:val="none"/>
                    </w:rPr>
                    <w:t>分类收集后交当地环卫部门处置</w:t>
                  </w:r>
                </w:p>
              </w:tc>
              <w:tc>
                <w:tcPr>
                  <w:tcW w:w="537" w:type="pct"/>
                  <w:tcBorders>
                    <w:top w:val="single" w:color="auto" w:sz="4" w:space="0"/>
                    <w:left w:val="single" w:color="auto" w:sz="4" w:space="0"/>
                    <w:bottom w:val="single" w:color="auto" w:sz="4" w:space="0"/>
                    <w:right w:val="nil"/>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0.6</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5" w:type="pct"/>
                  <w:tcBorders>
                    <w:top w:val="single" w:color="auto" w:sz="4" w:space="0"/>
                    <w:left w:val="nil"/>
                    <w:right w:val="single" w:color="auto" w:sz="4" w:space="0"/>
                  </w:tcBorders>
                  <w:vAlign w:val="center"/>
                </w:tcPr>
                <w:p>
                  <w:pPr>
                    <w:spacing w:line="228" w:lineRule="auto"/>
                    <w:jc w:val="center"/>
                    <w:rPr>
                      <w:rFonts w:hint="default"/>
                      <w:color w:val="auto"/>
                      <w:szCs w:val="21"/>
                      <w:highlight w:val="none"/>
                      <w:lang w:val="en-US" w:eastAsia="zh-CN"/>
                    </w:rPr>
                  </w:pPr>
                  <w:r>
                    <w:rPr>
                      <w:rFonts w:hint="eastAsia"/>
                      <w:color w:val="auto"/>
                      <w:szCs w:val="21"/>
                      <w:highlight w:val="none"/>
                      <w:lang w:val="en-US" w:eastAsia="zh-CN"/>
                    </w:rPr>
                    <w:t>3</w:t>
                  </w:r>
                </w:p>
              </w:tc>
              <w:tc>
                <w:tcPr>
                  <w:tcW w:w="531" w:type="pct"/>
                  <w:tcBorders>
                    <w:top w:val="single" w:color="auto" w:sz="4" w:space="0"/>
                    <w:left w:val="single" w:color="auto" w:sz="4" w:space="0"/>
                    <w:right w:val="single" w:color="auto" w:sz="4" w:space="0"/>
                  </w:tcBorders>
                  <w:vAlign w:val="center"/>
                </w:tcPr>
                <w:p>
                  <w:pPr>
                    <w:jc w:val="center"/>
                    <w:rPr>
                      <w:rFonts w:hint="eastAsia" w:eastAsia="宋体"/>
                      <w:color w:val="auto"/>
                      <w:szCs w:val="21"/>
                      <w:highlight w:val="none"/>
                      <w:lang w:eastAsia="zh-CN"/>
                    </w:rPr>
                  </w:pPr>
                  <w:r>
                    <w:rPr>
                      <w:rFonts w:hint="eastAsia"/>
                      <w:color w:val="auto"/>
                      <w:szCs w:val="21"/>
                      <w:highlight w:val="none"/>
                      <w:lang w:eastAsia="zh-CN"/>
                    </w:rPr>
                    <w:t>餐厨垃圾</w:t>
                  </w:r>
                </w:p>
              </w:tc>
              <w:tc>
                <w:tcPr>
                  <w:tcW w:w="802" w:type="pct"/>
                  <w:tcBorders>
                    <w:top w:val="single" w:color="auto" w:sz="4" w:space="0"/>
                    <w:left w:val="single" w:color="auto" w:sz="4" w:space="0"/>
                    <w:right w:val="single" w:color="auto" w:sz="4" w:space="0"/>
                  </w:tcBorders>
                  <w:vAlign w:val="center"/>
                </w:tcPr>
                <w:p>
                  <w:pPr>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623" w:type="pct"/>
                  <w:tcBorders>
                    <w:top w:val="single" w:color="auto" w:sz="4" w:space="0"/>
                    <w:left w:val="single" w:color="auto" w:sz="4" w:space="0"/>
                    <w:right w:val="single" w:color="auto" w:sz="4" w:space="0"/>
                  </w:tcBorders>
                  <w:vAlign w:val="center"/>
                </w:tcPr>
                <w:p>
                  <w:pPr>
                    <w:jc w:val="center"/>
                    <w:rPr>
                      <w:rFonts w:hint="eastAsia" w:eastAsia="宋体"/>
                      <w:color w:val="auto"/>
                      <w:szCs w:val="21"/>
                      <w:highlight w:val="none"/>
                      <w:lang w:eastAsia="zh-CN"/>
                    </w:rPr>
                  </w:pPr>
                  <w:r>
                    <w:rPr>
                      <w:rFonts w:hint="eastAsia"/>
                      <w:color w:val="auto"/>
                      <w:szCs w:val="21"/>
                      <w:highlight w:val="none"/>
                      <w:lang w:eastAsia="zh-CN"/>
                    </w:rPr>
                    <w:t>食堂</w:t>
                  </w:r>
                </w:p>
              </w:tc>
              <w:tc>
                <w:tcPr>
                  <w:tcW w:w="533" w:type="pct"/>
                  <w:tcBorders>
                    <w:top w:val="single" w:color="auto" w:sz="4" w:space="0"/>
                    <w:left w:val="single" w:color="auto" w:sz="4" w:space="0"/>
                    <w:right w:val="single" w:color="auto" w:sz="4" w:space="0"/>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0.36</w:t>
                  </w:r>
                </w:p>
              </w:tc>
              <w:tc>
                <w:tcPr>
                  <w:tcW w:w="445" w:type="pct"/>
                  <w:tcBorders>
                    <w:top w:val="single" w:color="auto" w:sz="4" w:space="0"/>
                    <w:left w:val="single" w:color="auto" w:sz="4" w:space="0"/>
                    <w:right w:val="single" w:color="auto" w:sz="4" w:space="0"/>
                  </w:tcBorders>
                  <w:vAlign w:val="center"/>
                </w:tcPr>
                <w:p>
                  <w:pPr>
                    <w:jc w:val="center"/>
                    <w:rPr>
                      <w:rFonts w:hint="eastAsia" w:eastAsia="宋体"/>
                      <w:color w:val="auto"/>
                      <w:szCs w:val="21"/>
                      <w:highlight w:val="none"/>
                      <w:lang w:val="en-US" w:eastAsia="zh-CN"/>
                    </w:rPr>
                  </w:pPr>
                  <w:r>
                    <w:rPr>
                      <w:rFonts w:hint="eastAsia"/>
                      <w:color w:val="auto"/>
                      <w:szCs w:val="21"/>
                      <w:highlight w:val="none"/>
                      <w:lang w:val="en-US" w:eastAsia="zh-CN"/>
                    </w:rPr>
                    <w:t>/</w:t>
                  </w:r>
                </w:p>
              </w:tc>
              <w:tc>
                <w:tcPr>
                  <w:tcW w:w="534" w:type="pct"/>
                  <w:tcBorders>
                    <w:top w:val="single" w:color="auto" w:sz="4" w:space="0"/>
                    <w:left w:val="single" w:color="auto" w:sz="4" w:space="0"/>
                    <w:right w:val="single" w:color="auto" w:sz="4" w:space="0"/>
                  </w:tcBorders>
                  <w:vAlign w:val="center"/>
                </w:tcPr>
                <w:p>
                  <w:pPr>
                    <w:jc w:val="center"/>
                    <w:rPr>
                      <w:color w:val="auto"/>
                      <w:szCs w:val="21"/>
                      <w:highlight w:val="none"/>
                    </w:rPr>
                  </w:pPr>
                  <w:r>
                    <w:rPr>
                      <w:color w:val="auto"/>
                      <w:szCs w:val="21"/>
                      <w:highlight w:val="none"/>
                    </w:rPr>
                    <w:t>固态</w:t>
                  </w:r>
                </w:p>
              </w:tc>
              <w:tc>
                <w:tcPr>
                  <w:tcW w:w="716" w:type="pct"/>
                  <w:tcBorders>
                    <w:left w:val="single" w:color="auto" w:sz="4" w:space="0"/>
                    <w:right w:val="single" w:color="auto" w:sz="4" w:space="0"/>
                  </w:tcBorders>
                  <w:vAlign w:val="center"/>
                </w:tcPr>
                <w:p>
                  <w:pPr>
                    <w:spacing w:line="228" w:lineRule="auto"/>
                    <w:rPr>
                      <w:rFonts w:hint="eastAsia" w:eastAsia="宋体"/>
                      <w:color w:val="auto"/>
                      <w:szCs w:val="21"/>
                      <w:highlight w:val="none"/>
                      <w:lang w:eastAsia="zh-CN"/>
                    </w:rPr>
                  </w:pPr>
                  <w:r>
                    <w:rPr>
                      <w:rFonts w:hint="eastAsia"/>
                      <w:color w:val="auto"/>
                      <w:szCs w:val="21"/>
                      <w:highlight w:val="none"/>
                      <w:lang w:eastAsia="zh-CN"/>
                    </w:rPr>
                    <w:t>交餐厨垃圾处理单位处置</w:t>
                  </w:r>
                </w:p>
              </w:tc>
              <w:tc>
                <w:tcPr>
                  <w:tcW w:w="537" w:type="pct"/>
                  <w:tcBorders>
                    <w:top w:val="single" w:color="auto" w:sz="4" w:space="0"/>
                    <w:left w:val="single" w:color="auto" w:sz="4" w:space="0"/>
                    <w:bottom w:val="single" w:color="auto" w:sz="4" w:space="0"/>
                    <w:right w:val="nil"/>
                  </w:tcBorders>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0.36</w:t>
                  </w:r>
                </w:p>
              </w:tc>
            </w:tr>
          </w:tbl>
          <w:p>
            <w:pPr>
              <w:pStyle w:val="2"/>
              <w:ind w:firstLine="480" w:firstLineChars="200"/>
              <w:rPr>
                <w:rFonts w:ascii="Times New Roman" w:cs="Times New Roman"/>
                <w:color w:val="auto"/>
              </w:rPr>
            </w:pPr>
            <w:r>
              <w:rPr>
                <w:rFonts w:ascii="Times New Roman" w:cs="Times New Roman"/>
                <w:color w:val="auto"/>
              </w:rPr>
              <w:t>（2）环境管理要求</w:t>
            </w:r>
          </w:p>
          <w:p>
            <w:pPr>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①危险废物</w:t>
            </w:r>
          </w:p>
          <w:p>
            <w:pPr>
              <w:adjustRightInd w:val="0"/>
              <w:snapToGrid w:val="0"/>
              <w:spacing w:line="360" w:lineRule="auto"/>
              <w:ind w:firstLine="480" w:firstLineChars="200"/>
              <w:rPr>
                <w:bCs/>
                <w:color w:val="auto"/>
                <w:sz w:val="24"/>
              </w:rPr>
            </w:pPr>
            <w:r>
              <w:rPr>
                <w:rFonts w:hint="eastAsia"/>
                <w:color w:val="auto"/>
                <w:sz w:val="24"/>
              </w:rPr>
              <w:t>2#厂房东北侧建有1</w:t>
            </w:r>
            <w:r>
              <w:rPr>
                <w:color w:val="auto"/>
                <w:sz w:val="24"/>
              </w:rPr>
              <w:t>个危险废物暂存间，</w:t>
            </w:r>
            <w:r>
              <w:rPr>
                <w:rFonts w:hint="eastAsia"/>
                <w:color w:val="auto"/>
                <w:sz w:val="24"/>
              </w:rPr>
              <w:t>危险废物暂存</w:t>
            </w:r>
            <w:r>
              <w:rPr>
                <w:color w:val="auto"/>
                <w:sz w:val="24"/>
              </w:rPr>
              <w:t>建筑面积约</w:t>
            </w:r>
            <w:r>
              <w:rPr>
                <w:rFonts w:hint="eastAsia"/>
                <w:color w:val="auto"/>
                <w:sz w:val="24"/>
              </w:rPr>
              <w:t>10</w:t>
            </w:r>
            <w:r>
              <w:rPr>
                <w:color w:val="auto"/>
                <w:sz w:val="24"/>
              </w:rPr>
              <w:t>m</w:t>
            </w:r>
            <w:r>
              <w:rPr>
                <w:color w:val="auto"/>
                <w:sz w:val="24"/>
                <w:vertAlign w:val="superscript"/>
              </w:rPr>
              <w:t>2</w:t>
            </w:r>
            <w:r>
              <w:rPr>
                <w:color w:val="auto"/>
                <w:sz w:val="24"/>
              </w:rPr>
              <w:t>,主要用于暂存</w:t>
            </w:r>
            <w:r>
              <w:rPr>
                <w:rFonts w:hint="eastAsia"/>
                <w:color w:val="auto"/>
                <w:sz w:val="24"/>
              </w:rPr>
              <w:t>危险废物</w:t>
            </w:r>
            <w:r>
              <w:rPr>
                <w:color w:val="auto"/>
                <w:sz w:val="24"/>
              </w:rPr>
              <w:t>,</w:t>
            </w:r>
            <w:r>
              <w:rPr>
                <w:rFonts w:hint="eastAsia" w:ascii="Times New Roman" w:hAnsi="Times New Roman" w:cs="Times New Roman"/>
                <w:color w:val="auto"/>
                <w:sz w:val="24"/>
                <w:szCs w:val="24"/>
                <w:lang w:eastAsia="zh-CN"/>
              </w:rPr>
              <w:t>扩建项目</w:t>
            </w:r>
            <w:r>
              <w:rPr>
                <w:rFonts w:hint="eastAsia"/>
                <w:color w:val="auto"/>
                <w:sz w:val="24"/>
              </w:rPr>
              <w:t>产生的危险废物依托该危险废物暂存间暂存，</w:t>
            </w:r>
            <w:r>
              <w:rPr>
                <w:color w:val="auto"/>
                <w:sz w:val="24"/>
              </w:rPr>
              <w:t>危险废物暂存点设置情况见表</w:t>
            </w:r>
            <w:r>
              <w:rPr>
                <w:rFonts w:hint="eastAsia"/>
                <w:color w:val="auto"/>
                <w:sz w:val="24"/>
              </w:rPr>
              <w:t>4.1</w:t>
            </w:r>
            <w:r>
              <w:rPr>
                <w:rFonts w:hint="eastAsia"/>
                <w:color w:val="auto"/>
                <w:sz w:val="24"/>
                <w:lang w:val="en-US" w:eastAsia="zh-CN"/>
              </w:rPr>
              <w:t>8</w:t>
            </w:r>
            <w:r>
              <w:rPr>
                <w:rFonts w:hint="eastAsia"/>
                <w:color w:val="auto"/>
                <w:sz w:val="24"/>
              </w:rPr>
              <w:t>。</w:t>
            </w:r>
          </w:p>
          <w:p>
            <w:pPr>
              <w:topLinePunct/>
              <w:adjustRightInd w:val="0"/>
              <w:snapToGrid w:val="0"/>
              <w:spacing w:line="360" w:lineRule="auto"/>
              <w:jc w:val="center"/>
              <w:rPr>
                <w:bCs/>
                <w:color w:val="auto"/>
                <w:sz w:val="24"/>
              </w:rPr>
            </w:pPr>
            <w:r>
              <w:rPr>
                <w:bCs/>
                <w:color w:val="auto"/>
                <w:sz w:val="21"/>
                <w:szCs w:val="21"/>
              </w:rPr>
              <w:t>表</w:t>
            </w:r>
            <w:r>
              <w:rPr>
                <w:rFonts w:hint="eastAsia"/>
                <w:bCs/>
                <w:color w:val="auto"/>
                <w:sz w:val="21"/>
                <w:szCs w:val="21"/>
              </w:rPr>
              <w:t>4.1</w:t>
            </w:r>
            <w:r>
              <w:rPr>
                <w:rFonts w:hint="eastAsia"/>
                <w:bCs/>
                <w:color w:val="auto"/>
                <w:sz w:val="21"/>
                <w:szCs w:val="21"/>
                <w:lang w:val="en-US" w:eastAsia="zh-CN"/>
              </w:rPr>
              <w:t>8</w:t>
            </w:r>
            <w:r>
              <w:rPr>
                <w:bCs/>
                <w:color w:val="auto"/>
                <w:sz w:val="21"/>
                <w:szCs w:val="21"/>
              </w:rPr>
              <w:t xml:space="preserve"> 危险废物贮存场所（设施）基本情况表</w:t>
            </w:r>
          </w:p>
          <w:tbl>
            <w:tblPr>
              <w:tblStyle w:val="22"/>
              <w:tblW w:w="4994" w:type="pct"/>
              <w:tblInd w:w="0"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61"/>
              <w:gridCol w:w="847"/>
              <w:gridCol w:w="1288"/>
              <w:gridCol w:w="1196"/>
              <w:gridCol w:w="1215"/>
              <w:gridCol w:w="671"/>
              <w:gridCol w:w="960"/>
              <w:gridCol w:w="960"/>
              <w:gridCol w:w="902"/>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64" w:hRule="atLeast"/>
              </w:trPr>
              <w:tc>
                <w:tcPr>
                  <w:tcW w:w="271" w:type="pct"/>
                  <w:tcBorders>
                    <w:top w:val="single" w:color="auto" w:sz="6" w:space="0"/>
                    <w:left w:val="nil"/>
                    <w:bottom w:val="single" w:color="auto" w:sz="6" w:space="0"/>
                    <w:right w:val="single" w:color="auto" w:sz="6" w:space="0"/>
                  </w:tcBorders>
                  <w:vAlign w:val="center"/>
                </w:tcPr>
                <w:p>
                  <w:pPr>
                    <w:topLinePunct/>
                    <w:adjustRightInd w:val="0"/>
                    <w:snapToGrid w:val="0"/>
                    <w:spacing w:line="216" w:lineRule="auto"/>
                    <w:jc w:val="center"/>
                    <w:rPr>
                      <w:color w:val="auto"/>
                      <w:kern w:val="0"/>
                      <w:szCs w:val="21"/>
                    </w:rPr>
                  </w:pPr>
                  <w:r>
                    <w:rPr>
                      <w:color w:val="auto"/>
                      <w:kern w:val="0"/>
                      <w:szCs w:val="21"/>
                    </w:rPr>
                    <w:t>序号</w:t>
                  </w:r>
                </w:p>
              </w:tc>
              <w:tc>
                <w:tcPr>
                  <w:tcW w:w="498" w:type="pct"/>
                  <w:tcBorders>
                    <w:top w:val="single" w:color="auto" w:sz="6" w:space="0"/>
                    <w:left w:val="single" w:color="auto" w:sz="6" w:space="0"/>
                    <w:bottom w:val="single" w:color="auto" w:sz="6" w:space="0"/>
                    <w:right w:val="single" w:color="auto" w:sz="6" w:space="0"/>
                  </w:tcBorders>
                  <w:vAlign w:val="center"/>
                </w:tcPr>
                <w:p>
                  <w:pPr>
                    <w:topLinePunct/>
                    <w:adjustRightInd w:val="0"/>
                    <w:snapToGrid w:val="0"/>
                    <w:spacing w:line="216" w:lineRule="auto"/>
                    <w:jc w:val="center"/>
                    <w:rPr>
                      <w:color w:val="auto"/>
                      <w:kern w:val="0"/>
                      <w:szCs w:val="21"/>
                    </w:rPr>
                  </w:pPr>
                  <w:r>
                    <w:rPr>
                      <w:color w:val="auto"/>
                      <w:kern w:val="0"/>
                      <w:szCs w:val="21"/>
                    </w:rPr>
                    <w:t>贮存场所（设施）名称</w:t>
                  </w:r>
                </w:p>
              </w:tc>
              <w:tc>
                <w:tcPr>
                  <w:tcW w:w="757" w:type="pct"/>
                  <w:tcBorders>
                    <w:top w:val="single" w:color="auto" w:sz="6" w:space="0"/>
                    <w:left w:val="single" w:color="auto" w:sz="6" w:space="0"/>
                    <w:bottom w:val="single" w:color="auto" w:sz="6" w:space="0"/>
                    <w:right w:val="single" w:color="auto" w:sz="6" w:space="0"/>
                  </w:tcBorders>
                  <w:vAlign w:val="center"/>
                </w:tcPr>
                <w:p>
                  <w:pPr>
                    <w:topLinePunct/>
                    <w:adjustRightInd w:val="0"/>
                    <w:snapToGrid w:val="0"/>
                    <w:spacing w:line="216" w:lineRule="auto"/>
                    <w:jc w:val="center"/>
                    <w:rPr>
                      <w:color w:val="auto"/>
                      <w:kern w:val="0"/>
                      <w:szCs w:val="21"/>
                    </w:rPr>
                  </w:pPr>
                  <w:r>
                    <w:rPr>
                      <w:color w:val="auto"/>
                      <w:kern w:val="0"/>
                      <w:szCs w:val="21"/>
                    </w:rPr>
                    <w:t>危险废</w:t>
                  </w:r>
                </w:p>
                <w:p>
                  <w:pPr>
                    <w:topLinePunct/>
                    <w:adjustRightInd w:val="0"/>
                    <w:snapToGrid w:val="0"/>
                    <w:spacing w:line="216" w:lineRule="auto"/>
                    <w:jc w:val="center"/>
                    <w:rPr>
                      <w:color w:val="auto"/>
                      <w:kern w:val="0"/>
                      <w:szCs w:val="21"/>
                    </w:rPr>
                  </w:pPr>
                  <w:r>
                    <w:rPr>
                      <w:color w:val="auto"/>
                      <w:kern w:val="0"/>
                      <w:szCs w:val="21"/>
                    </w:rPr>
                    <w:t>物名称</w:t>
                  </w:r>
                </w:p>
              </w:tc>
              <w:tc>
                <w:tcPr>
                  <w:tcW w:w="703" w:type="pct"/>
                  <w:tcBorders>
                    <w:top w:val="single" w:color="auto" w:sz="6" w:space="0"/>
                    <w:left w:val="single" w:color="auto" w:sz="6" w:space="0"/>
                    <w:bottom w:val="single" w:color="auto" w:sz="6" w:space="0"/>
                    <w:right w:val="single" w:color="auto" w:sz="6" w:space="0"/>
                  </w:tcBorders>
                  <w:vAlign w:val="center"/>
                </w:tcPr>
                <w:p>
                  <w:pPr>
                    <w:topLinePunct/>
                    <w:adjustRightInd w:val="0"/>
                    <w:snapToGrid w:val="0"/>
                    <w:spacing w:line="216" w:lineRule="auto"/>
                    <w:jc w:val="center"/>
                    <w:rPr>
                      <w:color w:val="auto"/>
                      <w:kern w:val="0"/>
                      <w:szCs w:val="21"/>
                    </w:rPr>
                  </w:pPr>
                  <w:r>
                    <w:rPr>
                      <w:color w:val="auto"/>
                      <w:kern w:val="0"/>
                      <w:szCs w:val="21"/>
                    </w:rPr>
                    <w:t>危险废物类别</w:t>
                  </w:r>
                </w:p>
              </w:tc>
              <w:tc>
                <w:tcPr>
                  <w:tcW w:w="714" w:type="pct"/>
                  <w:tcBorders>
                    <w:top w:val="single" w:color="auto" w:sz="6" w:space="0"/>
                    <w:left w:val="single" w:color="auto" w:sz="6" w:space="0"/>
                    <w:bottom w:val="single" w:color="auto" w:sz="6" w:space="0"/>
                    <w:right w:val="single" w:color="auto" w:sz="6" w:space="0"/>
                  </w:tcBorders>
                  <w:vAlign w:val="center"/>
                </w:tcPr>
                <w:p>
                  <w:pPr>
                    <w:topLinePunct/>
                    <w:adjustRightInd w:val="0"/>
                    <w:snapToGrid w:val="0"/>
                    <w:spacing w:line="216" w:lineRule="auto"/>
                    <w:jc w:val="center"/>
                    <w:rPr>
                      <w:color w:val="auto"/>
                      <w:kern w:val="0"/>
                      <w:szCs w:val="21"/>
                    </w:rPr>
                  </w:pPr>
                  <w:r>
                    <w:rPr>
                      <w:color w:val="auto"/>
                      <w:kern w:val="0"/>
                      <w:szCs w:val="21"/>
                    </w:rPr>
                    <w:t>危险废</w:t>
                  </w:r>
                </w:p>
                <w:p>
                  <w:pPr>
                    <w:topLinePunct/>
                    <w:adjustRightInd w:val="0"/>
                    <w:snapToGrid w:val="0"/>
                    <w:spacing w:line="216" w:lineRule="auto"/>
                    <w:jc w:val="center"/>
                    <w:rPr>
                      <w:color w:val="auto"/>
                      <w:kern w:val="0"/>
                      <w:szCs w:val="21"/>
                    </w:rPr>
                  </w:pPr>
                  <w:r>
                    <w:rPr>
                      <w:color w:val="auto"/>
                      <w:kern w:val="0"/>
                      <w:szCs w:val="21"/>
                    </w:rPr>
                    <w:t>物代码</w:t>
                  </w:r>
                </w:p>
              </w:tc>
              <w:tc>
                <w:tcPr>
                  <w:tcW w:w="394" w:type="pct"/>
                  <w:tcBorders>
                    <w:top w:val="single" w:color="auto" w:sz="6" w:space="0"/>
                    <w:left w:val="single" w:color="auto" w:sz="6" w:space="0"/>
                    <w:bottom w:val="single" w:color="auto" w:sz="6" w:space="0"/>
                    <w:right w:val="single" w:color="auto" w:sz="6" w:space="0"/>
                  </w:tcBorders>
                  <w:vAlign w:val="center"/>
                </w:tcPr>
                <w:p>
                  <w:pPr>
                    <w:topLinePunct/>
                    <w:adjustRightInd w:val="0"/>
                    <w:snapToGrid w:val="0"/>
                    <w:spacing w:line="216" w:lineRule="auto"/>
                    <w:jc w:val="center"/>
                    <w:rPr>
                      <w:color w:val="auto"/>
                      <w:kern w:val="0"/>
                      <w:szCs w:val="21"/>
                    </w:rPr>
                  </w:pPr>
                  <w:r>
                    <w:rPr>
                      <w:color w:val="auto"/>
                      <w:kern w:val="0"/>
                      <w:szCs w:val="21"/>
                    </w:rPr>
                    <w:t>位置</w:t>
                  </w:r>
                </w:p>
              </w:tc>
              <w:tc>
                <w:tcPr>
                  <w:tcW w:w="564" w:type="pct"/>
                  <w:tcBorders>
                    <w:top w:val="single" w:color="auto" w:sz="6" w:space="0"/>
                    <w:left w:val="single" w:color="auto" w:sz="6" w:space="0"/>
                    <w:bottom w:val="single" w:color="auto" w:sz="6" w:space="0"/>
                    <w:right w:val="single" w:color="auto" w:sz="6" w:space="0"/>
                  </w:tcBorders>
                  <w:vAlign w:val="center"/>
                </w:tcPr>
                <w:p>
                  <w:pPr>
                    <w:topLinePunct/>
                    <w:adjustRightInd w:val="0"/>
                    <w:snapToGrid w:val="0"/>
                    <w:spacing w:line="216" w:lineRule="auto"/>
                    <w:jc w:val="center"/>
                    <w:rPr>
                      <w:color w:val="auto"/>
                      <w:kern w:val="0"/>
                      <w:szCs w:val="21"/>
                    </w:rPr>
                  </w:pPr>
                  <w:r>
                    <w:rPr>
                      <w:color w:val="auto"/>
                      <w:kern w:val="0"/>
                      <w:szCs w:val="21"/>
                    </w:rPr>
                    <w:t>储存</w:t>
                  </w:r>
                </w:p>
                <w:p>
                  <w:pPr>
                    <w:topLinePunct/>
                    <w:adjustRightInd w:val="0"/>
                    <w:snapToGrid w:val="0"/>
                    <w:spacing w:line="216" w:lineRule="auto"/>
                    <w:jc w:val="center"/>
                    <w:rPr>
                      <w:color w:val="auto"/>
                      <w:kern w:val="0"/>
                      <w:szCs w:val="21"/>
                    </w:rPr>
                  </w:pPr>
                  <w:r>
                    <w:rPr>
                      <w:color w:val="auto"/>
                      <w:kern w:val="0"/>
                      <w:szCs w:val="21"/>
                    </w:rPr>
                    <w:t>面积</w:t>
                  </w:r>
                </w:p>
              </w:tc>
              <w:tc>
                <w:tcPr>
                  <w:tcW w:w="564" w:type="pct"/>
                  <w:tcBorders>
                    <w:top w:val="single" w:color="auto" w:sz="6" w:space="0"/>
                    <w:left w:val="single" w:color="auto" w:sz="6" w:space="0"/>
                    <w:bottom w:val="single" w:color="auto" w:sz="6" w:space="0"/>
                    <w:right w:val="single" w:color="auto" w:sz="6" w:space="0"/>
                  </w:tcBorders>
                  <w:vAlign w:val="center"/>
                </w:tcPr>
                <w:p>
                  <w:pPr>
                    <w:topLinePunct/>
                    <w:adjustRightInd w:val="0"/>
                    <w:snapToGrid w:val="0"/>
                    <w:spacing w:line="216" w:lineRule="auto"/>
                    <w:jc w:val="center"/>
                    <w:rPr>
                      <w:color w:val="auto"/>
                      <w:kern w:val="0"/>
                      <w:szCs w:val="21"/>
                    </w:rPr>
                  </w:pPr>
                  <w:r>
                    <w:rPr>
                      <w:color w:val="auto"/>
                      <w:kern w:val="0"/>
                      <w:szCs w:val="21"/>
                    </w:rPr>
                    <w:t>贮存</w:t>
                  </w:r>
                </w:p>
                <w:p>
                  <w:pPr>
                    <w:topLinePunct/>
                    <w:adjustRightInd w:val="0"/>
                    <w:snapToGrid w:val="0"/>
                    <w:spacing w:line="216" w:lineRule="auto"/>
                    <w:jc w:val="center"/>
                    <w:rPr>
                      <w:color w:val="auto"/>
                      <w:kern w:val="0"/>
                      <w:szCs w:val="21"/>
                    </w:rPr>
                  </w:pPr>
                  <w:r>
                    <w:rPr>
                      <w:color w:val="auto"/>
                      <w:kern w:val="0"/>
                      <w:szCs w:val="21"/>
                    </w:rPr>
                    <w:t>方式</w:t>
                  </w:r>
                </w:p>
              </w:tc>
              <w:tc>
                <w:tcPr>
                  <w:tcW w:w="530" w:type="pct"/>
                  <w:tcBorders>
                    <w:top w:val="single" w:color="auto" w:sz="6" w:space="0"/>
                    <w:left w:val="single" w:color="auto" w:sz="6" w:space="0"/>
                    <w:bottom w:val="single" w:color="auto" w:sz="6" w:space="0"/>
                    <w:right w:val="nil"/>
                  </w:tcBorders>
                  <w:vAlign w:val="center"/>
                </w:tcPr>
                <w:p>
                  <w:pPr>
                    <w:topLinePunct/>
                    <w:adjustRightInd w:val="0"/>
                    <w:snapToGrid w:val="0"/>
                    <w:spacing w:line="216" w:lineRule="auto"/>
                    <w:jc w:val="center"/>
                    <w:rPr>
                      <w:color w:val="auto"/>
                      <w:kern w:val="0"/>
                      <w:szCs w:val="21"/>
                    </w:rPr>
                  </w:pPr>
                  <w:r>
                    <w:rPr>
                      <w:color w:val="auto"/>
                      <w:kern w:val="0"/>
                      <w:szCs w:val="21"/>
                    </w:rPr>
                    <w:t>贮存</w:t>
                  </w:r>
                </w:p>
                <w:p>
                  <w:pPr>
                    <w:topLinePunct/>
                    <w:adjustRightInd w:val="0"/>
                    <w:snapToGrid w:val="0"/>
                    <w:spacing w:line="216" w:lineRule="auto"/>
                    <w:jc w:val="center"/>
                    <w:rPr>
                      <w:color w:val="auto"/>
                      <w:kern w:val="0"/>
                      <w:szCs w:val="21"/>
                    </w:rPr>
                  </w:pPr>
                  <w:r>
                    <w:rPr>
                      <w:bCs/>
                      <w:color w:val="auto"/>
                      <w:kern w:val="0"/>
                      <w:szCs w:val="21"/>
                    </w:rPr>
                    <w:t>周期</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271" w:type="pct"/>
                  <w:tcBorders>
                    <w:top w:val="single" w:color="auto" w:sz="6" w:space="0"/>
                    <w:left w:val="nil"/>
                    <w:bottom w:val="single" w:color="auto" w:sz="6" w:space="0"/>
                    <w:right w:val="single" w:color="auto" w:sz="6" w:space="0"/>
                  </w:tcBorders>
                  <w:vAlign w:val="center"/>
                </w:tcPr>
                <w:p>
                  <w:pPr>
                    <w:topLinePunct/>
                    <w:adjustRightInd w:val="0"/>
                    <w:snapToGrid w:val="0"/>
                    <w:spacing w:line="216" w:lineRule="auto"/>
                    <w:jc w:val="center"/>
                    <w:rPr>
                      <w:color w:val="auto"/>
                      <w:kern w:val="0"/>
                      <w:szCs w:val="21"/>
                    </w:rPr>
                  </w:pPr>
                  <w:r>
                    <w:rPr>
                      <w:color w:val="auto"/>
                      <w:kern w:val="0"/>
                      <w:szCs w:val="21"/>
                    </w:rPr>
                    <w:t>1</w:t>
                  </w:r>
                </w:p>
              </w:tc>
              <w:tc>
                <w:tcPr>
                  <w:tcW w:w="498" w:type="pct"/>
                  <w:vMerge w:val="restart"/>
                  <w:tcBorders>
                    <w:top w:val="single" w:color="auto" w:sz="6" w:space="0"/>
                    <w:left w:val="single" w:color="auto" w:sz="6" w:space="0"/>
                    <w:right w:val="single" w:color="auto" w:sz="6" w:space="0"/>
                  </w:tcBorders>
                  <w:vAlign w:val="center"/>
                </w:tcPr>
                <w:p>
                  <w:pPr>
                    <w:topLinePunct/>
                    <w:adjustRightInd w:val="0"/>
                    <w:snapToGrid w:val="0"/>
                    <w:spacing w:line="216" w:lineRule="auto"/>
                    <w:jc w:val="center"/>
                    <w:rPr>
                      <w:color w:val="auto"/>
                      <w:kern w:val="0"/>
                      <w:szCs w:val="21"/>
                    </w:rPr>
                  </w:pPr>
                  <w:r>
                    <w:rPr>
                      <w:color w:val="auto"/>
                      <w:kern w:val="0"/>
                      <w:szCs w:val="21"/>
                    </w:rPr>
                    <w:t>危险废物暂存</w:t>
                  </w:r>
                  <w:r>
                    <w:rPr>
                      <w:rFonts w:hint="eastAsia"/>
                      <w:color w:val="auto"/>
                      <w:kern w:val="0"/>
                      <w:szCs w:val="21"/>
                    </w:rPr>
                    <w:t>间</w:t>
                  </w:r>
                </w:p>
              </w:tc>
              <w:tc>
                <w:tcPr>
                  <w:tcW w:w="7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8" w:lineRule="auto"/>
                    <w:jc w:val="center"/>
                    <w:rPr>
                      <w:rFonts w:ascii="宋体" w:hAnsi="宋体" w:cs="宋体"/>
                      <w:bCs/>
                      <w:color w:val="auto"/>
                      <w:szCs w:val="21"/>
                    </w:rPr>
                  </w:pPr>
                  <w:r>
                    <w:rPr>
                      <w:rFonts w:hint="eastAsia"/>
                      <w:bCs/>
                      <w:color w:val="auto"/>
                      <w:szCs w:val="21"/>
                    </w:rPr>
                    <w:t>废胶粘剂桶</w:t>
                  </w:r>
                </w:p>
              </w:tc>
              <w:tc>
                <w:tcPr>
                  <w:tcW w:w="703"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Cs/>
                      <w:color w:val="auto"/>
                      <w:szCs w:val="21"/>
                    </w:rPr>
                  </w:pPr>
                  <w:r>
                    <w:rPr>
                      <w:bCs/>
                      <w:color w:val="auto"/>
                      <w:szCs w:val="21"/>
                    </w:rPr>
                    <w:t>HW</w:t>
                  </w:r>
                  <w:r>
                    <w:rPr>
                      <w:rFonts w:hint="eastAsia"/>
                      <w:bCs/>
                      <w:color w:val="auto"/>
                      <w:szCs w:val="21"/>
                    </w:rPr>
                    <w:t>49</w:t>
                  </w:r>
                </w:p>
              </w:tc>
              <w:tc>
                <w:tcPr>
                  <w:tcW w:w="714" w:type="pct"/>
                  <w:tcBorders>
                    <w:top w:val="single" w:color="auto" w:sz="6" w:space="0"/>
                    <w:left w:val="single" w:color="auto" w:sz="6" w:space="0"/>
                    <w:bottom w:val="single" w:color="auto" w:sz="6" w:space="0"/>
                    <w:right w:val="single" w:color="auto" w:sz="6" w:space="0"/>
                  </w:tcBorders>
                  <w:vAlign w:val="center"/>
                </w:tcPr>
                <w:p>
                  <w:pPr>
                    <w:topLinePunct/>
                    <w:adjustRightInd w:val="0"/>
                    <w:snapToGrid w:val="0"/>
                    <w:spacing w:line="216" w:lineRule="auto"/>
                    <w:jc w:val="center"/>
                    <w:rPr>
                      <w:color w:val="auto"/>
                      <w:kern w:val="0"/>
                      <w:szCs w:val="21"/>
                    </w:rPr>
                  </w:pPr>
                  <w:r>
                    <w:rPr>
                      <w:bCs/>
                      <w:color w:val="auto"/>
                      <w:szCs w:val="21"/>
                    </w:rPr>
                    <w:t>900-</w:t>
                  </w:r>
                  <w:r>
                    <w:rPr>
                      <w:rFonts w:hint="eastAsia"/>
                      <w:bCs/>
                      <w:color w:val="auto"/>
                      <w:szCs w:val="21"/>
                    </w:rPr>
                    <w:t>041</w:t>
                  </w:r>
                  <w:r>
                    <w:rPr>
                      <w:bCs/>
                      <w:color w:val="auto"/>
                      <w:szCs w:val="21"/>
                    </w:rPr>
                    <w:t>-</w:t>
                  </w:r>
                  <w:r>
                    <w:rPr>
                      <w:rFonts w:hint="eastAsia"/>
                      <w:bCs/>
                      <w:color w:val="auto"/>
                      <w:szCs w:val="21"/>
                    </w:rPr>
                    <w:t>49</w:t>
                  </w:r>
                </w:p>
              </w:tc>
              <w:tc>
                <w:tcPr>
                  <w:tcW w:w="394" w:type="pct"/>
                  <w:vMerge w:val="restart"/>
                  <w:tcBorders>
                    <w:top w:val="single" w:color="auto" w:sz="6" w:space="0"/>
                    <w:left w:val="single" w:color="auto" w:sz="6" w:space="0"/>
                    <w:right w:val="single" w:color="auto" w:sz="6" w:space="0"/>
                  </w:tcBorders>
                  <w:vAlign w:val="center"/>
                </w:tcPr>
                <w:p>
                  <w:pPr>
                    <w:topLinePunct/>
                    <w:adjustRightInd w:val="0"/>
                    <w:snapToGrid w:val="0"/>
                    <w:spacing w:line="216" w:lineRule="auto"/>
                    <w:jc w:val="center"/>
                    <w:rPr>
                      <w:color w:val="auto"/>
                      <w:kern w:val="0"/>
                      <w:szCs w:val="21"/>
                    </w:rPr>
                  </w:pPr>
                  <w:r>
                    <w:rPr>
                      <w:rFonts w:hint="eastAsia"/>
                      <w:color w:val="auto"/>
                      <w:kern w:val="0"/>
                      <w:szCs w:val="21"/>
                    </w:rPr>
                    <w:t>2#厂房东北侧</w:t>
                  </w:r>
                </w:p>
              </w:tc>
              <w:tc>
                <w:tcPr>
                  <w:tcW w:w="564" w:type="pct"/>
                  <w:vMerge w:val="restart"/>
                  <w:tcBorders>
                    <w:top w:val="single" w:color="auto" w:sz="6" w:space="0"/>
                    <w:left w:val="single" w:color="auto" w:sz="6" w:space="0"/>
                    <w:right w:val="single" w:color="auto" w:sz="6" w:space="0"/>
                  </w:tcBorders>
                  <w:vAlign w:val="center"/>
                </w:tcPr>
                <w:p>
                  <w:pPr>
                    <w:topLinePunct/>
                    <w:adjustRightInd w:val="0"/>
                    <w:snapToGrid w:val="0"/>
                    <w:spacing w:line="216" w:lineRule="auto"/>
                    <w:jc w:val="center"/>
                    <w:rPr>
                      <w:color w:val="auto"/>
                      <w:kern w:val="0"/>
                      <w:szCs w:val="21"/>
                    </w:rPr>
                  </w:pPr>
                  <w:r>
                    <w:rPr>
                      <w:rFonts w:hint="eastAsia"/>
                      <w:color w:val="auto"/>
                      <w:kern w:val="0"/>
                      <w:szCs w:val="21"/>
                    </w:rPr>
                    <w:t>10</w:t>
                  </w:r>
                  <w:r>
                    <w:rPr>
                      <w:color w:val="auto"/>
                      <w:kern w:val="0"/>
                      <w:szCs w:val="21"/>
                    </w:rPr>
                    <w:t>m</w:t>
                  </w:r>
                  <w:r>
                    <w:rPr>
                      <w:color w:val="auto"/>
                      <w:kern w:val="0"/>
                      <w:szCs w:val="21"/>
                      <w:vertAlign w:val="superscript"/>
                    </w:rPr>
                    <w:t>2</w:t>
                  </w:r>
                </w:p>
              </w:tc>
              <w:tc>
                <w:tcPr>
                  <w:tcW w:w="564" w:type="pct"/>
                  <w:tcBorders>
                    <w:top w:val="single" w:color="auto" w:sz="6" w:space="0"/>
                    <w:left w:val="single" w:color="auto" w:sz="6" w:space="0"/>
                    <w:bottom w:val="single" w:color="auto" w:sz="6" w:space="0"/>
                    <w:right w:val="single" w:color="auto" w:sz="6" w:space="0"/>
                  </w:tcBorders>
                  <w:vAlign w:val="center"/>
                </w:tcPr>
                <w:p>
                  <w:pPr>
                    <w:topLinePunct/>
                    <w:adjustRightInd w:val="0"/>
                    <w:snapToGrid w:val="0"/>
                    <w:spacing w:line="216" w:lineRule="auto"/>
                    <w:jc w:val="center"/>
                    <w:rPr>
                      <w:color w:val="auto"/>
                      <w:kern w:val="0"/>
                      <w:szCs w:val="21"/>
                    </w:rPr>
                  </w:pPr>
                  <w:r>
                    <w:rPr>
                      <w:color w:val="auto"/>
                      <w:kern w:val="0"/>
                      <w:szCs w:val="21"/>
                    </w:rPr>
                    <w:t>桶装</w:t>
                  </w:r>
                </w:p>
              </w:tc>
              <w:tc>
                <w:tcPr>
                  <w:tcW w:w="530" w:type="pct"/>
                  <w:vMerge w:val="restart"/>
                  <w:tcBorders>
                    <w:top w:val="single" w:color="auto" w:sz="6" w:space="0"/>
                    <w:left w:val="single" w:color="auto" w:sz="6" w:space="0"/>
                    <w:right w:val="nil"/>
                  </w:tcBorders>
                  <w:vAlign w:val="center"/>
                </w:tcPr>
                <w:p>
                  <w:pPr>
                    <w:topLinePunct/>
                    <w:adjustRightInd w:val="0"/>
                    <w:snapToGrid w:val="0"/>
                    <w:spacing w:line="216" w:lineRule="auto"/>
                    <w:jc w:val="center"/>
                    <w:rPr>
                      <w:color w:val="auto"/>
                      <w:kern w:val="0"/>
                      <w:szCs w:val="21"/>
                    </w:rPr>
                  </w:pPr>
                  <w:r>
                    <w:rPr>
                      <w:rFonts w:hint="eastAsia"/>
                      <w:color w:val="auto"/>
                      <w:kern w:val="0"/>
                      <w:szCs w:val="21"/>
                    </w:rPr>
                    <w:t>半年</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271" w:type="pct"/>
                  <w:tcBorders>
                    <w:top w:val="single" w:color="auto" w:sz="6" w:space="0"/>
                    <w:left w:val="nil"/>
                    <w:bottom w:val="single" w:color="auto" w:sz="6" w:space="0"/>
                    <w:right w:val="single" w:color="auto" w:sz="6" w:space="0"/>
                  </w:tcBorders>
                  <w:vAlign w:val="center"/>
                </w:tcPr>
                <w:p>
                  <w:pPr>
                    <w:topLinePunct/>
                    <w:adjustRightInd w:val="0"/>
                    <w:snapToGrid w:val="0"/>
                    <w:spacing w:line="216" w:lineRule="auto"/>
                    <w:jc w:val="center"/>
                    <w:rPr>
                      <w:color w:val="auto"/>
                      <w:kern w:val="0"/>
                      <w:szCs w:val="21"/>
                    </w:rPr>
                  </w:pPr>
                  <w:r>
                    <w:rPr>
                      <w:rFonts w:hint="eastAsia"/>
                      <w:color w:val="auto"/>
                      <w:kern w:val="0"/>
                      <w:szCs w:val="21"/>
                    </w:rPr>
                    <w:t>2</w:t>
                  </w:r>
                </w:p>
              </w:tc>
              <w:tc>
                <w:tcPr>
                  <w:tcW w:w="498" w:type="pct"/>
                  <w:vMerge w:val="continue"/>
                  <w:tcBorders>
                    <w:left w:val="single" w:color="auto" w:sz="6" w:space="0"/>
                    <w:right w:val="single" w:color="auto" w:sz="6" w:space="0"/>
                  </w:tcBorders>
                  <w:vAlign w:val="center"/>
                </w:tcPr>
                <w:p>
                  <w:pPr>
                    <w:topLinePunct/>
                    <w:adjustRightInd w:val="0"/>
                    <w:snapToGrid w:val="0"/>
                    <w:spacing w:line="216" w:lineRule="auto"/>
                    <w:jc w:val="center"/>
                    <w:rPr>
                      <w:color w:val="auto"/>
                      <w:kern w:val="0"/>
                      <w:szCs w:val="21"/>
                    </w:rPr>
                  </w:pPr>
                </w:p>
              </w:tc>
              <w:tc>
                <w:tcPr>
                  <w:tcW w:w="75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Cs w:val="21"/>
                    </w:rPr>
                  </w:pPr>
                  <w:r>
                    <w:rPr>
                      <w:bCs/>
                      <w:color w:val="auto"/>
                      <w:szCs w:val="21"/>
                    </w:rPr>
                    <w:t>废活性炭</w:t>
                  </w:r>
                </w:p>
              </w:tc>
              <w:tc>
                <w:tcPr>
                  <w:tcW w:w="703"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Cs w:val="21"/>
                    </w:rPr>
                  </w:pPr>
                  <w:r>
                    <w:rPr>
                      <w:bCs/>
                      <w:color w:val="auto"/>
                      <w:szCs w:val="21"/>
                    </w:rPr>
                    <w:t>HW</w:t>
                  </w:r>
                  <w:r>
                    <w:rPr>
                      <w:rFonts w:hint="eastAsia"/>
                      <w:bCs/>
                      <w:color w:val="auto"/>
                      <w:szCs w:val="21"/>
                    </w:rPr>
                    <w:t>49</w:t>
                  </w:r>
                </w:p>
              </w:tc>
              <w:tc>
                <w:tcPr>
                  <w:tcW w:w="714" w:type="pct"/>
                  <w:tcBorders>
                    <w:top w:val="single" w:color="auto" w:sz="6" w:space="0"/>
                    <w:left w:val="single" w:color="auto" w:sz="6" w:space="0"/>
                    <w:bottom w:val="single" w:color="auto" w:sz="6" w:space="0"/>
                    <w:right w:val="single" w:color="auto" w:sz="6" w:space="0"/>
                  </w:tcBorders>
                  <w:vAlign w:val="center"/>
                </w:tcPr>
                <w:p>
                  <w:pPr>
                    <w:topLinePunct/>
                    <w:adjustRightInd w:val="0"/>
                    <w:snapToGrid w:val="0"/>
                    <w:jc w:val="center"/>
                    <w:rPr>
                      <w:color w:val="auto"/>
                      <w:szCs w:val="21"/>
                    </w:rPr>
                  </w:pPr>
                  <w:r>
                    <w:rPr>
                      <w:bCs/>
                      <w:color w:val="auto"/>
                      <w:szCs w:val="21"/>
                    </w:rPr>
                    <w:t>900-</w:t>
                  </w:r>
                  <w:r>
                    <w:rPr>
                      <w:rFonts w:hint="eastAsia"/>
                      <w:bCs/>
                      <w:color w:val="auto"/>
                      <w:szCs w:val="21"/>
                    </w:rPr>
                    <w:t>039</w:t>
                  </w:r>
                  <w:r>
                    <w:rPr>
                      <w:bCs/>
                      <w:color w:val="auto"/>
                      <w:szCs w:val="21"/>
                    </w:rPr>
                    <w:t>-</w:t>
                  </w:r>
                  <w:r>
                    <w:rPr>
                      <w:rFonts w:hint="eastAsia"/>
                      <w:bCs/>
                      <w:color w:val="auto"/>
                      <w:szCs w:val="21"/>
                    </w:rPr>
                    <w:t>49</w:t>
                  </w:r>
                </w:p>
              </w:tc>
              <w:tc>
                <w:tcPr>
                  <w:tcW w:w="394" w:type="pct"/>
                  <w:vMerge w:val="continue"/>
                  <w:tcBorders>
                    <w:left w:val="single" w:color="auto" w:sz="6" w:space="0"/>
                    <w:right w:val="single" w:color="auto" w:sz="6" w:space="0"/>
                  </w:tcBorders>
                  <w:vAlign w:val="center"/>
                </w:tcPr>
                <w:p>
                  <w:pPr>
                    <w:topLinePunct/>
                    <w:adjustRightInd w:val="0"/>
                    <w:snapToGrid w:val="0"/>
                    <w:spacing w:line="216" w:lineRule="auto"/>
                    <w:jc w:val="center"/>
                    <w:rPr>
                      <w:color w:val="auto"/>
                      <w:kern w:val="0"/>
                      <w:szCs w:val="21"/>
                    </w:rPr>
                  </w:pPr>
                </w:p>
              </w:tc>
              <w:tc>
                <w:tcPr>
                  <w:tcW w:w="564" w:type="pct"/>
                  <w:vMerge w:val="continue"/>
                  <w:tcBorders>
                    <w:left w:val="single" w:color="auto" w:sz="6" w:space="0"/>
                    <w:right w:val="single" w:color="auto" w:sz="6" w:space="0"/>
                  </w:tcBorders>
                  <w:vAlign w:val="center"/>
                </w:tcPr>
                <w:p>
                  <w:pPr>
                    <w:topLinePunct/>
                    <w:adjustRightInd w:val="0"/>
                    <w:snapToGrid w:val="0"/>
                    <w:spacing w:line="216" w:lineRule="auto"/>
                    <w:jc w:val="center"/>
                    <w:rPr>
                      <w:color w:val="auto"/>
                      <w:kern w:val="0"/>
                      <w:szCs w:val="21"/>
                    </w:rPr>
                  </w:pPr>
                </w:p>
              </w:tc>
              <w:tc>
                <w:tcPr>
                  <w:tcW w:w="564" w:type="pct"/>
                  <w:tcBorders>
                    <w:top w:val="single" w:color="auto" w:sz="6" w:space="0"/>
                    <w:left w:val="single" w:color="auto" w:sz="6" w:space="0"/>
                    <w:bottom w:val="single" w:color="auto" w:sz="6" w:space="0"/>
                    <w:right w:val="single" w:color="auto" w:sz="6" w:space="0"/>
                  </w:tcBorders>
                  <w:vAlign w:val="center"/>
                </w:tcPr>
                <w:p>
                  <w:pPr>
                    <w:topLinePunct/>
                    <w:adjustRightInd w:val="0"/>
                    <w:snapToGrid w:val="0"/>
                    <w:spacing w:line="216" w:lineRule="auto"/>
                    <w:jc w:val="center"/>
                    <w:rPr>
                      <w:color w:val="auto"/>
                      <w:kern w:val="0"/>
                      <w:szCs w:val="21"/>
                    </w:rPr>
                  </w:pPr>
                  <w:r>
                    <w:rPr>
                      <w:color w:val="auto"/>
                      <w:kern w:val="0"/>
                      <w:szCs w:val="21"/>
                    </w:rPr>
                    <w:t>桶装</w:t>
                  </w:r>
                </w:p>
              </w:tc>
              <w:tc>
                <w:tcPr>
                  <w:tcW w:w="530" w:type="pct"/>
                  <w:vMerge w:val="continue"/>
                  <w:tcBorders>
                    <w:left w:val="single" w:color="auto" w:sz="6" w:space="0"/>
                    <w:right w:val="nil"/>
                  </w:tcBorders>
                  <w:vAlign w:val="center"/>
                </w:tcPr>
                <w:p>
                  <w:pPr>
                    <w:topLinePunct/>
                    <w:adjustRightInd w:val="0"/>
                    <w:snapToGrid w:val="0"/>
                    <w:spacing w:line="216" w:lineRule="auto"/>
                    <w:jc w:val="center"/>
                    <w:rPr>
                      <w:color w:val="auto"/>
                      <w:kern w:val="0"/>
                      <w:szCs w:val="21"/>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271" w:type="pct"/>
                  <w:tcBorders>
                    <w:top w:val="single" w:color="auto" w:sz="6" w:space="0"/>
                    <w:left w:val="nil"/>
                    <w:bottom w:val="single" w:color="auto" w:sz="6" w:space="0"/>
                    <w:right w:val="single" w:color="auto" w:sz="6" w:space="0"/>
                  </w:tcBorders>
                  <w:vAlign w:val="center"/>
                </w:tcPr>
                <w:p>
                  <w:pPr>
                    <w:topLinePunct/>
                    <w:adjustRightInd w:val="0"/>
                    <w:snapToGrid w:val="0"/>
                    <w:spacing w:line="216" w:lineRule="auto"/>
                    <w:jc w:val="center"/>
                    <w:rPr>
                      <w:color w:val="auto"/>
                      <w:kern w:val="0"/>
                      <w:szCs w:val="21"/>
                    </w:rPr>
                  </w:pPr>
                  <w:r>
                    <w:rPr>
                      <w:rFonts w:hint="eastAsia"/>
                      <w:color w:val="auto"/>
                      <w:kern w:val="0"/>
                      <w:szCs w:val="21"/>
                    </w:rPr>
                    <w:t>3</w:t>
                  </w:r>
                </w:p>
              </w:tc>
              <w:tc>
                <w:tcPr>
                  <w:tcW w:w="498" w:type="pct"/>
                  <w:vMerge w:val="continue"/>
                  <w:tcBorders>
                    <w:left w:val="single" w:color="auto" w:sz="6" w:space="0"/>
                    <w:right w:val="single" w:color="auto" w:sz="6" w:space="0"/>
                  </w:tcBorders>
                  <w:vAlign w:val="center"/>
                </w:tcPr>
                <w:p>
                  <w:pPr>
                    <w:topLinePunct/>
                    <w:adjustRightInd w:val="0"/>
                    <w:snapToGrid w:val="0"/>
                    <w:spacing w:line="216" w:lineRule="auto"/>
                    <w:jc w:val="center"/>
                    <w:rPr>
                      <w:color w:val="auto"/>
                      <w:kern w:val="0"/>
                      <w:szCs w:val="21"/>
                    </w:rPr>
                  </w:pPr>
                </w:p>
              </w:tc>
              <w:tc>
                <w:tcPr>
                  <w:tcW w:w="757" w:type="pct"/>
                  <w:tcBorders>
                    <w:top w:val="single" w:color="auto" w:sz="6" w:space="0"/>
                    <w:left w:val="single" w:color="auto" w:sz="6" w:space="0"/>
                    <w:bottom w:val="single" w:color="auto" w:sz="6" w:space="0"/>
                    <w:right w:val="single" w:color="auto" w:sz="6" w:space="0"/>
                  </w:tcBorders>
                  <w:vAlign w:val="center"/>
                </w:tcPr>
                <w:p>
                  <w:pPr>
                    <w:adjustRightInd w:val="0"/>
                    <w:snapToGrid w:val="0"/>
                    <w:rPr>
                      <w:bCs/>
                      <w:color w:val="auto"/>
                      <w:szCs w:val="21"/>
                    </w:rPr>
                  </w:pPr>
                  <w:r>
                    <w:rPr>
                      <w:rFonts w:hint="eastAsia"/>
                      <w:color w:val="auto"/>
                      <w:szCs w:val="21"/>
                      <w:lang w:bidi="ar"/>
                    </w:rPr>
                    <w:t>含油抹布、劳保用品</w:t>
                  </w:r>
                </w:p>
              </w:tc>
              <w:tc>
                <w:tcPr>
                  <w:tcW w:w="703"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Cs/>
                      <w:color w:val="auto"/>
                      <w:szCs w:val="21"/>
                    </w:rPr>
                  </w:pPr>
                  <w:r>
                    <w:rPr>
                      <w:bCs/>
                      <w:color w:val="auto"/>
                      <w:szCs w:val="21"/>
                    </w:rPr>
                    <w:t>HW49</w:t>
                  </w:r>
                </w:p>
              </w:tc>
              <w:tc>
                <w:tcPr>
                  <w:tcW w:w="714" w:type="pct"/>
                  <w:tcBorders>
                    <w:top w:val="single" w:color="auto" w:sz="6" w:space="0"/>
                    <w:left w:val="single" w:color="auto" w:sz="6" w:space="0"/>
                    <w:bottom w:val="single" w:color="auto" w:sz="6" w:space="0"/>
                    <w:right w:val="single" w:color="auto" w:sz="6" w:space="0"/>
                  </w:tcBorders>
                  <w:vAlign w:val="center"/>
                </w:tcPr>
                <w:p>
                  <w:pPr>
                    <w:topLinePunct/>
                    <w:adjustRightInd w:val="0"/>
                    <w:snapToGrid w:val="0"/>
                    <w:jc w:val="center"/>
                    <w:rPr>
                      <w:bCs/>
                      <w:color w:val="auto"/>
                      <w:szCs w:val="21"/>
                    </w:rPr>
                  </w:pPr>
                  <w:r>
                    <w:rPr>
                      <w:bCs/>
                      <w:color w:val="auto"/>
                      <w:szCs w:val="21"/>
                    </w:rPr>
                    <w:t>900-041-49</w:t>
                  </w:r>
                </w:p>
              </w:tc>
              <w:tc>
                <w:tcPr>
                  <w:tcW w:w="394" w:type="pct"/>
                  <w:vMerge w:val="continue"/>
                  <w:tcBorders>
                    <w:left w:val="single" w:color="auto" w:sz="6" w:space="0"/>
                    <w:right w:val="single" w:color="auto" w:sz="6" w:space="0"/>
                  </w:tcBorders>
                  <w:vAlign w:val="center"/>
                </w:tcPr>
                <w:p>
                  <w:pPr>
                    <w:topLinePunct/>
                    <w:adjustRightInd w:val="0"/>
                    <w:snapToGrid w:val="0"/>
                    <w:spacing w:line="216" w:lineRule="auto"/>
                    <w:jc w:val="center"/>
                    <w:rPr>
                      <w:color w:val="auto"/>
                      <w:kern w:val="0"/>
                      <w:szCs w:val="21"/>
                    </w:rPr>
                  </w:pPr>
                </w:p>
              </w:tc>
              <w:tc>
                <w:tcPr>
                  <w:tcW w:w="564" w:type="pct"/>
                  <w:vMerge w:val="continue"/>
                  <w:tcBorders>
                    <w:left w:val="single" w:color="auto" w:sz="6" w:space="0"/>
                    <w:right w:val="single" w:color="auto" w:sz="6" w:space="0"/>
                  </w:tcBorders>
                  <w:vAlign w:val="center"/>
                </w:tcPr>
                <w:p>
                  <w:pPr>
                    <w:topLinePunct/>
                    <w:adjustRightInd w:val="0"/>
                    <w:snapToGrid w:val="0"/>
                    <w:spacing w:line="216" w:lineRule="auto"/>
                    <w:jc w:val="center"/>
                    <w:rPr>
                      <w:color w:val="auto"/>
                      <w:kern w:val="0"/>
                      <w:szCs w:val="21"/>
                    </w:rPr>
                  </w:pPr>
                </w:p>
              </w:tc>
              <w:tc>
                <w:tcPr>
                  <w:tcW w:w="564" w:type="pct"/>
                  <w:tcBorders>
                    <w:top w:val="single" w:color="auto" w:sz="6" w:space="0"/>
                    <w:left w:val="single" w:color="auto" w:sz="6" w:space="0"/>
                    <w:bottom w:val="single" w:color="auto" w:sz="6" w:space="0"/>
                    <w:right w:val="single" w:color="auto" w:sz="6" w:space="0"/>
                  </w:tcBorders>
                  <w:vAlign w:val="center"/>
                </w:tcPr>
                <w:p>
                  <w:pPr>
                    <w:topLinePunct/>
                    <w:adjustRightInd w:val="0"/>
                    <w:snapToGrid w:val="0"/>
                    <w:spacing w:line="216" w:lineRule="auto"/>
                    <w:jc w:val="center"/>
                    <w:rPr>
                      <w:color w:val="auto"/>
                      <w:kern w:val="0"/>
                      <w:szCs w:val="21"/>
                    </w:rPr>
                  </w:pPr>
                  <w:r>
                    <w:rPr>
                      <w:color w:val="auto"/>
                      <w:kern w:val="0"/>
                      <w:szCs w:val="21"/>
                    </w:rPr>
                    <w:t>桶装</w:t>
                  </w:r>
                </w:p>
              </w:tc>
              <w:tc>
                <w:tcPr>
                  <w:tcW w:w="530" w:type="pct"/>
                  <w:vMerge w:val="continue"/>
                  <w:tcBorders>
                    <w:left w:val="single" w:color="auto" w:sz="6" w:space="0"/>
                    <w:right w:val="nil"/>
                  </w:tcBorders>
                  <w:vAlign w:val="center"/>
                </w:tcPr>
                <w:p>
                  <w:pPr>
                    <w:topLinePunct/>
                    <w:adjustRightInd w:val="0"/>
                    <w:snapToGrid w:val="0"/>
                    <w:spacing w:line="216" w:lineRule="auto"/>
                    <w:jc w:val="center"/>
                    <w:rPr>
                      <w:color w:val="auto"/>
                      <w:kern w:val="0"/>
                      <w:szCs w:val="21"/>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7" w:hRule="atLeast"/>
              </w:trPr>
              <w:tc>
                <w:tcPr>
                  <w:tcW w:w="271" w:type="pct"/>
                  <w:tcBorders>
                    <w:top w:val="single" w:color="auto" w:sz="6" w:space="0"/>
                    <w:left w:val="nil"/>
                    <w:bottom w:val="single" w:color="auto" w:sz="6" w:space="0"/>
                    <w:right w:val="single" w:color="auto" w:sz="6" w:space="0"/>
                  </w:tcBorders>
                  <w:vAlign w:val="center"/>
                </w:tcPr>
                <w:p>
                  <w:pPr>
                    <w:topLinePunct/>
                    <w:adjustRightInd w:val="0"/>
                    <w:snapToGrid w:val="0"/>
                    <w:spacing w:line="216" w:lineRule="auto"/>
                    <w:jc w:val="center"/>
                    <w:rPr>
                      <w:color w:val="auto"/>
                      <w:kern w:val="0"/>
                      <w:szCs w:val="21"/>
                    </w:rPr>
                  </w:pPr>
                  <w:r>
                    <w:rPr>
                      <w:rFonts w:hint="eastAsia"/>
                      <w:color w:val="auto"/>
                      <w:kern w:val="0"/>
                      <w:szCs w:val="21"/>
                    </w:rPr>
                    <w:t>4</w:t>
                  </w:r>
                </w:p>
              </w:tc>
              <w:tc>
                <w:tcPr>
                  <w:tcW w:w="498" w:type="pct"/>
                  <w:vMerge w:val="continue"/>
                  <w:tcBorders>
                    <w:left w:val="single" w:color="auto" w:sz="6" w:space="0"/>
                    <w:right w:val="single" w:color="auto" w:sz="6" w:space="0"/>
                  </w:tcBorders>
                  <w:vAlign w:val="center"/>
                </w:tcPr>
                <w:p>
                  <w:pPr>
                    <w:topLinePunct/>
                    <w:adjustRightInd w:val="0"/>
                    <w:snapToGrid w:val="0"/>
                    <w:spacing w:line="216" w:lineRule="auto"/>
                    <w:jc w:val="center"/>
                    <w:rPr>
                      <w:color w:val="auto"/>
                      <w:kern w:val="0"/>
                      <w:szCs w:val="21"/>
                    </w:rPr>
                  </w:pPr>
                </w:p>
              </w:tc>
              <w:tc>
                <w:tcPr>
                  <w:tcW w:w="75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color w:val="auto"/>
                      <w:szCs w:val="21"/>
                      <w:lang w:bidi="ar"/>
                    </w:rPr>
                  </w:pPr>
                  <w:r>
                    <w:rPr>
                      <w:rFonts w:hint="eastAsia"/>
                      <w:color w:val="auto"/>
                      <w:szCs w:val="21"/>
                      <w:lang w:bidi="ar"/>
                    </w:rPr>
                    <w:t>废机油</w:t>
                  </w:r>
                </w:p>
              </w:tc>
              <w:tc>
                <w:tcPr>
                  <w:tcW w:w="703"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bCs/>
                      <w:color w:val="auto"/>
                      <w:szCs w:val="21"/>
                    </w:rPr>
                  </w:pPr>
                  <w:r>
                    <w:rPr>
                      <w:bCs/>
                      <w:color w:val="auto"/>
                      <w:szCs w:val="21"/>
                    </w:rPr>
                    <w:t>HW</w:t>
                  </w:r>
                  <w:r>
                    <w:rPr>
                      <w:rFonts w:hint="eastAsia"/>
                      <w:bCs/>
                      <w:color w:val="auto"/>
                      <w:szCs w:val="21"/>
                    </w:rPr>
                    <w:t>08</w:t>
                  </w:r>
                </w:p>
              </w:tc>
              <w:tc>
                <w:tcPr>
                  <w:tcW w:w="714" w:type="pct"/>
                  <w:tcBorders>
                    <w:top w:val="single" w:color="auto" w:sz="6" w:space="0"/>
                    <w:left w:val="single" w:color="auto" w:sz="6" w:space="0"/>
                    <w:bottom w:val="single" w:color="auto" w:sz="6" w:space="0"/>
                    <w:right w:val="single" w:color="auto" w:sz="6" w:space="0"/>
                  </w:tcBorders>
                  <w:vAlign w:val="center"/>
                </w:tcPr>
                <w:p>
                  <w:pPr>
                    <w:topLinePunct/>
                    <w:adjustRightInd w:val="0"/>
                    <w:snapToGrid w:val="0"/>
                    <w:jc w:val="center"/>
                    <w:rPr>
                      <w:bCs/>
                      <w:color w:val="auto"/>
                      <w:szCs w:val="21"/>
                    </w:rPr>
                  </w:pPr>
                  <w:r>
                    <w:rPr>
                      <w:bCs/>
                      <w:color w:val="auto"/>
                      <w:szCs w:val="21"/>
                    </w:rPr>
                    <w:t>900-</w:t>
                  </w:r>
                  <w:r>
                    <w:rPr>
                      <w:rFonts w:hint="eastAsia"/>
                      <w:bCs/>
                      <w:color w:val="auto"/>
                      <w:szCs w:val="21"/>
                    </w:rPr>
                    <w:t>249</w:t>
                  </w:r>
                  <w:r>
                    <w:rPr>
                      <w:bCs/>
                      <w:color w:val="auto"/>
                      <w:szCs w:val="21"/>
                    </w:rPr>
                    <w:t>-</w:t>
                  </w:r>
                  <w:r>
                    <w:rPr>
                      <w:rFonts w:hint="eastAsia"/>
                      <w:bCs/>
                      <w:color w:val="auto"/>
                      <w:szCs w:val="21"/>
                    </w:rPr>
                    <w:t>08</w:t>
                  </w:r>
                </w:p>
              </w:tc>
              <w:tc>
                <w:tcPr>
                  <w:tcW w:w="394" w:type="pct"/>
                  <w:vMerge w:val="continue"/>
                  <w:tcBorders>
                    <w:left w:val="single" w:color="auto" w:sz="6" w:space="0"/>
                    <w:right w:val="single" w:color="auto" w:sz="6" w:space="0"/>
                  </w:tcBorders>
                  <w:vAlign w:val="center"/>
                </w:tcPr>
                <w:p>
                  <w:pPr>
                    <w:topLinePunct/>
                    <w:adjustRightInd w:val="0"/>
                    <w:snapToGrid w:val="0"/>
                    <w:spacing w:line="216" w:lineRule="auto"/>
                    <w:jc w:val="center"/>
                    <w:rPr>
                      <w:color w:val="auto"/>
                      <w:kern w:val="0"/>
                      <w:szCs w:val="21"/>
                    </w:rPr>
                  </w:pPr>
                </w:p>
              </w:tc>
              <w:tc>
                <w:tcPr>
                  <w:tcW w:w="564" w:type="pct"/>
                  <w:vMerge w:val="continue"/>
                  <w:tcBorders>
                    <w:left w:val="single" w:color="auto" w:sz="6" w:space="0"/>
                    <w:right w:val="single" w:color="auto" w:sz="6" w:space="0"/>
                  </w:tcBorders>
                  <w:vAlign w:val="center"/>
                </w:tcPr>
                <w:p>
                  <w:pPr>
                    <w:topLinePunct/>
                    <w:adjustRightInd w:val="0"/>
                    <w:snapToGrid w:val="0"/>
                    <w:spacing w:line="216" w:lineRule="auto"/>
                    <w:jc w:val="center"/>
                    <w:rPr>
                      <w:color w:val="auto"/>
                      <w:kern w:val="0"/>
                      <w:szCs w:val="21"/>
                    </w:rPr>
                  </w:pPr>
                </w:p>
              </w:tc>
              <w:tc>
                <w:tcPr>
                  <w:tcW w:w="564" w:type="pct"/>
                  <w:tcBorders>
                    <w:top w:val="single" w:color="auto" w:sz="6" w:space="0"/>
                    <w:left w:val="single" w:color="auto" w:sz="6" w:space="0"/>
                    <w:bottom w:val="single" w:color="auto" w:sz="6" w:space="0"/>
                    <w:right w:val="single" w:color="auto" w:sz="6" w:space="0"/>
                  </w:tcBorders>
                  <w:vAlign w:val="center"/>
                </w:tcPr>
                <w:p>
                  <w:pPr>
                    <w:topLinePunct/>
                    <w:adjustRightInd w:val="0"/>
                    <w:snapToGrid w:val="0"/>
                    <w:spacing w:line="216" w:lineRule="auto"/>
                    <w:jc w:val="center"/>
                    <w:rPr>
                      <w:color w:val="auto"/>
                      <w:kern w:val="0"/>
                      <w:szCs w:val="21"/>
                    </w:rPr>
                  </w:pPr>
                  <w:r>
                    <w:rPr>
                      <w:color w:val="auto"/>
                      <w:kern w:val="0"/>
                      <w:szCs w:val="21"/>
                    </w:rPr>
                    <w:t>桶装</w:t>
                  </w:r>
                </w:p>
              </w:tc>
              <w:tc>
                <w:tcPr>
                  <w:tcW w:w="530" w:type="pct"/>
                  <w:vMerge w:val="continue"/>
                  <w:tcBorders>
                    <w:left w:val="single" w:color="auto" w:sz="6" w:space="0"/>
                    <w:right w:val="nil"/>
                  </w:tcBorders>
                  <w:vAlign w:val="center"/>
                </w:tcPr>
                <w:p>
                  <w:pPr>
                    <w:topLinePunct/>
                    <w:adjustRightInd w:val="0"/>
                    <w:snapToGrid w:val="0"/>
                    <w:spacing w:line="216" w:lineRule="auto"/>
                    <w:jc w:val="center"/>
                    <w:rPr>
                      <w:color w:val="auto"/>
                      <w:kern w:val="0"/>
                      <w:szCs w:val="21"/>
                    </w:rPr>
                  </w:pPr>
                </w:p>
              </w:tc>
            </w:tr>
          </w:tbl>
          <w:p>
            <w:pPr>
              <w:pStyle w:val="2"/>
              <w:ind w:firstLine="480" w:firstLineChars="200"/>
              <w:rPr>
                <w:rFonts w:ascii="Times New Roman" w:cs="Times New Roman"/>
                <w:color w:val="auto"/>
              </w:rPr>
            </w:pPr>
            <w:r>
              <w:rPr>
                <w:rFonts w:ascii="Times New Roman" w:cs="Times New Roman"/>
                <w:color w:val="auto"/>
              </w:rPr>
              <w:t>本项目危废存放场所的设置必须严格按照《危险废物污染防治技术政策》和《危险废物贮存污染控制标准》（GB18597-20</w:t>
            </w:r>
            <w:r>
              <w:rPr>
                <w:rFonts w:hint="eastAsia" w:ascii="Times New Roman" w:cs="Times New Roman"/>
                <w:color w:val="auto"/>
                <w:lang w:val="en-US" w:eastAsia="zh-CN"/>
              </w:rPr>
              <w:t>23</w:t>
            </w:r>
            <w:r>
              <w:rPr>
                <w:rFonts w:ascii="Times New Roman" w:cs="Times New Roman"/>
                <w:color w:val="auto"/>
              </w:rPr>
              <w:t>）要求设置，危废转运按照《危险废物转移联单管理办法》进行，最终得到安全处置。危险废物存储和转运过程需满足以下要求：</w:t>
            </w:r>
          </w:p>
          <w:p>
            <w:pPr>
              <w:adjustRightInd w:val="0"/>
              <w:snapToGrid w:val="0"/>
              <w:spacing w:line="360" w:lineRule="auto"/>
              <w:ind w:firstLine="480" w:firstLineChars="200"/>
              <w:rPr>
                <w:color w:val="auto"/>
                <w:sz w:val="24"/>
              </w:rPr>
            </w:pPr>
            <w:r>
              <w:rPr>
                <w:rFonts w:hint="eastAsia"/>
                <w:color w:val="auto"/>
                <w:sz w:val="24"/>
              </w:rPr>
              <w:t>a.</w:t>
            </w:r>
            <w:r>
              <w:rPr>
                <w:color w:val="auto"/>
                <w:sz w:val="24"/>
              </w:rPr>
              <w:t>分类收集：危险废物应及时收集，并按照类别分别置于防渗漏、防锐器穿透的专用包装物或者密闭的容器内（包装桶）。分类收集危废的塑料袋或容器的材质、规格均应符合国家有关规定的要求。</w:t>
            </w:r>
          </w:p>
          <w:p>
            <w:pPr>
              <w:adjustRightInd w:val="0"/>
              <w:snapToGrid w:val="0"/>
              <w:spacing w:line="360" w:lineRule="auto"/>
              <w:ind w:firstLine="482"/>
              <w:rPr>
                <w:color w:val="auto"/>
                <w:sz w:val="24"/>
              </w:rPr>
            </w:pPr>
            <w:r>
              <w:rPr>
                <w:rFonts w:hint="eastAsia"/>
                <w:color w:val="auto"/>
                <w:sz w:val="24"/>
              </w:rPr>
              <w:t>b.</w:t>
            </w:r>
            <w:r>
              <w:rPr>
                <w:color w:val="auto"/>
                <w:sz w:val="24"/>
              </w:rPr>
              <w:t>暂存：暂存间应符合《危险废物贮存污染控制标准》(GB18597</w:t>
            </w:r>
            <w:r>
              <w:rPr>
                <w:rFonts w:hint="eastAsia"/>
                <w:color w:val="auto"/>
                <w:sz w:val="24"/>
                <w:lang w:val="en-US" w:eastAsia="zh-CN"/>
              </w:rPr>
              <w:t>-</w:t>
            </w:r>
            <w:r>
              <w:rPr>
                <w:color w:val="auto"/>
                <w:sz w:val="24"/>
              </w:rPr>
              <w:t>20</w:t>
            </w:r>
            <w:r>
              <w:rPr>
                <w:rFonts w:hint="eastAsia"/>
                <w:color w:val="auto"/>
                <w:sz w:val="24"/>
                <w:lang w:val="en-US" w:eastAsia="zh-CN"/>
              </w:rPr>
              <w:t>23</w:t>
            </w:r>
            <w:r>
              <w:rPr>
                <w:color w:val="auto"/>
                <w:sz w:val="24"/>
              </w:rPr>
              <w:t>)提出的环保要求：暂存间地面与裙脚要用坚固、防渗的材料建造，建筑材料必须与危险废物相容；危险废物暂存地面及内墙采取防渗措施，地面作防渗、防漏、防酸碱腐蚀处理，危险废物暂存间周边设置</w:t>
            </w:r>
            <w:r>
              <w:rPr>
                <w:rFonts w:hint="eastAsia"/>
                <w:color w:val="auto"/>
                <w:sz w:val="24"/>
                <w:lang w:eastAsia="zh-CN"/>
              </w:rPr>
              <w:t>围挡</w:t>
            </w:r>
            <w:r>
              <w:rPr>
                <w:color w:val="auto"/>
                <w:sz w:val="24"/>
              </w:rPr>
              <w:t>。不相容的危险废物必须分开存放，并设有隔离间隔断。</w:t>
            </w:r>
          </w:p>
          <w:p>
            <w:pPr>
              <w:adjustRightInd w:val="0"/>
              <w:snapToGrid w:val="0"/>
              <w:spacing w:line="360" w:lineRule="auto"/>
              <w:ind w:firstLine="482"/>
              <w:rPr>
                <w:color w:val="auto"/>
                <w:sz w:val="24"/>
              </w:rPr>
            </w:pPr>
            <w:r>
              <w:rPr>
                <w:rFonts w:hint="eastAsia"/>
                <w:color w:val="auto"/>
                <w:sz w:val="24"/>
              </w:rPr>
              <w:t>c.</w:t>
            </w:r>
            <w:r>
              <w:rPr>
                <w:color w:val="auto"/>
                <w:sz w:val="24"/>
              </w:rPr>
              <w:t>转运：内部转运应当使用防渗漏、防遗撒的专用运送工具。转运尽量选择人少的时间转运，转运过程中正确装卸，避免遗撒。转运工作人员做好个人保护措施。</w:t>
            </w:r>
          </w:p>
          <w:p>
            <w:pPr>
              <w:adjustRightInd w:val="0"/>
              <w:snapToGrid w:val="0"/>
              <w:spacing w:line="360" w:lineRule="auto"/>
              <w:ind w:firstLine="482"/>
              <w:rPr>
                <w:color w:val="auto"/>
                <w:sz w:val="24"/>
              </w:rPr>
            </w:pPr>
            <w:r>
              <w:rPr>
                <w:rFonts w:hint="eastAsia"/>
                <w:color w:val="auto"/>
                <w:sz w:val="24"/>
              </w:rPr>
              <w:t>d.</w:t>
            </w:r>
            <w:r>
              <w:rPr>
                <w:color w:val="auto"/>
                <w:sz w:val="24"/>
              </w:rPr>
              <w:t>做好危废转移记录及相关转移联单，制定环保管理制度。</w:t>
            </w:r>
          </w:p>
          <w:p>
            <w:pPr>
              <w:pStyle w:val="2"/>
              <w:ind w:firstLine="480" w:firstLineChars="200"/>
              <w:rPr>
                <w:rFonts w:hint="eastAsia" w:eastAsia="宋体"/>
                <w:color w:val="auto"/>
                <w:lang w:val="en-US" w:eastAsia="zh-CN"/>
              </w:rPr>
            </w:pPr>
            <w:r>
              <w:rPr>
                <w:rFonts w:hint="eastAsia"/>
                <w:color w:val="auto"/>
              </w:rPr>
              <w:t>②</w:t>
            </w:r>
            <w:r>
              <w:rPr>
                <w:rFonts w:hint="eastAsia"/>
                <w:color w:val="auto"/>
                <w:lang w:eastAsia="zh-CN"/>
              </w:rPr>
              <w:t>一般工业固废</w:t>
            </w:r>
          </w:p>
          <w:p>
            <w:pPr>
              <w:spacing w:line="360" w:lineRule="auto"/>
              <w:ind w:firstLine="480" w:firstLineChars="200"/>
              <w:rPr>
                <w:rFonts w:hint="eastAsia" w:eastAsia="宋体"/>
                <w:color w:val="auto"/>
                <w:sz w:val="24"/>
                <w:lang w:eastAsia="zh-CN"/>
              </w:rPr>
            </w:pPr>
            <w:r>
              <w:rPr>
                <w:rFonts w:hint="eastAsia" w:ascii="Times New Roman" w:hAnsi="Times New Roman" w:cs="Times New Roman"/>
                <w:color w:val="auto"/>
                <w:sz w:val="24"/>
                <w:szCs w:val="24"/>
                <w:lang w:eastAsia="zh-CN"/>
              </w:rPr>
              <w:t>扩建项目</w:t>
            </w:r>
            <w:r>
              <w:rPr>
                <w:color w:val="auto"/>
                <w:sz w:val="24"/>
              </w:rPr>
              <w:t>一般工业固废主要</w:t>
            </w:r>
            <w:r>
              <w:rPr>
                <w:rFonts w:hint="eastAsia"/>
                <w:color w:val="auto"/>
                <w:sz w:val="24"/>
              </w:rPr>
              <w:t>为</w:t>
            </w:r>
            <w:r>
              <w:rPr>
                <w:rFonts w:hint="eastAsia"/>
                <w:color w:val="auto"/>
                <w:sz w:val="24"/>
                <w:lang w:val="en-US" w:eastAsia="zh-CN"/>
              </w:rPr>
              <w:t>PE塑料粒产生的废包装</w:t>
            </w:r>
            <w:r>
              <w:rPr>
                <w:color w:val="auto"/>
                <w:sz w:val="24"/>
              </w:rPr>
              <w:t>，</w:t>
            </w:r>
            <w:r>
              <w:rPr>
                <w:rFonts w:hint="eastAsia"/>
                <w:color w:val="auto"/>
                <w:sz w:val="24"/>
                <w:lang w:val="en-US" w:eastAsia="zh-CN"/>
              </w:rPr>
              <w:t>2#</w:t>
            </w:r>
            <w:r>
              <w:rPr>
                <w:rFonts w:hint="eastAsia"/>
                <w:color w:val="auto"/>
                <w:sz w:val="24"/>
              </w:rPr>
              <w:t>厂房东</w:t>
            </w:r>
            <w:r>
              <w:rPr>
                <w:rFonts w:hint="eastAsia"/>
                <w:color w:val="auto"/>
                <w:sz w:val="24"/>
                <w:lang w:eastAsia="zh-CN"/>
              </w:rPr>
              <w:t>南</w:t>
            </w:r>
            <w:r>
              <w:rPr>
                <w:rFonts w:hint="eastAsia"/>
                <w:color w:val="auto"/>
                <w:sz w:val="24"/>
              </w:rPr>
              <w:t>角</w:t>
            </w:r>
            <w:r>
              <w:rPr>
                <w:rFonts w:hint="eastAsia"/>
                <w:color w:val="auto"/>
                <w:sz w:val="24"/>
                <w:lang w:eastAsia="zh-CN"/>
              </w:rPr>
              <w:t>建有</w:t>
            </w:r>
            <w:r>
              <w:rPr>
                <w:rFonts w:hint="eastAsia"/>
                <w:color w:val="auto"/>
                <w:sz w:val="24"/>
              </w:rPr>
              <w:t>1个面积为</w:t>
            </w:r>
            <w:r>
              <w:rPr>
                <w:rFonts w:hint="eastAsia"/>
                <w:color w:val="auto"/>
                <w:sz w:val="24"/>
                <w:lang w:val="en-US" w:eastAsia="zh-CN"/>
              </w:rPr>
              <w:t>10</w:t>
            </w:r>
            <w:r>
              <w:rPr>
                <w:rFonts w:hint="eastAsia"/>
                <w:color w:val="auto"/>
                <w:sz w:val="24"/>
              </w:rPr>
              <w:t>m</w:t>
            </w:r>
            <w:r>
              <w:rPr>
                <w:rFonts w:hint="eastAsia"/>
                <w:color w:val="auto"/>
                <w:sz w:val="24"/>
                <w:vertAlign w:val="superscript"/>
              </w:rPr>
              <w:t>2</w:t>
            </w:r>
            <w:r>
              <w:rPr>
                <w:rFonts w:hint="eastAsia"/>
                <w:color w:val="auto"/>
                <w:sz w:val="24"/>
              </w:rPr>
              <w:t>的一般工业固废</w:t>
            </w:r>
            <w:r>
              <w:rPr>
                <w:rFonts w:hint="eastAsia"/>
                <w:color w:val="auto"/>
                <w:sz w:val="24"/>
                <w:lang w:eastAsia="zh-CN"/>
              </w:rPr>
              <w:t>暂存点</w:t>
            </w:r>
            <w:r>
              <w:rPr>
                <w:rFonts w:hint="eastAsia"/>
                <w:color w:val="auto"/>
                <w:sz w:val="24"/>
              </w:rPr>
              <w:t>，</w:t>
            </w:r>
            <w:r>
              <w:rPr>
                <w:rFonts w:hint="eastAsia"/>
                <w:color w:val="auto"/>
                <w:kern w:val="0"/>
                <w:sz w:val="24"/>
                <w:lang w:eastAsia="zh-CN"/>
              </w:rPr>
              <w:t>废包装经暂存后交废品回收公司处置。</w:t>
            </w:r>
          </w:p>
          <w:p>
            <w:pPr>
              <w:adjustRightInd w:val="0"/>
              <w:snapToGrid w:val="0"/>
              <w:spacing w:line="360" w:lineRule="auto"/>
              <w:ind w:firstLine="480" w:firstLineChars="200"/>
              <w:rPr>
                <w:bCs/>
                <w:color w:val="auto"/>
              </w:rPr>
            </w:pPr>
            <w:r>
              <w:rPr>
                <w:rFonts w:hint="eastAsia"/>
                <w:color w:val="auto"/>
                <w:sz w:val="24"/>
                <w:szCs w:val="24"/>
              </w:rPr>
              <w:t>③餐厨垃圾</w:t>
            </w:r>
            <w:r>
              <w:rPr>
                <w:rFonts w:hint="eastAsia"/>
                <w:color w:val="auto"/>
                <w:sz w:val="24"/>
                <w:szCs w:val="24"/>
                <w:lang w:eastAsia="zh-CN"/>
              </w:rPr>
              <w:t>、</w:t>
            </w:r>
            <w:r>
              <w:rPr>
                <w:bCs/>
                <w:color w:val="auto"/>
              </w:rPr>
              <w:t>生活垃圾</w:t>
            </w:r>
          </w:p>
          <w:p>
            <w:pPr>
              <w:adjustRightInd w:val="0"/>
              <w:snapToGrid w:val="0"/>
              <w:spacing w:line="360" w:lineRule="auto"/>
              <w:ind w:firstLine="470" w:firstLineChars="196"/>
              <w:rPr>
                <w:color w:val="auto"/>
              </w:rPr>
            </w:pPr>
            <w:r>
              <w:rPr>
                <w:color w:val="auto"/>
                <w:sz w:val="24"/>
              </w:rPr>
              <w:t>生活垃圾由垃圾桶分类收集后交由环卫部门</w:t>
            </w:r>
            <w:r>
              <w:rPr>
                <w:rFonts w:hint="eastAsia"/>
                <w:color w:val="auto"/>
                <w:sz w:val="24"/>
              </w:rPr>
              <w:t>处置</w:t>
            </w:r>
            <w:r>
              <w:rPr>
                <w:rFonts w:hint="eastAsia"/>
                <w:color w:val="auto"/>
                <w:sz w:val="24"/>
                <w:lang w:eastAsia="zh-CN"/>
              </w:rPr>
              <w:t>；</w:t>
            </w:r>
            <w:r>
              <w:rPr>
                <w:rFonts w:hint="eastAsia"/>
                <w:color w:val="auto"/>
                <w:sz w:val="24"/>
              </w:rPr>
              <w:t>餐厨垃圾经餐厨垃圾收集桶收集后交餐厨垃圾处理单位处置</w:t>
            </w:r>
            <w:r>
              <w:rPr>
                <w:color w:val="auto"/>
                <w:sz w:val="24"/>
              </w:rPr>
              <w:t>。</w:t>
            </w:r>
          </w:p>
          <w:p>
            <w:pPr>
              <w:pStyle w:val="8"/>
              <w:spacing w:line="360" w:lineRule="auto"/>
              <w:ind w:firstLine="0"/>
              <w:rPr>
                <w:b/>
                <w:bCs/>
                <w:color w:val="auto"/>
                <w:sz w:val="24"/>
              </w:rPr>
            </w:pPr>
            <w:r>
              <w:rPr>
                <w:rFonts w:hint="eastAsia"/>
                <w:b/>
                <w:bCs/>
                <w:color w:val="auto"/>
                <w:sz w:val="24"/>
              </w:rPr>
              <w:t>5.环境风险</w:t>
            </w:r>
          </w:p>
          <w:p>
            <w:pPr>
              <w:adjustRightInd w:val="0"/>
              <w:snapToGrid w:val="0"/>
              <w:spacing w:line="360" w:lineRule="auto"/>
              <w:ind w:firstLine="482"/>
              <w:rPr>
                <w:color w:val="auto"/>
                <w:sz w:val="24"/>
              </w:rPr>
            </w:pPr>
            <w:r>
              <w:rPr>
                <w:color w:val="auto"/>
                <w:sz w:val="24"/>
              </w:rPr>
              <w:t>根据《建设项目环境风险评价技术导则》（HJ169-2018）附录B，本项目</w:t>
            </w:r>
            <w:r>
              <w:rPr>
                <w:rFonts w:hint="eastAsia"/>
                <w:color w:val="auto"/>
                <w:sz w:val="24"/>
                <w:lang w:eastAsia="zh-CN"/>
              </w:rPr>
              <w:t>扩建完成后</w:t>
            </w:r>
            <w:r>
              <w:rPr>
                <w:color w:val="auto"/>
                <w:sz w:val="24"/>
              </w:rPr>
              <w:t>涉及的风险物质为</w:t>
            </w:r>
            <w:r>
              <w:rPr>
                <w:rFonts w:hint="eastAsia"/>
                <w:color w:val="auto"/>
                <w:sz w:val="24"/>
              </w:rPr>
              <w:t>机油</w:t>
            </w:r>
            <w:r>
              <w:rPr>
                <w:rFonts w:hint="eastAsia"/>
                <w:color w:val="auto"/>
                <w:sz w:val="24"/>
                <w:lang w:eastAsia="zh-CN"/>
              </w:rPr>
              <w:t>、液压油。扩建项目</w:t>
            </w:r>
            <w:r>
              <w:rPr>
                <w:rFonts w:hint="eastAsia"/>
                <w:color w:val="auto"/>
                <w:sz w:val="24"/>
              </w:rPr>
              <w:t>使用的水性</w:t>
            </w:r>
            <w:r>
              <w:rPr>
                <w:rFonts w:hint="eastAsia"/>
                <w:color w:val="auto"/>
                <w:sz w:val="24"/>
                <w:lang w:eastAsia="zh-CN"/>
              </w:rPr>
              <w:t>胶粘剂</w:t>
            </w:r>
            <w:r>
              <w:rPr>
                <w:rFonts w:hint="eastAsia"/>
                <w:color w:val="auto"/>
                <w:sz w:val="24"/>
              </w:rPr>
              <w:t>化学成分不属于附录B中的风险物质，但水性</w:t>
            </w:r>
            <w:r>
              <w:rPr>
                <w:rFonts w:hint="eastAsia"/>
                <w:color w:val="auto"/>
                <w:sz w:val="24"/>
                <w:lang w:eastAsia="zh-CN"/>
              </w:rPr>
              <w:t>胶粘剂</w:t>
            </w:r>
            <w:r>
              <w:rPr>
                <w:rFonts w:hint="eastAsia"/>
                <w:color w:val="auto"/>
                <w:sz w:val="24"/>
              </w:rPr>
              <w:t>存在泄漏风险应提出相应风险防范措施。</w:t>
            </w:r>
            <w:r>
              <w:rPr>
                <w:color w:val="auto"/>
                <w:sz w:val="24"/>
              </w:rPr>
              <w:t>本项目涉及的风险物质及储存情况见表4.</w:t>
            </w:r>
            <w:r>
              <w:rPr>
                <w:rFonts w:hint="eastAsia"/>
                <w:color w:val="auto"/>
                <w:sz w:val="24"/>
              </w:rPr>
              <w:t>1</w:t>
            </w:r>
            <w:r>
              <w:rPr>
                <w:rFonts w:hint="eastAsia"/>
                <w:color w:val="auto"/>
                <w:sz w:val="24"/>
                <w:lang w:val="en-US" w:eastAsia="zh-CN"/>
              </w:rPr>
              <w:t>9</w:t>
            </w:r>
            <w:r>
              <w:rPr>
                <w:color w:val="auto"/>
                <w:sz w:val="24"/>
              </w:rPr>
              <w:t>。</w:t>
            </w:r>
          </w:p>
          <w:p>
            <w:pPr>
              <w:adjustRightInd w:val="0"/>
              <w:snapToGrid w:val="0"/>
              <w:spacing w:line="360" w:lineRule="auto"/>
              <w:jc w:val="center"/>
              <w:rPr>
                <w:color w:val="auto"/>
                <w:sz w:val="24"/>
                <w:highlight w:val="none"/>
              </w:rPr>
            </w:pPr>
            <w:r>
              <w:rPr>
                <w:color w:val="auto"/>
                <w:sz w:val="21"/>
                <w:szCs w:val="21"/>
              </w:rPr>
              <w:t>表4.</w:t>
            </w:r>
            <w:r>
              <w:rPr>
                <w:rFonts w:hint="eastAsia"/>
                <w:color w:val="auto"/>
                <w:sz w:val="21"/>
                <w:szCs w:val="21"/>
              </w:rPr>
              <w:t>1</w:t>
            </w:r>
            <w:r>
              <w:rPr>
                <w:rFonts w:hint="eastAsia"/>
                <w:color w:val="auto"/>
                <w:sz w:val="21"/>
                <w:szCs w:val="21"/>
                <w:lang w:val="en-US" w:eastAsia="zh-CN"/>
              </w:rPr>
              <w:t>9</w:t>
            </w:r>
            <w:r>
              <w:rPr>
                <w:color w:val="auto"/>
                <w:sz w:val="21"/>
                <w:szCs w:val="21"/>
              </w:rPr>
              <w:t xml:space="preserve"> </w:t>
            </w:r>
            <w:r>
              <w:rPr>
                <w:color w:val="auto"/>
                <w:sz w:val="21"/>
                <w:szCs w:val="21"/>
                <w:highlight w:val="none"/>
              </w:rPr>
              <w:t>本项目涉及的风险物质及储存情况一览表</w:t>
            </w:r>
          </w:p>
          <w:tbl>
            <w:tblPr>
              <w:tblStyle w:val="22"/>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272"/>
              <w:gridCol w:w="1372"/>
              <w:gridCol w:w="1066"/>
              <w:gridCol w:w="1212"/>
              <w:gridCol w:w="1253"/>
              <w:gridCol w:w="156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53" w:type="pct"/>
                  <w:tcBorders>
                    <w:top w:val="single" w:color="auto" w:sz="4" w:space="0"/>
                    <w:left w:val="nil"/>
                    <w:bottom w:val="single" w:color="auto" w:sz="4" w:space="0"/>
                    <w:right w:val="single" w:color="auto" w:sz="4" w:space="0"/>
                  </w:tcBorders>
                  <w:vAlign w:val="center"/>
                </w:tcPr>
                <w:p>
                  <w:pPr>
                    <w:adjustRightInd w:val="0"/>
                    <w:snapToGrid w:val="0"/>
                    <w:jc w:val="center"/>
                    <w:rPr>
                      <w:color w:val="auto"/>
                    </w:rPr>
                  </w:pPr>
                  <w:r>
                    <w:rPr>
                      <w:color w:val="auto"/>
                    </w:rPr>
                    <w:t>序号</w:t>
                  </w:r>
                </w:p>
              </w:tc>
              <w:tc>
                <w:tcPr>
                  <w:tcW w:w="74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rPr>
                  </w:pPr>
                  <w:r>
                    <w:rPr>
                      <w:color w:val="auto"/>
                    </w:rPr>
                    <w:t>危险物质</w:t>
                  </w:r>
                </w:p>
              </w:tc>
              <w:tc>
                <w:tcPr>
                  <w:tcW w:w="80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rPr>
                  </w:pPr>
                  <w:r>
                    <w:rPr>
                      <w:color w:val="auto"/>
                    </w:rPr>
                    <w:t>最大储存量</w:t>
                  </w:r>
                </w:p>
              </w:tc>
              <w:tc>
                <w:tcPr>
                  <w:tcW w:w="62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rPr>
                  </w:pPr>
                  <w:r>
                    <w:rPr>
                      <w:color w:val="auto"/>
                    </w:rPr>
                    <w:t>临界量</w:t>
                  </w:r>
                </w:p>
              </w:tc>
              <w:tc>
                <w:tcPr>
                  <w:tcW w:w="7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rPr>
                  </w:pPr>
                  <w:r>
                    <w:rPr>
                      <w:color w:val="auto"/>
                    </w:rPr>
                    <w:t>Q值</w:t>
                  </w:r>
                </w:p>
              </w:tc>
              <w:tc>
                <w:tcPr>
                  <w:tcW w:w="73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rPr>
                  </w:pPr>
                  <w:r>
                    <w:rPr>
                      <w:color w:val="auto"/>
                    </w:rPr>
                    <w:t>储存方式</w:t>
                  </w:r>
                </w:p>
              </w:tc>
              <w:tc>
                <w:tcPr>
                  <w:tcW w:w="918" w:type="pct"/>
                  <w:tcBorders>
                    <w:top w:val="single" w:color="auto" w:sz="4" w:space="0"/>
                    <w:left w:val="single" w:color="auto" w:sz="4" w:space="0"/>
                    <w:bottom w:val="single" w:color="auto" w:sz="4" w:space="0"/>
                    <w:right w:val="nil"/>
                  </w:tcBorders>
                  <w:vAlign w:val="center"/>
                </w:tcPr>
                <w:p>
                  <w:pPr>
                    <w:adjustRightInd w:val="0"/>
                    <w:snapToGrid w:val="0"/>
                    <w:jc w:val="center"/>
                    <w:rPr>
                      <w:color w:val="auto"/>
                    </w:rPr>
                  </w:pPr>
                  <w:r>
                    <w:rPr>
                      <w:rFonts w:hint="eastAsia"/>
                      <w:color w:val="auto"/>
                    </w:rPr>
                    <w:t>风险源分布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53" w:type="pct"/>
                  <w:tcBorders>
                    <w:top w:val="single" w:color="auto" w:sz="4" w:space="0"/>
                    <w:left w:val="nil"/>
                    <w:bottom w:val="single" w:color="auto" w:sz="4" w:space="0"/>
                    <w:right w:val="single" w:color="auto" w:sz="4" w:space="0"/>
                  </w:tcBorders>
                  <w:vAlign w:val="center"/>
                </w:tcPr>
                <w:p>
                  <w:pPr>
                    <w:adjustRightInd w:val="0"/>
                    <w:snapToGrid w:val="0"/>
                    <w:jc w:val="center"/>
                    <w:rPr>
                      <w:color w:val="auto"/>
                    </w:rPr>
                  </w:pPr>
                  <w:r>
                    <w:rPr>
                      <w:color w:val="auto"/>
                    </w:rPr>
                    <w:t>1</w:t>
                  </w:r>
                </w:p>
              </w:tc>
              <w:tc>
                <w:tcPr>
                  <w:tcW w:w="74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rPr>
                  </w:pPr>
                  <w:r>
                    <w:rPr>
                      <w:rFonts w:hint="eastAsia"/>
                      <w:color w:val="auto"/>
                    </w:rPr>
                    <w:t>机油</w:t>
                  </w:r>
                </w:p>
              </w:tc>
              <w:tc>
                <w:tcPr>
                  <w:tcW w:w="80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rPr>
                  </w:pPr>
                  <w:r>
                    <w:rPr>
                      <w:rFonts w:hint="eastAsia"/>
                      <w:color w:val="auto"/>
                    </w:rPr>
                    <w:t>0.03t</w:t>
                  </w:r>
                </w:p>
              </w:tc>
              <w:tc>
                <w:tcPr>
                  <w:tcW w:w="62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rPr>
                  </w:pPr>
                  <w:r>
                    <w:rPr>
                      <w:color w:val="auto"/>
                    </w:rPr>
                    <w:t>2500t</w:t>
                  </w:r>
                </w:p>
              </w:tc>
              <w:tc>
                <w:tcPr>
                  <w:tcW w:w="7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rPr>
                  </w:pPr>
                  <w:r>
                    <w:rPr>
                      <w:rFonts w:hint="eastAsia"/>
                      <w:color w:val="auto"/>
                    </w:rPr>
                    <w:t>0.00001</w:t>
                  </w:r>
                </w:p>
              </w:tc>
              <w:tc>
                <w:tcPr>
                  <w:tcW w:w="73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auto"/>
                    </w:rPr>
                  </w:pPr>
                  <w:r>
                    <w:rPr>
                      <w:rFonts w:hint="eastAsia"/>
                      <w:color w:val="auto"/>
                    </w:rPr>
                    <w:t>铁</w:t>
                  </w:r>
                  <w:r>
                    <w:rPr>
                      <w:color w:val="auto"/>
                    </w:rPr>
                    <w:t>桶装</w:t>
                  </w:r>
                </w:p>
              </w:tc>
              <w:tc>
                <w:tcPr>
                  <w:tcW w:w="918" w:type="pct"/>
                  <w:vMerge w:val="restart"/>
                  <w:tcBorders>
                    <w:left w:val="single" w:color="auto" w:sz="4" w:space="0"/>
                    <w:right w:val="nil"/>
                  </w:tcBorders>
                  <w:vAlign w:val="center"/>
                </w:tcPr>
                <w:p>
                  <w:pPr>
                    <w:adjustRightInd w:val="0"/>
                    <w:snapToGrid w:val="0"/>
                    <w:jc w:val="center"/>
                    <w:rPr>
                      <w:color w:val="auto"/>
                    </w:rPr>
                  </w:pPr>
                  <w:r>
                    <w:rPr>
                      <w:rFonts w:hint="eastAsia"/>
                      <w:color w:val="auto"/>
                    </w:rPr>
                    <w:t>油料堆放区危废暂存间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53" w:type="pct"/>
                  <w:tcBorders>
                    <w:top w:val="single" w:color="auto" w:sz="4" w:space="0"/>
                    <w:left w:val="nil"/>
                    <w:bottom w:val="single" w:color="auto" w:sz="4" w:space="0"/>
                    <w:right w:val="single" w:color="auto" w:sz="4" w:space="0"/>
                  </w:tcBorders>
                  <w:vAlign w:val="center"/>
                </w:tcPr>
                <w:p>
                  <w:pPr>
                    <w:adjustRightInd w:val="0"/>
                    <w:snapToGrid w:val="0"/>
                    <w:jc w:val="center"/>
                    <w:rPr>
                      <w:rFonts w:hint="eastAsia" w:eastAsia="宋体"/>
                      <w:color w:val="auto"/>
                      <w:lang w:val="en-US" w:eastAsia="zh-CN"/>
                    </w:rPr>
                  </w:pPr>
                  <w:r>
                    <w:rPr>
                      <w:rFonts w:hint="eastAsia"/>
                      <w:color w:val="auto"/>
                      <w:lang w:val="en-US" w:eastAsia="zh-CN"/>
                    </w:rPr>
                    <w:t>2</w:t>
                  </w:r>
                </w:p>
              </w:tc>
              <w:tc>
                <w:tcPr>
                  <w:tcW w:w="74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color w:val="auto"/>
                      <w:lang w:eastAsia="zh-CN"/>
                    </w:rPr>
                  </w:pPr>
                  <w:r>
                    <w:rPr>
                      <w:rFonts w:hint="eastAsia"/>
                      <w:color w:val="auto"/>
                      <w:lang w:eastAsia="zh-CN"/>
                    </w:rPr>
                    <w:t>液压油</w:t>
                  </w:r>
                </w:p>
              </w:tc>
              <w:tc>
                <w:tcPr>
                  <w:tcW w:w="80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eastAsia="宋体"/>
                      <w:color w:val="auto"/>
                      <w:lang w:val="en-US" w:eastAsia="zh-CN"/>
                    </w:rPr>
                  </w:pPr>
                  <w:r>
                    <w:rPr>
                      <w:rFonts w:hint="eastAsia"/>
                      <w:color w:val="auto"/>
                      <w:lang w:val="en-US" w:eastAsia="zh-CN"/>
                    </w:rPr>
                    <w:t>0.5t</w:t>
                  </w:r>
                </w:p>
              </w:tc>
              <w:tc>
                <w:tcPr>
                  <w:tcW w:w="62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eastAsia="宋体"/>
                      <w:color w:val="auto"/>
                      <w:lang w:val="en-US" w:eastAsia="zh-CN"/>
                    </w:rPr>
                  </w:pPr>
                  <w:r>
                    <w:rPr>
                      <w:rFonts w:hint="eastAsia"/>
                      <w:color w:val="auto"/>
                      <w:lang w:val="en-US" w:eastAsia="zh-CN"/>
                    </w:rPr>
                    <w:t>2500t</w:t>
                  </w:r>
                </w:p>
              </w:tc>
              <w:tc>
                <w:tcPr>
                  <w:tcW w:w="7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eastAsia="宋体"/>
                      <w:color w:val="auto"/>
                      <w:lang w:val="en-US" w:eastAsia="zh-CN"/>
                    </w:rPr>
                  </w:pPr>
                  <w:r>
                    <w:rPr>
                      <w:rFonts w:hint="eastAsia"/>
                      <w:color w:val="auto"/>
                      <w:lang w:val="en-US" w:eastAsia="zh-CN"/>
                    </w:rPr>
                    <w:t>0.0002</w:t>
                  </w:r>
                </w:p>
              </w:tc>
              <w:tc>
                <w:tcPr>
                  <w:tcW w:w="73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olor w:val="auto"/>
                    </w:rPr>
                  </w:pPr>
                  <w:r>
                    <w:rPr>
                      <w:rFonts w:hint="eastAsia"/>
                      <w:color w:val="auto"/>
                    </w:rPr>
                    <w:t>铁</w:t>
                  </w:r>
                  <w:r>
                    <w:rPr>
                      <w:color w:val="auto"/>
                    </w:rPr>
                    <w:t>桶装</w:t>
                  </w:r>
                </w:p>
              </w:tc>
              <w:tc>
                <w:tcPr>
                  <w:tcW w:w="918" w:type="pct"/>
                  <w:vMerge w:val="continue"/>
                  <w:tcBorders>
                    <w:left w:val="single" w:color="auto" w:sz="4" w:space="0"/>
                    <w:right w:val="nil"/>
                  </w:tcBorders>
                  <w:vAlign w:val="center"/>
                </w:tcPr>
                <w:p>
                  <w:pPr>
                    <w:adjustRightInd w:val="0"/>
                    <w:snapToGrid w:val="0"/>
                    <w:jc w:val="center"/>
                    <w:rPr>
                      <w:rFonts w:hint="eastAsia"/>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53" w:type="pct"/>
                  <w:tcBorders>
                    <w:top w:val="single" w:color="auto" w:sz="4" w:space="0"/>
                    <w:left w:val="nil"/>
                    <w:bottom w:val="single" w:color="auto" w:sz="4" w:space="0"/>
                    <w:right w:val="single" w:color="auto" w:sz="4" w:space="0"/>
                  </w:tcBorders>
                  <w:vAlign w:val="center"/>
                </w:tcPr>
                <w:p>
                  <w:pPr>
                    <w:adjustRightInd w:val="0"/>
                    <w:snapToGrid w:val="0"/>
                    <w:jc w:val="center"/>
                    <w:rPr>
                      <w:rFonts w:hint="default"/>
                      <w:color w:val="auto"/>
                      <w:lang w:val="en-US" w:eastAsia="zh-CN"/>
                    </w:rPr>
                  </w:pPr>
                  <w:r>
                    <w:rPr>
                      <w:rFonts w:hint="eastAsia"/>
                      <w:color w:val="auto"/>
                      <w:lang w:val="en-US" w:eastAsia="zh-CN"/>
                    </w:rPr>
                    <w:t>3</w:t>
                  </w:r>
                </w:p>
              </w:tc>
              <w:tc>
                <w:tcPr>
                  <w:tcW w:w="74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color w:val="auto"/>
                      <w:lang w:eastAsia="zh-CN"/>
                    </w:rPr>
                  </w:pPr>
                  <w:r>
                    <w:rPr>
                      <w:rFonts w:hint="eastAsia"/>
                      <w:color w:val="auto"/>
                      <w:lang w:eastAsia="zh-CN"/>
                    </w:rPr>
                    <w:t>胶粘剂</w:t>
                  </w:r>
                </w:p>
              </w:tc>
              <w:tc>
                <w:tcPr>
                  <w:tcW w:w="80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olor w:val="auto"/>
                      <w:lang w:val="en-US" w:eastAsia="zh-CN"/>
                    </w:rPr>
                  </w:pPr>
                  <w:r>
                    <w:rPr>
                      <w:rFonts w:hint="eastAsia"/>
                      <w:color w:val="auto"/>
                      <w:lang w:val="en-US" w:eastAsia="zh-CN"/>
                    </w:rPr>
                    <w:t>2t</w:t>
                  </w:r>
                </w:p>
              </w:tc>
              <w:tc>
                <w:tcPr>
                  <w:tcW w:w="62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color w:val="auto"/>
                      <w:lang w:val="en-US" w:eastAsia="zh-CN"/>
                    </w:rPr>
                  </w:pPr>
                  <w:r>
                    <w:rPr>
                      <w:rFonts w:hint="eastAsia"/>
                      <w:color w:val="auto"/>
                      <w:lang w:val="en-US" w:eastAsia="zh-CN"/>
                    </w:rPr>
                    <w:t>/</w:t>
                  </w:r>
                </w:p>
              </w:tc>
              <w:tc>
                <w:tcPr>
                  <w:tcW w:w="7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宋体"/>
                      <w:color w:val="auto"/>
                      <w:lang w:val="en-US" w:eastAsia="zh-CN"/>
                    </w:rPr>
                  </w:pPr>
                  <w:r>
                    <w:rPr>
                      <w:rFonts w:hint="eastAsia"/>
                      <w:color w:val="auto"/>
                      <w:lang w:val="en-US" w:eastAsia="zh-CN"/>
                    </w:rPr>
                    <w:t>/</w:t>
                  </w:r>
                </w:p>
              </w:tc>
              <w:tc>
                <w:tcPr>
                  <w:tcW w:w="73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eastAsia="宋体"/>
                      <w:color w:val="auto"/>
                      <w:lang w:val="en-US" w:eastAsia="zh-CN"/>
                    </w:rPr>
                  </w:pPr>
                  <w:r>
                    <w:rPr>
                      <w:rFonts w:hint="eastAsia"/>
                      <w:color w:val="auto"/>
                      <w:lang w:val="en-US" w:eastAsia="zh-CN"/>
                    </w:rPr>
                    <w:t>吨桶装</w:t>
                  </w:r>
                </w:p>
              </w:tc>
              <w:tc>
                <w:tcPr>
                  <w:tcW w:w="918" w:type="pct"/>
                  <w:tcBorders>
                    <w:left w:val="single" w:color="auto" w:sz="4" w:space="0"/>
                    <w:right w:val="nil"/>
                  </w:tcBorders>
                  <w:vAlign w:val="center"/>
                </w:tcPr>
                <w:p>
                  <w:pPr>
                    <w:adjustRightInd w:val="0"/>
                    <w:snapToGrid w:val="0"/>
                    <w:jc w:val="center"/>
                    <w:rPr>
                      <w:rFonts w:hint="eastAsia" w:eastAsia="宋体"/>
                      <w:color w:val="auto"/>
                      <w:lang w:eastAsia="zh-CN"/>
                    </w:rPr>
                  </w:pPr>
                  <w:r>
                    <w:rPr>
                      <w:rFonts w:hint="eastAsia"/>
                      <w:color w:val="auto"/>
                      <w:lang w:eastAsia="zh-CN"/>
                    </w:rPr>
                    <w:t>胶粘剂堆放区</w:t>
                  </w:r>
                </w:p>
              </w:tc>
            </w:tr>
          </w:tbl>
          <w:p>
            <w:pPr>
              <w:autoSpaceDE w:val="0"/>
              <w:autoSpaceDN w:val="0"/>
              <w:adjustRightInd w:val="0"/>
              <w:snapToGrid w:val="0"/>
              <w:spacing w:line="360" w:lineRule="auto"/>
              <w:ind w:firstLine="480" w:firstLineChars="200"/>
              <w:rPr>
                <w:color w:val="auto"/>
                <w:kern w:val="0"/>
                <w:sz w:val="24"/>
              </w:rPr>
            </w:pPr>
            <w:r>
              <w:rPr>
                <w:color w:val="auto"/>
                <w:kern w:val="0"/>
                <w:sz w:val="24"/>
              </w:rPr>
              <w:t>危险物质数量与临界量比值Q的计算如下：</w:t>
            </w:r>
          </w:p>
          <w:p>
            <w:pPr>
              <w:autoSpaceDE w:val="0"/>
              <w:autoSpaceDN w:val="0"/>
              <w:adjustRightInd w:val="0"/>
              <w:snapToGrid w:val="0"/>
              <w:spacing w:line="360" w:lineRule="auto"/>
              <w:ind w:firstLine="480" w:firstLineChars="200"/>
              <w:rPr>
                <w:color w:val="auto"/>
                <w:kern w:val="0"/>
                <w:sz w:val="24"/>
              </w:rPr>
            </w:pPr>
            <w:r>
              <w:rPr>
                <w:color w:val="auto"/>
                <w:kern w:val="0"/>
                <w:sz w:val="24"/>
              </w:rPr>
              <w:t>当只涉及一种危险物质时，计算该物质的总量与其临界量比值，即为Q；</w:t>
            </w:r>
          </w:p>
          <w:p>
            <w:pPr>
              <w:autoSpaceDE w:val="0"/>
              <w:autoSpaceDN w:val="0"/>
              <w:adjustRightInd w:val="0"/>
              <w:snapToGrid w:val="0"/>
              <w:spacing w:line="360" w:lineRule="auto"/>
              <w:ind w:firstLine="480" w:firstLineChars="200"/>
              <w:rPr>
                <w:color w:val="auto"/>
                <w:kern w:val="0"/>
                <w:sz w:val="24"/>
              </w:rPr>
            </w:pPr>
            <w:r>
              <w:rPr>
                <w:color w:val="auto"/>
                <w:kern w:val="0"/>
                <w:sz w:val="24"/>
              </w:rPr>
              <w:t>当存在多种危险物质时，则按下式计算物质总量与其临界量比值（Q）。</w:t>
            </w:r>
          </w:p>
          <w:p>
            <w:pPr>
              <w:autoSpaceDE w:val="0"/>
              <w:autoSpaceDN w:val="0"/>
              <w:adjustRightInd w:val="0"/>
              <w:snapToGrid w:val="0"/>
              <w:spacing w:line="360" w:lineRule="auto"/>
              <w:jc w:val="center"/>
              <w:rPr>
                <w:color w:val="auto"/>
                <w:kern w:val="0"/>
                <w:sz w:val="24"/>
              </w:rPr>
            </w:pPr>
            <w:r>
              <w:rPr>
                <w:color w:val="auto"/>
                <w:kern w:val="0"/>
                <w:sz w:val="24"/>
              </w:rPr>
              <w:t>Q=q1/Q1+ q2/Q2……+ qn/Qn</w:t>
            </w:r>
          </w:p>
          <w:p>
            <w:pPr>
              <w:autoSpaceDE w:val="0"/>
              <w:autoSpaceDN w:val="0"/>
              <w:adjustRightInd w:val="0"/>
              <w:snapToGrid w:val="0"/>
              <w:spacing w:line="360" w:lineRule="auto"/>
              <w:ind w:firstLine="480" w:firstLineChars="200"/>
              <w:rPr>
                <w:color w:val="auto"/>
                <w:kern w:val="0"/>
                <w:sz w:val="24"/>
              </w:rPr>
            </w:pPr>
            <w:r>
              <w:rPr>
                <w:color w:val="auto"/>
                <w:kern w:val="0"/>
                <w:sz w:val="24"/>
              </w:rPr>
              <w:t>式中：q1，q2……qn为每种危险物质实际存在量，t。</w:t>
            </w:r>
          </w:p>
          <w:p>
            <w:pPr>
              <w:autoSpaceDE w:val="0"/>
              <w:autoSpaceDN w:val="0"/>
              <w:adjustRightInd w:val="0"/>
              <w:snapToGrid w:val="0"/>
              <w:spacing w:line="360" w:lineRule="auto"/>
              <w:ind w:firstLine="1200" w:firstLineChars="500"/>
              <w:rPr>
                <w:color w:val="auto"/>
                <w:kern w:val="0"/>
                <w:sz w:val="24"/>
              </w:rPr>
            </w:pPr>
            <w:r>
              <w:rPr>
                <w:color w:val="auto"/>
                <w:kern w:val="0"/>
                <w:sz w:val="24"/>
              </w:rPr>
              <w:t>Q1、Q2……Qn为与各危险物质相对应的生产场所或贮存区的临界量，t。</w:t>
            </w:r>
          </w:p>
          <w:p>
            <w:pPr>
              <w:autoSpaceDE w:val="0"/>
              <w:autoSpaceDN w:val="0"/>
              <w:adjustRightInd w:val="0"/>
              <w:snapToGrid w:val="0"/>
              <w:spacing w:line="360" w:lineRule="auto"/>
              <w:ind w:firstLine="480" w:firstLineChars="200"/>
              <w:rPr>
                <w:color w:val="auto"/>
                <w:kern w:val="0"/>
                <w:sz w:val="24"/>
              </w:rPr>
            </w:pPr>
            <w:r>
              <w:rPr>
                <w:color w:val="auto"/>
                <w:kern w:val="0"/>
                <w:sz w:val="24"/>
              </w:rPr>
              <w:t>当Q&lt;1时，该项目环境风险潜势为</w:t>
            </w:r>
            <w:r>
              <w:rPr>
                <w:rFonts w:hint="eastAsia" w:ascii="宋体" w:hAnsi="宋体" w:cs="宋体"/>
                <w:color w:val="auto"/>
                <w:kern w:val="0"/>
                <w:sz w:val="24"/>
              </w:rPr>
              <w:t>Ⅰ</w:t>
            </w:r>
            <w:r>
              <w:rPr>
                <w:color w:val="auto"/>
                <w:kern w:val="0"/>
                <w:sz w:val="24"/>
              </w:rPr>
              <w:t>。</w:t>
            </w:r>
          </w:p>
          <w:p>
            <w:pPr>
              <w:adjustRightInd w:val="0"/>
              <w:snapToGrid w:val="0"/>
              <w:spacing w:line="360" w:lineRule="auto"/>
              <w:ind w:firstLine="480" w:firstLineChars="200"/>
              <w:rPr>
                <w:color w:val="auto"/>
                <w:kern w:val="0"/>
                <w:sz w:val="24"/>
              </w:rPr>
            </w:pPr>
            <w:r>
              <w:rPr>
                <w:color w:val="auto"/>
                <w:kern w:val="0"/>
                <w:sz w:val="24"/>
              </w:rPr>
              <w:t>当Q≥1时，将Q值划分为：（1）1≤Q＜10；（2）10≤Q＜100；（3）Q&gt;100。</w:t>
            </w:r>
          </w:p>
          <w:p>
            <w:pPr>
              <w:autoSpaceDE w:val="0"/>
              <w:autoSpaceDN w:val="0"/>
              <w:adjustRightInd w:val="0"/>
              <w:snapToGrid w:val="0"/>
              <w:spacing w:line="360" w:lineRule="auto"/>
              <w:ind w:firstLine="480" w:firstLineChars="200"/>
              <w:rPr>
                <w:color w:val="auto"/>
                <w:sz w:val="24"/>
              </w:rPr>
            </w:pPr>
            <w:r>
              <w:rPr>
                <w:color w:val="auto"/>
                <w:sz w:val="24"/>
              </w:rPr>
              <w:t>表</w:t>
            </w:r>
            <w:r>
              <w:rPr>
                <w:rFonts w:hint="eastAsia"/>
                <w:color w:val="auto"/>
                <w:sz w:val="24"/>
                <w:lang w:val="en-US" w:eastAsia="zh-CN"/>
              </w:rPr>
              <w:t>4.17</w:t>
            </w:r>
            <w:r>
              <w:rPr>
                <w:color w:val="auto"/>
                <w:sz w:val="24"/>
              </w:rPr>
              <w:t>的可知：本项目Q=</w:t>
            </w:r>
            <w:r>
              <w:rPr>
                <w:rFonts w:hint="eastAsia"/>
                <w:color w:val="auto"/>
                <w:sz w:val="24"/>
              </w:rPr>
              <w:t>0.000</w:t>
            </w:r>
            <w:r>
              <w:rPr>
                <w:rFonts w:hint="eastAsia"/>
                <w:color w:val="auto"/>
                <w:sz w:val="24"/>
                <w:lang w:val="en-US" w:eastAsia="zh-CN"/>
              </w:rPr>
              <w:t>2</w:t>
            </w:r>
            <w:r>
              <w:rPr>
                <w:rFonts w:hint="eastAsia"/>
                <w:color w:val="auto"/>
                <w:sz w:val="24"/>
              </w:rPr>
              <w:t>1</w:t>
            </w:r>
            <w:r>
              <w:rPr>
                <w:color w:val="auto"/>
                <w:kern w:val="0"/>
                <w:sz w:val="24"/>
              </w:rPr>
              <w:t>＜1，本项目风险潜势为Ι。</w:t>
            </w:r>
          </w:p>
          <w:p>
            <w:pPr>
              <w:adjustRightInd w:val="0"/>
              <w:snapToGrid w:val="0"/>
              <w:spacing w:line="360" w:lineRule="auto"/>
              <w:ind w:firstLine="480" w:firstLineChars="200"/>
              <w:jc w:val="left"/>
              <w:rPr>
                <w:color w:val="auto"/>
                <w:sz w:val="24"/>
              </w:rPr>
            </w:pPr>
            <w:r>
              <w:rPr>
                <w:color w:val="auto"/>
                <w:sz w:val="24"/>
              </w:rPr>
              <w:t>本项目涉及到的环境风险物质以油类为主，风险物质向环境转移的途径主要为危险物质泄漏、燃烧，向大气和水体、土壤转移，详见表4.</w:t>
            </w:r>
            <w:r>
              <w:rPr>
                <w:rFonts w:hint="eastAsia"/>
                <w:color w:val="auto"/>
                <w:sz w:val="24"/>
                <w:lang w:val="en-US" w:eastAsia="zh-CN"/>
              </w:rPr>
              <w:t>20</w:t>
            </w:r>
            <w:r>
              <w:rPr>
                <w:color w:val="auto"/>
                <w:sz w:val="24"/>
              </w:rPr>
              <w:t>。</w:t>
            </w:r>
          </w:p>
          <w:p>
            <w:pPr>
              <w:snapToGrid w:val="0"/>
              <w:spacing w:line="360" w:lineRule="auto"/>
              <w:jc w:val="center"/>
              <w:rPr>
                <w:color w:val="auto"/>
                <w:sz w:val="21"/>
                <w:szCs w:val="21"/>
              </w:rPr>
            </w:pPr>
            <w:r>
              <w:rPr>
                <w:color w:val="auto"/>
                <w:sz w:val="21"/>
                <w:szCs w:val="21"/>
              </w:rPr>
              <w:t>表4.</w:t>
            </w:r>
            <w:r>
              <w:rPr>
                <w:rFonts w:hint="eastAsia"/>
                <w:color w:val="auto"/>
                <w:sz w:val="21"/>
                <w:szCs w:val="21"/>
                <w:lang w:val="en-US" w:eastAsia="zh-CN"/>
              </w:rPr>
              <w:t>20</w:t>
            </w:r>
            <w:r>
              <w:rPr>
                <w:color w:val="auto"/>
                <w:sz w:val="21"/>
                <w:szCs w:val="21"/>
              </w:rPr>
              <w:t xml:space="preserve"> 本项目环境风险识别一览表</w:t>
            </w:r>
          </w:p>
          <w:tbl>
            <w:tblPr>
              <w:tblStyle w:val="22"/>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1107"/>
              <w:gridCol w:w="773"/>
              <w:gridCol w:w="1107"/>
              <w:gridCol w:w="496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29" w:type="pct"/>
                  <w:tcBorders>
                    <w:tl2br w:val="nil"/>
                    <w:tr2bl w:val="nil"/>
                  </w:tcBorders>
                  <w:vAlign w:val="center"/>
                </w:tcPr>
                <w:p>
                  <w:pPr>
                    <w:adjustRightInd w:val="0"/>
                    <w:snapToGrid w:val="0"/>
                    <w:jc w:val="center"/>
                    <w:rPr>
                      <w:color w:val="auto"/>
                    </w:rPr>
                  </w:pPr>
                  <w:r>
                    <w:rPr>
                      <w:color w:val="auto"/>
                    </w:rPr>
                    <w:t>序号</w:t>
                  </w:r>
                </w:p>
              </w:tc>
              <w:tc>
                <w:tcPr>
                  <w:tcW w:w="650" w:type="pct"/>
                  <w:tcBorders>
                    <w:tl2br w:val="nil"/>
                    <w:tr2bl w:val="nil"/>
                  </w:tcBorders>
                  <w:vAlign w:val="center"/>
                </w:tcPr>
                <w:p>
                  <w:pPr>
                    <w:adjustRightInd w:val="0"/>
                    <w:snapToGrid w:val="0"/>
                    <w:jc w:val="center"/>
                    <w:rPr>
                      <w:color w:val="auto"/>
                    </w:rPr>
                  </w:pPr>
                  <w:r>
                    <w:rPr>
                      <w:color w:val="auto"/>
                    </w:rPr>
                    <w:t>风险源</w:t>
                  </w:r>
                </w:p>
              </w:tc>
              <w:tc>
                <w:tcPr>
                  <w:tcW w:w="454" w:type="pct"/>
                  <w:tcBorders>
                    <w:tl2br w:val="nil"/>
                    <w:tr2bl w:val="nil"/>
                  </w:tcBorders>
                  <w:vAlign w:val="center"/>
                </w:tcPr>
                <w:p>
                  <w:pPr>
                    <w:adjustRightInd w:val="0"/>
                    <w:snapToGrid w:val="0"/>
                    <w:jc w:val="center"/>
                    <w:rPr>
                      <w:color w:val="auto"/>
                    </w:rPr>
                  </w:pPr>
                  <w:r>
                    <w:rPr>
                      <w:color w:val="auto"/>
                    </w:rPr>
                    <w:t>风险物质</w:t>
                  </w:r>
                </w:p>
              </w:tc>
              <w:tc>
                <w:tcPr>
                  <w:tcW w:w="650" w:type="pct"/>
                  <w:tcBorders>
                    <w:tl2br w:val="nil"/>
                    <w:tr2bl w:val="nil"/>
                  </w:tcBorders>
                  <w:vAlign w:val="center"/>
                </w:tcPr>
                <w:p>
                  <w:pPr>
                    <w:adjustRightInd w:val="0"/>
                    <w:snapToGrid w:val="0"/>
                    <w:jc w:val="center"/>
                    <w:rPr>
                      <w:color w:val="auto"/>
                    </w:rPr>
                  </w:pPr>
                  <w:r>
                    <w:rPr>
                      <w:color w:val="auto"/>
                    </w:rPr>
                    <w:t>环境影响类型</w:t>
                  </w:r>
                </w:p>
              </w:tc>
              <w:tc>
                <w:tcPr>
                  <w:tcW w:w="2916" w:type="pct"/>
                  <w:tcBorders>
                    <w:tl2br w:val="nil"/>
                    <w:tr2bl w:val="nil"/>
                  </w:tcBorders>
                  <w:vAlign w:val="center"/>
                </w:tcPr>
                <w:p>
                  <w:pPr>
                    <w:adjustRightInd w:val="0"/>
                    <w:snapToGrid w:val="0"/>
                    <w:jc w:val="center"/>
                    <w:rPr>
                      <w:color w:val="auto"/>
                    </w:rPr>
                  </w:pPr>
                  <w:r>
                    <w:rPr>
                      <w:color w:val="auto"/>
                    </w:rPr>
                    <w:t>影响途径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29" w:type="pct"/>
                  <w:tcBorders>
                    <w:tl2br w:val="nil"/>
                    <w:tr2bl w:val="nil"/>
                  </w:tcBorders>
                  <w:vAlign w:val="center"/>
                </w:tcPr>
                <w:p>
                  <w:pPr>
                    <w:adjustRightInd w:val="0"/>
                    <w:snapToGrid w:val="0"/>
                    <w:jc w:val="center"/>
                    <w:rPr>
                      <w:color w:val="auto"/>
                    </w:rPr>
                  </w:pPr>
                  <w:r>
                    <w:rPr>
                      <w:color w:val="auto"/>
                    </w:rPr>
                    <w:t>1</w:t>
                  </w:r>
                </w:p>
              </w:tc>
              <w:tc>
                <w:tcPr>
                  <w:tcW w:w="650" w:type="pct"/>
                  <w:tcBorders>
                    <w:tl2br w:val="nil"/>
                    <w:tr2bl w:val="nil"/>
                  </w:tcBorders>
                  <w:vAlign w:val="center"/>
                </w:tcPr>
                <w:p>
                  <w:pPr>
                    <w:jc w:val="center"/>
                    <w:rPr>
                      <w:color w:val="auto"/>
                    </w:rPr>
                  </w:pPr>
                  <w:r>
                    <w:rPr>
                      <w:rFonts w:hint="eastAsia"/>
                      <w:color w:val="auto"/>
                    </w:rPr>
                    <w:t>油料堆放区</w:t>
                  </w:r>
                </w:p>
              </w:tc>
              <w:tc>
                <w:tcPr>
                  <w:tcW w:w="454" w:type="pct"/>
                  <w:tcBorders>
                    <w:tl2br w:val="nil"/>
                    <w:tr2bl w:val="nil"/>
                  </w:tcBorders>
                  <w:vAlign w:val="center"/>
                </w:tcPr>
                <w:p>
                  <w:pPr>
                    <w:adjustRightInd w:val="0"/>
                    <w:snapToGrid w:val="0"/>
                    <w:jc w:val="center"/>
                    <w:rPr>
                      <w:rFonts w:hint="eastAsia" w:eastAsia="宋体"/>
                      <w:color w:val="auto"/>
                      <w:szCs w:val="21"/>
                      <w:lang w:eastAsia="zh-CN"/>
                    </w:rPr>
                  </w:pPr>
                  <w:r>
                    <w:rPr>
                      <w:rFonts w:hint="eastAsia"/>
                      <w:color w:val="auto"/>
                      <w:szCs w:val="21"/>
                      <w:lang w:eastAsia="zh-CN"/>
                    </w:rPr>
                    <w:t>液压油</w:t>
                  </w:r>
                </w:p>
                <w:p>
                  <w:pPr>
                    <w:adjustRightInd w:val="0"/>
                    <w:snapToGrid w:val="0"/>
                    <w:jc w:val="center"/>
                    <w:rPr>
                      <w:color w:val="auto"/>
                      <w:szCs w:val="21"/>
                    </w:rPr>
                  </w:pPr>
                  <w:r>
                    <w:rPr>
                      <w:rFonts w:hint="eastAsia"/>
                      <w:color w:val="auto"/>
                      <w:szCs w:val="21"/>
                    </w:rPr>
                    <w:t>机油</w:t>
                  </w:r>
                </w:p>
              </w:tc>
              <w:tc>
                <w:tcPr>
                  <w:tcW w:w="650" w:type="pct"/>
                  <w:tcBorders>
                    <w:tl2br w:val="nil"/>
                    <w:tr2bl w:val="nil"/>
                  </w:tcBorders>
                  <w:vAlign w:val="center"/>
                </w:tcPr>
                <w:p>
                  <w:pPr>
                    <w:adjustRightInd w:val="0"/>
                    <w:snapToGrid w:val="0"/>
                    <w:jc w:val="center"/>
                    <w:rPr>
                      <w:color w:val="auto"/>
                    </w:rPr>
                  </w:pPr>
                  <w:r>
                    <w:rPr>
                      <w:color w:val="auto"/>
                    </w:rPr>
                    <w:t>泄漏、火灾</w:t>
                  </w:r>
                </w:p>
              </w:tc>
              <w:tc>
                <w:tcPr>
                  <w:tcW w:w="2916" w:type="pct"/>
                  <w:tcBorders>
                    <w:tl2br w:val="nil"/>
                    <w:tr2bl w:val="nil"/>
                  </w:tcBorders>
                  <w:vAlign w:val="center"/>
                </w:tcPr>
                <w:p>
                  <w:pPr>
                    <w:adjustRightInd w:val="0"/>
                    <w:snapToGrid w:val="0"/>
                    <w:rPr>
                      <w:color w:val="auto"/>
                    </w:rPr>
                  </w:pPr>
                  <w:r>
                    <w:rPr>
                      <w:color w:val="auto"/>
                    </w:rPr>
                    <w:t>泄漏后通过雨、污管网进入地表水；泄漏后通过渗入土壤；燃烧产生的伴生/次生污染物进入大气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29" w:type="pct"/>
                  <w:tcBorders>
                    <w:tl2br w:val="nil"/>
                    <w:tr2bl w:val="nil"/>
                  </w:tcBorders>
                  <w:vAlign w:val="center"/>
                </w:tcPr>
                <w:p>
                  <w:pPr>
                    <w:adjustRightInd w:val="0"/>
                    <w:snapToGrid w:val="0"/>
                    <w:jc w:val="center"/>
                    <w:rPr>
                      <w:rFonts w:hint="eastAsia" w:eastAsia="宋体"/>
                      <w:color w:val="auto"/>
                      <w:lang w:val="en-US" w:eastAsia="zh-CN"/>
                    </w:rPr>
                  </w:pPr>
                  <w:r>
                    <w:rPr>
                      <w:rFonts w:hint="eastAsia"/>
                      <w:color w:val="auto"/>
                      <w:lang w:val="en-US" w:eastAsia="zh-CN"/>
                    </w:rPr>
                    <w:t>2</w:t>
                  </w:r>
                </w:p>
              </w:tc>
              <w:tc>
                <w:tcPr>
                  <w:tcW w:w="650" w:type="pct"/>
                  <w:tcBorders>
                    <w:tl2br w:val="nil"/>
                    <w:tr2bl w:val="nil"/>
                  </w:tcBorders>
                  <w:vAlign w:val="center"/>
                </w:tcPr>
                <w:p>
                  <w:pPr>
                    <w:jc w:val="center"/>
                    <w:rPr>
                      <w:rFonts w:hint="eastAsia" w:eastAsia="宋体"/>
                      <w:color w:val="auto"/>
                      <w:lang w:eastAsia="zh-CN"/>
                    </w:rPr>
                  </w:pPr>
                  <w:r>
                    <w:rPr>
                      <w:rFonts w:hint="eastAsia"/>
                      <w:color w:val="auto"/>
                      <w:lang w:eastAsia="zh-CN"/>
                    </w:rPr>
                    <w:t>胶粘剂堆放区</w:t>
                  </w:r>
                </w:p>
              </w:tc>
              <w:tc>
                <w:tcPr>
                  <w:tcW w:w="454" w:type="pct"/>
                  <w:tcBorders>
                    <w:tl2br w:val="nil"/>
                    <w:tr2bl w:val="nil"/>
                  </w:tcBorders>
                  <w:vAlign w:val="center"/>
                </w:tcPr>
                <w:p>
                  <w:pPr>
                    <w:adjustRightInd w:val="0"/>
                    <w:snapToGrid w:val="0"/>
                    <w:jc w:val="center"/>
                    <w:rPr>
                      <w:rFonts w:hint="eastAsia" w:eastAsia="宋体"/>
                      <w:color w:val="auto"/>
                      <w:szCs w:val="21"/>
                      <w:lang w:eastAsia="zh-CN"/>
                    </w:rPr>
                  </w:pPr>
                  <w:r>
                    <w:rPr>
                      <w:rFonts w:hint="eastAsia"/>
                      <w:color w:val="auto"/>
                      <w:szCs w:val="21"/>
                      <w:lang w:eastAsia="zh-CN"/>
                    </w:rPr>
                    <w:t>胶粘剂</w:t>
                  </w:r>
                </w:p>
              </w:tc>
              <w:tc>
                <w:tcPr>
                  <w:tcW w:w="650" w:type="pct"/>
                  <w:tcBorders>
                    <w:tl2br w:val="nil"/>
                    <w:tr2bl w:val="nil"/>
                  </w:tcBorders>
                  <w:vAlign w:val="center"/>
                </w:tcPr>
                <w:p>
                  <w:pPr>
                    <w:adjustRightInd w:val="0"/>
                    <w:snapToGrid w:val="0"/>
                    <w:jc w:val="center"/>
                    <w:rPr>
                      <w:rFonts w:hint="eastAsia" w:eastAsia="宋体"/>
                      <w:color w:val="auto"/>
                      <w:lang w:eastAsia="zh-CN"/>
                    </w:rPr>
                  </w:pPr>
                  <w:r>
                    <w:rPr>
                      <w:rFonts w:hint="eastAsia"/>
                      <w:color w:val="auto"/>
                      <w:lang w:eastAsia="zh-CN"/>
                    </w:rPr>
                    <w:t>泄漏</w:t>
                  </w:r>
                </w:p>
              </w:tc>
              <w:tc>
                <w:tcPr>
                  <w:tcW w:w="2916" w:type="pct"/>
                  <w:tcBorders>
                    <w:tl2br w:val="nil"/>
                    <w:tr2bl w:val="nil"/>
                  </w:tcBorders>
                  <w:vAlign w:val="center"/>
                </w:tcPr>
                <w:p>
                  <w:pPr>
                    <w:adjustRightInd w:val="0"/>
                    <w:snapToGrid w:val="0"/>
                    <w:rPr>
                      <w:color w:val="auto"/>
                    </w:rPr>
                  </w:pPr>
                  <w:r>
                    <w:rPr>
                      <w:color w:val="auto"/>
                    </w:rPr>
                    <w:t>泄漏后通过雨、污管网进入地表水；泄漏后通过渗入土壤；</w:t>
                  </w:r>
                </w:p>
              </w:tc>
            </w:tr>
          </w:tbl>
          <w:p>
            <w:pPr>
              <w:pStyle w:val="2"/>
              <w:ind w:firstLine="480" w:firstLineChars="200"/>
              <w:rPr>
                <w:rFonts w:ascii="Times New Roman" w:hAnsi="Times New Roman" w:cs="Times New Roman"/>
                <w:color w:val="auto"/>
              </w:rPr>
            </w:pPr>
            <w:r>
              <w:rPr>
                <w:rFonts w:ascii="Times New Roman" w:hAnsi="Times New Roman" w:cs="Times New Roman"/>
                <w:color w:val="auto"/>
              </w:rPr>
              <w:t>（3）环境风险防范措施</w:t>
            </w:r>
          </w:p>
          <w:p>
            <w:pPr>
              <w:autoSpaceDE w:val="0"/>
              <w:autoSpaceDN w:val="0"/>
              <w:adjustRightInd w:val="0"/>
              <w:snapToGrid w:val="0"/>
              <w:spacing w:line="360" w:lineRule="auto"/>
              <w:ind w:firstLine="480" w:firstLineChars="200"/>
              <w:rPr>
                <w:color w:val="auto"/>
                <w:sz w:val="24"/>
              </w:rPr>
            </w:pPr>
            <w:r>
              <w:rPr>
                <w:color w:val="auto"/>
                <w:sz w:val="24"/>
              </w:rPr>
              <w:t>①</w:t>
            </w:r>
            <w:r>
              <w:rPr>
                <w:rFonts w:hint="eastAsia"/>
                <w:color w:val="auto"/>
                <w:sz w:val="24"/>
                <w:lang w:eastAsia="zh-CN"/>
              </w:rPr>
              <w:t>通过调查，该企业</w:t>
            </w:r>
            <w:r>
              <w:rPr>
                <w:color w:val="auto"/>
                <w:sz w:val="24"/>
              </w:rPr>
              <w:t>建立一套严密科学的检修规程、操作规程和规章制度，实施严格的设备管理、工艺管理、安全环保管理、质量管理和现场管理。</w:t>
            </w:r>
          </w:p>
          <w:p>
            <w:pPr>
              <w:autoSpaceDE w:val="0"/>
              <w:autoSpaceDN w:val="0"/>
              <w:adjustRightInd w:val="0"/>
              <w:snapToGrid w:val="0"/>
              <w:spacing w:line="360" w:lineRule="auto"/>
              <w:ind w:firstLine="480" w:firstLineChars="200"/>
              <w:rPr>
                <w:rFonts w:hint="default" w:eastAsia="宋体"/>
                <w:color w:val="auto"/>
                <w:sz w:val="24"/>
                <w:lang w:val="en-US" w:eastAsia="zh-CN"/>
              </w:rPr>
            </w:pPr>
            <w:r>
              <w:rPr>
                <w:color w:val="auto"/>
                <w:sz w:val="24"/>
              </w:rPr>
              <w:t>②</w:t>
            </w:r>
            <w:r>
              <w:rPr>
                <w:rFonts w:hint="eastAsia"/>
                <w:color w:val="auto"/>
                <w:sz w:val="24"/>
                <w:lang w:eastAsia="zh-CN"/>
              </w:rPr>
              <w:t>通过调查，扩建项目依托的</w:t>
            </w:r>
            <w:r>
              <w:rPr>
                <w:rFonts w:hint="eastAsia"/>
                <w:color w:val="auto"/>
                <w:sz w:val="24"/>
              </w:rPr>
              <w:t>危废暂存间</w:t>
            </w:r>
            <w:r>
              <w:rPr>
                <w:color w:val="auto"/>
                <w:sz w:val="24"/>
              </w:rPr>
              <w:t>地面及内墙采取防渗措施，地面作防渗、防漏、防酸碱腐蚀处理</w:t>
            </w:r>
            <w:r>
              <w:rPr>
                <w:rFonts w:hint="eastAsia"/>
                <w:color w:val="auto"/>
                <w:sz w:val="24"/>
                <w:lang w:eastAsia="zh-CN"/>
              </w:rPr>
              <w:t>，扩建项目产生的危险废物可依托该危险废物暂存间暂存。</w:t>
            </w:r>
          </w:p>
          <w:p>
            <w:pPr>
              <w:autoSpaceDE w:val="0"/>
              <w:autoSpaceDN w:val="0"/>
              <w:adjustRightInd w:val="0"/>
              <w:snapToGrid w:val="0"/>
              <w:spacing w:line="360" w:lineRule="auto"/>
              <w:ind w:firstLine="480" w:firstLineChars="200"/>
              <w:rPr>
                <w:rFonts w:hint="eastAsia" w:eastAsia="宋体"/>
                <w:color w:val="auto"/>
                <w:sz w:val="24"/>
                <w:lang w:eastAsia="zh-CN"/>
              </w:rPr>
            </w:pPr>
            <w:r>
              <w:rPr>
                <w:rFonts w:ascii="Times New Roman" w:hAnsi="Times New Roman" w:cs="Times New Roman"/>
                <w:color w:val="auto"/>
                <w:sz w:val="24"/>
                <w:szCs w:val="24"/>
              </w:rPr>
              <w:t>③</w:t>
            </w:r>
            <w:r>
              <w:rPr>
                <w:rFonts w:hint="eastAsia" w:cs="Times New Roman"/>
                <w:color w:val="auto"/>
                <w:sz w:val="24"/>
                <w:szCs w:val="24"/>
                <w:lang w:eastAsia="zh-CN"/>
              </w:rPr>
              <w:t>通过调查，该企业</w:t>
            </w:r>
            <w:r>
              <w:rPr>
                <w:color w:val="auto"/>
                <w:sz w:val="24"/>
              </w:rPr>
              <w:t>生产车间配备干粉灭火器、消防沙等灭火救援物质，发生火情</w:t>
            </w:r>
            <w:r>
              <w:rPr>
                <w:rFonts w:hint="eastAsia"/>
                <w:color w:val="auto"/>
                <w:sz w:val="24"/>
              </w:rPr>
              <w:t>时</w:t>
            </w:r>
            <w:r>
              <w:rPr>
                <w:color w:val="auto"/>
                <w:sz w:val="24"/>
              </w:rPr>
              <w:t>及时组织人员灭火救援。</w:t>
            </w:r>
          </w:p>
          <w:p>
            <w:pPr>
              <w:adjustRightInd w:val="0"/>
              <w:snapToGrid w:val="0"/>
              <w:spacing w:line="360" w:lineRule="auto"/>
              <w:ind w:firstLine="480" w:firstLineChars="200"/>
              <w:rPr>
                <w:rFonts w:ascii="Times New Roman" w:hAnsi="Times New Roman" w:cs="Times New Roman"/>
                <w:color w:val="auto"/>
                <w:sz w:val="24"/>
                <w:szCs w:val="24"/>
              </w:rPr>
            </w:pPr>
            <w:r>
              <w:rPr>
                <w:color w:val="auto"/>
                <w:sz w:val="24"/>
              </w:rPr>
              <w:t>④</w:t>
            </w:r>
            <w:r>
              <w:rPr>
                <w:rFonts w:hint="eastAsia"/>
                <w:color w:val="auto"/>
                <w:sz w:val="24"/>
                <w:lang w:eastAsia="zh-CN"/>
              </w:rPr>
              <w:t>扩建项目</w:t>
            </w:r>
            <w:r>
              <w:rPr>
                <w:rFonts w:hint="eastAsia"/>
                <w:color w:val="auto"/>
                <w:sz w:val="24"/>
              </w:rPr>
              <w:t>胶粘剂堆放区</w:t>
            </w:r>
            <w:r>
              <w:rPr>
                <w:color w:val="auto"/>
                <w:sz w:val="24"/>
              </w:rPr>
              <w:t>地面及内墙</w:t>
            </w:r>
            <w:r>
              <w:rPr>
                <w:rFonts w:hint="eastAsia"/>
                <w:color w:val="auto"/>
                <w:sz w:val="24"/>
                <w:lang w:eastAsia="zh-CN"/>
              </w:rPr>
              <w:t>应</w:t>
            </w:r>
            <w:r>
              <w:rPr>
                <w:color w:val="auto"/>
                <w:sz w:val="24"/>
              </w:rPr>
              <w:t>采取防渗措施，地面作防渗、防漏、防酸碱腐蚀处理。</w:t>
            </w:r>
            <w:r>
              <w:rPr>
                <w:rFonts w:hint="eastAsia" w:cs="Times New Roman"/>
                <w:color w:val="auto"/>
                <w:sz w:val="24"/>
                <w:szCs w:val="24"/>
              </w:rPr>
              <w:t>胶粘剂堆放区</w:t>
            </w:r>
            <w:r>
              <w:rPr>
                <w:rFonts w:hint="eastAsia" w:cs="Times New Roman"/>
                <w:color w:val="auto"/>
                <w:sz w:val="24"/>
                <w:szCs w:val="24"/>
                <w:lang w:eastAsia="zh-CN"/>
              </w:rPr>
              <w:t>应</w:t>
            </w:r>
            <w:r>
              <w:rPr>
                <w:rFonts w:ascii="Times New Roman" w:hAnsi="Times New Roman" w:cs="Times New Roman"/>
                <w:color w:val="auto"/>
                <w:sz w:val="24"/>
                <w:szCs w:val="24"/>
              </w:rPr>
              <w:t>放置一定量吸收毡、吸收棉，</w:t>
            </w:r>
            <w:r>
              <w:rPr>
                <w:rFonts w:hint="eastAsia" w:cs="Times New Roman"/>
                <w:color w:val="auto"/>
                <w:sz w:val="24"/>
                <w:szCs w:val="24"/>
                <w:lang w:eastAsia="zh-CN"/>
              </w:rPr>
              <w:t>物料</w:t>
            </w:r>
            <w:r>
              <w:rPr>
                <w:rFonts w:ascii="Times New Roman" w:hAnsi="Times New Roman" w:cs="Times New Roman"/>
                <w:color w:val="auto"/>
                <w:sz w:val="24"/>
                <w:szCs w:val="24"/>
              </w:rPr>
              <w:t>泄漏后采用吸收毡、吸收棉及时吸收泄漏物质，吸附材料达到饱和后转移至危险废物暂存点，采用专用包装物或密闭的容器内（包装桶）暂存，盖好收集容器的盖子，贴上废物标签，按照废物管理制度或污染物排放控制程序处理。</w:t>
            </w:r>
          </w:p>
          <w:p>
            <w:pPr>
              <w:pStyle w:val="2"/>
              <w:ind w:firstLine="480" w:firstLineChars="200"/>
              <w:rPr>
                <w:rFonts w:ascii="Times New Roman" w:hAnsi="Times New Roman" w:cs="Times New Roman"/>
                <w:color w:val="auto"/>
              </w:rPr>
            </w:pPr>
            <w:r>
              <w:rPr>
                <w:rFonts w:ascii="Times New Roman" w:hAnsi="Times New Roman" w:cs="Times New Roman"/>
                <w:color w:val="auto"/>
              </w:rPr>
              <w:t>⑤</w:t>
            </w:r>
            <w:r>
              <w:rPr>
                <w:rFonts w:hint="eastAsia" w:ascii="Times New Roman" w:hAnsi="Times New Roman" w:cs="Times New Roman"/>
                <w:color w:val="auto"/>
                <w:lang w:eastAsia="zh-CN"/>
              </w:rPr>
              <w:t>扩建项目</w:t>
            </w:r>
            <w:r>
              <w:rPr>
                <w:rFonts w:ascii="Times New Roman" w:hAnsi="Times New Roman" w:cs="Times New Roman"/>
                <w:color w:val="auto"/>
              </w:rPr>
              <w:t>加强机械设备、管线、阀门等元器件的维护保养，对系统薄弱环节加强检查、维护保养、及时更新。</w:t>
            </w:r>
          </w:p>
          <w:p>
            <w:pPr>
              <w:pStyle w:val="2"/>
              <w:ind w:firstLine="480" w:firstLineChars="200"/>
              <w:rPr>
                <w:rFonts w:ascii="Times New Roman" w:hAnsi="Times New Roman" w:cs="Times New Roman"/>
                <w:color w:val="auto"/>
              </w:rPr>
            </w:pPr>
            <w:r>
              <w:rPr>
                <w:rFonts w:ascii="Times New Roman" w:hAnsi="Times New Roman" w:cs="Times New Roman"/>
                <w:color w:val="auto"/>
              </w:rPr>
              <w:t>（</w:t>
            </w:r>
            <w:r>
              <w:rPr>
                <w:rFonts w:hint="eastAsia" w:ascii="Times New Roman" w:cs="Times New Roman"/>
                <w:color w:val="auto"/>
              </w:rPr>
              <w:t>4</w:t>
            </w:r>
            <w:r>
              <w:rPr>
                <w:rFonts w:ascii="Times New Roman" w:hAnsi="Times New Roman" w:cs="Times New Roman"/>
                <w:color w:val="auto"/>
              </w:rPr>
              <w:t>）分区防控措施</w:t>
            </w:r>
          </w:p>
          <w:p>
            <w:pPr>
              <w:widowControl/>
              <w:adjustRightInd w:val="0"/>
              <w:snapToGrid w:val="0"/>
              <w:spacing w:line="360" w:lineRule="auto"/>
              <w:ind w:firstLine="480" w:firstLineChars="200"/>
              <w:rPr>
                <w:rFonts w:hint="eastAsia" w:eastAsia="宋体"/>
                <w:color w:val="auto"/>
                <w:sz w:val="24"/>
                <w:lang w:val="en-US" w:eastAsia="zh-CN"/>
              </w:rPr>
            </w:pPr>
            <w:r>
              <w:rPr>
                <w:color w:val="auto"/>
                <w:kern w:val="0"/>
                <w:sz w:val="24"/>
                <w:lang w:bidi="ar"/>
              </w:rPr>
              <w:t>根据《环境影响评价技术导则</w:t>
            </w:r>
            <w:r>
              <w:rPr>
                <w:rFonts w:hint="eastAsia"/>
                <w:color w:val="auto"/>
                <w:kern w:val="0"/>
                <w:sz w:val="24"/>
                <w:lang w:bidi="ar"/>
              </w:rPr>
              <w:t>—</w:t>
            </w:r>
            <w:r>
              <w:rPr>
                <w:color w:val="auto"/>
                <w:kern w:val="0"/>
                <w:sz w:val="24"/>
                <w:lang w:bidi="ar"/>
              </w:rPr>
              <w:t>地下水环境》（HJ610-2016）中“地下水环境保护措施及对策”的相关内容，并参照《危险废物填埋污染控制标准》（GB18598-2001）可知，</w:t>
            </w:r>
            <w:r>
              <w:rPr>
                <w:rFonts w:hint="eastAsia"/>
                <w:color w:val="auto"/>
                <w:kern w:val="0"/>
                <w:sz w:val="24"/>
                <w:lang w:eastAsia="zh-CN" w:bidi="ar"/>
              </w:rPr>
              <w:t>扩建项目</w:t>
            </w:r>
            <w:r>
              <w:rPr>
                <w:rFonts w:hint="eastAsia"/>
                <w:color w:val="auto"/>
                <w:kern w:val="0"/>
                <w:sz w:val="24"/>
                <w:lang w:bidi="ar"/>
              </w:rPr>
              <w:t>胶粘剂堆放区作</w:t>
            </w:r>
            <w:r>
              <w:rPr>
                <w:color w:val="auto"/>
                <w:kern w:val="0"/>
                <w:sz w:val="24"/>
                <w:lang w:bidi="ar"/>
              </w:rPr>
              <w:t>为重点防渗区，</w:t>
            </w:r>
            <w:r>
              <w:rPr>
                <w:rFonts w:hint="eastAsia"/>
                <w:color w:val="auto"/>
                <w:kern w:val="0"/>
                <w:sz w:val="24"/>
                <w:lang w:eastAsia="zh-CN" w:bidi="ar"/>
              </w:rPr>
              <w:t>扩建项目生产</w:t>
            </w:r>
            <w:r>
              <w:rPr>
                <w:rFonts w:hint="eastAsia"/>
                <w:color w:val="auto"/>
                <w:kern w:val="0"/>
                <w:sz w:val="24"/>
                <w:lang w:bidi="ar"/>
              </w:rPr>
              <w:t>车间作为</w:t>
            </w:r>
            <w:r>
              <w:rPr>
                <w:color w:val="auto"/>
                <w:kern w:val="0"/>
                <w:sz w:val="24"/>
                <w:lang w:bidi="ar"/>
              </w:rPr>
              <w:t>一般防渗区。</w:t>
            </w:r>
            <w:r>
              <w:rPr>
                <w:rFonts w:hint="eastAsia"/>
                <w:color w:val="auto"/>
                <w:kern w:val="0"/>
                <w:sz w:val="24"/>
                <w:lang w:bidi="ar"/>
              </w:rPr>
              <w:t>本项目</w:t>
            </w:r>
            <w:r>
              <w:rPr>
                <w:color w:val="auto"/>
                <w:kern w:val="0"/>
                <w:sz w:val="24"/>
                <w:lang w:bidi="ar"/>
              </w:rPr>
              <w:t>地下水污染防渗措施以水平防渗为主，</w:t>
            </w:r>
            <w:r>
              <w:rPr>
                <w:rFonts w:hint="eastAsia"/>
                <w:color w:val="auto"/>
                <w:kern w:val="0"/>
                <w:sz w:val="24"/>
                <w:lang w:bidi="ar"/>
              </w:rPr>
              <w:t>具体分区防渗措施</w:t>
            </w:r>
            <w:r>
              <w:rPr>
                <w:color w:val="auto"/>
                <w:kern w:val="0"/>
                <w:sz w:val="24"/>
                <w:lang w:bidi="ar"/>
              </w:rPr>
              <w:t>如下：</w:t>
            </w:r>
          </w:p>
          <w:p>
            <w:pPr>
              <w:widowControl/>
              <w:adjustRightInd w:val="0"/>
              <w:snapToGrid w:val="0"/>
              <w:spacing w:line="360" w:lineRule="auto"/>
              <w:ind w:firstLine="480" w:firstLineChars="200"/>
              <w:rPr>
                <w:color w:val="auto"/>
                <w:sz w:val="24"/>
              </w:rPr>
            </w:pPr>
            <w:r>
              <w:rPr>
                <w:rFonts w:hint="eastAsia" w:ascii="宋体" w:hAnsi="宋体" w:cs="宋体"/>
                <w:color w:val="auto"/>
                <w:kern w:val="0"/>
                <w:sz w:val="24"/>
                <w:lang w:bidi="ar"/>
              </w:rPr>
              <w:t>①</w:t>
            </w:r>
            <w:r>
              <w:rPr>
                <w:color w:val="auto"/>
                <w:kern w:val="0"/>
                <w:sz w:val="24"/>
                <w:lang w:bidi="ar"/>
              </w:rPr>
              <w:t>重点防渗区</w:t>
            </w:r>
          </w:p>
          <w:p>
            <w:pPr>
              <w:widowControl/>
              <w:adjustRightInd w:val="0"/>
              <w:snapToGrid w:val="0"/>
              <w:spacing w:line="360" w:lineRule="auto"/>
              <w:ind w:firstLine="480" w:firstLineChars="200"/>
              <w:rPr>
                <w:color w:val="auto"/>
                <w:sz w:val="24"/>
              </w:rPr>
            </w:pPr>
            <w:r>
              <w:rPr>
                <w:color w:val="auto"/>
                <w:kern w:val="0"/>
                <w:sz w:val="24"/>
                <w:lang w:bidi="ar"/>
              </w:rPr>
              <w:t>重点防渗区地坪防渗性能要求为渗透系数小于10</w:t>
            </w:r>
            <w:r>
              <w:rPr>
                <w:color w:val="auto"/>
                <w:kern w:val="0"/>
                <w:sz w:val="24"/>
                <w:vertAlign w:val="superscript"/>
                <w:lang w:bidi="ar"/>
              </w:rPr>
              <w:t>-7</w:t>
            </w:r>
            <w:r>
              <w:rPr>
                <w:color w:val="auto"/>
                <w:kern w:val="0"/>
                <w:sz w:val="24"/>
                <w:lang w:bidi="ar"/>
              </w:rPr>
              <w:t>cm/s，等效粘土层厚度不小于6m，防渗措施如下：</w:t>
            </w:r>
          </w:p>
          <w:p>
            <w:pPr>
              <w:widowControl/>
              <w:adjustRightInd w:val="0"/>
              <w:snapToGrid w:val="0"/>
              <w:spacing w:line="360" w:lineRule="auto"/>
              <w:ind w:firstLine="480" w:firstLineChars="200"/>
              <w:rPr>
                <w:color w:val="auto"/>
                <w:sz w:val="24"/>
              </w:rPr>
            </w:pPr>
            <w:r>
              <w:rPr>
                <w:rFonts w:hint="eastAsia"/>
                <w:color w:val="auto"/>
                <w:kern w:val="0"/>
                <w:sz w:val="24"/>
                <w:lang w:bidi="ar"/>
              </w:rPr>
              <w:t>胶粘剂堆放区地面及裙角</w:t>
            </w:r>
            <w:r>
              <w:rPr>
                <w:color w:val="auto"/>
                <w:kern w:val="0"/>
                <w:sz w:val="24"/>
                <w:lang w:bidi="ar"/>
              </w:rPr>
              <w:t>采用特殊防腐、防渗处理，经防渗处理后等效黏土防渗层Mb≥6.0m，渗透系数≤1.0×10</w:t>
            </w:r>
            <w:r>
              <w:rPr>
                <w:color w:val="auto"/>
                <w:kern w:val="0"/>
                <w:sz w:val="24"/>
                <w:vertAlign w:val="superscript"/>
                <w:lang w:bidi="ar"/>
              </w:rPr>
              <w:t>-7</w:t>
            </w:r>
            <w:r>
              <w:rPr>
                <w:color w:val="auto"/>
                <w:kern w:val="0"/>
                <w:sz w:val="24"/>
                <w:lang w:bidi="ar"/>
              </w:rPr>
              <w:t>cm/s。</w:t>
            </w:r>
            <w:r>
              <w:rPr>
                <w:rFonts w:hint="eastAsia"/>
                <w:color w:val="auto"/>
                <w:kern w:val="0"/>
                <w:sz w:val="24"/>
                <w:lang w:bidi="ar"/>
              </w:rPr>
              <w:t>危废暂存间、模具堆放区</w:t>
            </w:r>
            <w:r>
              <w:rPr>
                <w:color w:val="auto"/>
                <w:kern w:val="0"/>
                <w:sz w:val="24"/>
                <w:lang w:bidi="ar"/>
              </w:rPr>
              <w:t>耐久性应符合现行国家标准《混凝土结构设计规范》（GB50010）的有关规定：混凝土强度等级不宜低于C30；结构厚度不应小于250mm；混凝土的抗渗等级不应低于P8，且水池的内表面应涂刷水泥基渗透结晶型或喷涂聚脲等防水涂料，或在混凝土内掺加水泥基渗透结晶型防水剂；水泥基渗透结晶型防水涂料厚度不应小于1.0mm，喷涂聚脲防水涂料厚度不应小于1.5mm；当混凝土内掺加水泥基渗透结晶型防水剂时，掺量宜为胶凝材料总量的1%~2%。</w:t>
            </w:r>
            <w:r>
              <w:rPr>
                <w:rFonts w:hint="eastAsia"/>
                <w:color w:val="auto"/>
                <w:kern w:val="0"/>
                <w:sz w:val="24"/>
                <w:lang w:bidi="ar"/>
              </w:rPr>
              <w:t>危废暂存间</w:t>
            </w:r>
            <w:r>
              <w:rPr>
                <w:color w:val="auto"/>
                <w:kern w:val="0"/>
                <w:sz w:val="24"/>
                <w:lang w:bidi="ar"/>
              </w:rPr>
              <w:t>设置专用桶进行集油（随时观察收集量，并及时转运、更换收集桶）。</w:t>
            </w:r>
          </w:p>
          <w:p>
            <w:pPr>
              <w:widowControl/>
              <w:adjustRightInd w:val="0"/>
              <w:snapToGrid w:val="0"/>
              <w:spacing w:line="360" w:lineRule="auto"/>
              <w:ind w:firstLine="480" w:firstLineChars="200"/>
              <w:rPr>
                <w:color w:val="auto"/>
                <w:sz w:val="24"/>
              </w:rPr>
            </w:pPr>
            <w:r>
              <w:rPr>
                <w:rFonts w:hint="eastAsia" w:ascii="宋体" w:hAnsi="宋体" w:cs="宋体"/>
                <w:color w:val="auto"/>
                <w:kern w:val="0"/>
                <w:sz w:val="24"/>
                <w:lang w:bidi="ar"/>
              </w:rPr>
              <w:t>②</w:t>
            </w:r>
            <w:r>
              <w:rPr>
                <w:color w:val="auto"/>
                <w:kern w:val="0"/>
                <w:sz w:val="24"/>
                <w:lang w:bidi="ar"/>
              </w:rPr>
              <w:t>一般防渗区</w:t>
            </w:r>
          </w:p>
          <w:p>
            <w:pPr>
              <w:widowControl/>
              <w:adjustRightInd w:val="0"/>
              <w:snapToGrid w:val="0"/>
              <w:spacing w:line="360" w:lineRule="auto"/>
              <w:ind w:firstLine="480" w:firstLineChars="200"/>
              <w:rPr>
                <w:color w:val="auto"/>
              </w:rPr>
            </w:pPr>
            <w:r>
              <w:rPr>
                <w:rFonts w:hint="eastAsia"/>
                <w:color w:val="auto"/>
                <w:kern w:val="0"/>
                <w:sz w:val="24"/>
                <w:lang w:eastAsia="zh-CN" w:bidi="ar"/>
              </w:rPr>
              <w:t>通过调查，扩建项目</w:t>
            </w:r>
            <w:r>
              <w:rPr>
                <w:rFonts w:hint="eastAsia"/>
                <w:color w:val="auto"/>
                <w:kern w:val="0"/>
                <w:sz w:val="24"/>
                <w:lang w:bidi="ar"/>
              </w:rPr>
              <w:t>生产</w:t>
            </w:r>
            <w:r>
              <w:rPr>
                <w:color w:val="auto"/>
                <w:kern w:val="0"/>
                <w:sz w:val="24"/>
                <w:lang w:bidi="ar"/>
              </w:rPr>
              <w:t>车间地坪为混凝土地坪，满足一般防渗区防渗要求。</w:t>
            </w:r>
          </w:p>
          <w:p>
            <w:pPr>
              <w:pStyle w:val="15"/>
              <w:snapToGrid w:val="0"/>
              <w:spacing w:after="0" w:line="360" w:lineRule="auto"/>
              <w:rPr>
                <w:color w:val="auto"/>
                <w:kern w:val="0"/>
                <w:sz w:val="24"/>
              </w:rPr>
            </w:pPr>
            <w:r>
              <w:rPr>
                <w:color w:val="auto"/>
                <w:kern w:val="0"/>
                <w:sz w:val="24"/>
              </w:rPr>
              <w:t>本项目环境风险简单分析内容见表</w:t>
            </w:r>
            <w:r>
              <w:rPr>
                <w:rFonts w:hint="eastAsia"/>
                <w:color w:val="auto"/>
                <w:kern w:val="0"/>
                <w:sz w:val="24"/>
              </w:rPr>
              <w:t>4.</w:t>
            </w:r>
            <w:r>
              <w:rPr>
                <w:rFonts w:hint="eastAsia"/>
                <w:color w:val="auto"/>
                <w:kern w:val="0"/>
                <w:sz w:val="24"/>
                <w:lang w:val="en-US" w:eastAsia="zh-CN"/>
              </w:rPr>
              <w:t>21</w:t>
            </w:r>
            <w:r>
              <w:rPr>
                <w:color w:val="auto"/>
                <w:kern w:val="0"/>
                <w:sz w:val="24"/>
              </w:rPr>
              <w:t>。</w:t>
            </w:r>
          </w:p>
          <w:p>
            <w:pPr>
              <w:adjustRightInd w:val="0"/>
              <w:snapToGrid w:val="0"/>
              <w:spacing w:line="360" w:lineRule="auto"/>
              <w:jc w:val="center"/>
              <w:rPr>
                <w:color w:val="auto"/>
                <w:sz w:val="21"/>
                <w:szCs w:val="21"/>
              </w:rPr>
            </w:pPr>
            <w:r>
              <w:rPr>
                <w:color w:val="auto"/>
                <w:sz w:val="21"/>
                <w:szCs w:val="21"/>
              </w:rPr>
              <w:t>表4.</w:t>
            </w:r>
            <w:r>
              <w:rPr>
                <w:rFonts w:hint="eastAsia"/>
                <w:color w:val="auto"/>
                <w:sz w:val="21"/>
                <w:szCs w:val="21"/>
                <w:lang w:val="en-US" w:eastAsia="zh-CN"/>
              </w:rPr>
              <w:t>21</w:t>
            </w:r>
            <w:r>
              <w:rPr>
                <w:color w:val="auto"/>
                <w:sz w:val="21"/>
                <w:szCs w:val="21"/>
              </w:rPr>
              <w:t xml:space="preserve"> 环境风险简单分析内容表</w:t>
            </w:r>
          </w:p>
          <w:tbl>
            <w:tblPr>
              <w:tblStyle w:val="22"/>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1379"/>
              <w:gridCol w:w="2220"/>
              <w:gridCol w:w="1636"/>
              <w:gridCol w:w="189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9" w:type="dxa"/>
                  <w:vAlign w:val="center"/>
                </w:tcPr>
                <w:p>
                  <w:pPr>
                    <w:adjustRightInd w:val="0"/>
                    <w:snapToGrid w:val="0"/>
                    <w:jc w:val="center"/>
                    <w:rPr>
                      <w:color w:val="auto"/>
                      <w:szCs w:val="21"/>
                    </w:rPr>
                  </w:pPr>
                  <w:r>
                    <w:rPr>
                      <w:color w:val="auto"/>
                      <w:szCs w:val="21"/>
                    </w:rPr>
                    <w:t>建设项目</w:t>
                  </w:r>
                </w:p>
                <w:p>
                  <w:pPr>
                    <w:adjustRightInd w:val="0"/>
                    <w:snapToGrid w:val="0"/>
                    <w:jc w:val="center"/>
                    <w:rPr>
                      <w:color w:val="auto"/>
                      <w:szCs w:val="21"/>
                    </w:rPr>
                  </w:pPr>
                  <w:r>
                    <w:rPr>
                      <w:color w:val="auto"/>
                      <w:szCs w:val="21"/>
                    </w:rPr>
                    <w:t>名称</w:t>
                  </w:r>
                </w:p>
              </w:tc>
              <w:tc>
                <w:tcPr>
                  <w:tcW w:w="7135" w:type="dxa"/>
                  <w:gridSpan w:val="4"/>
                  <w:vAlign w:val="center"/>
                </w:tcPr>
                <w:p>
                  <w:pPr>
                    <w:adjustRightInd w:val="0"/>
                    <w:snapToGrid w:val="0"/>
                    <w:jc w:val="center"/>
                    <w:rPr>
                      <w:rFonts w:ascii="宋体" w:hAnsi="宋体" w:cs="宋体"/>
                      <w:color w:val="auto"/>
                      <w:szCs w:val="21"/>
                    </w:rPr>
                  </w:pPr>
                  <w:r>
                    <w:rPr>
                      <w:rFonts w:hint="eastAsia"/>
                      <w:color w:val="auto"/>
                      <w:sz w:val="21"/>
                      <w:szCs w:val="21"/>
                    </w:rPr>
                    <w:t>年产拉幅定型无纺布500吨、淋膜无纺布300吨扩建项目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9" w:type="dxa"/>
                  <w:vAlign w:val="center"/>
                </w:tcPr>
                <w:p>
                  <w:pPr>
                    <w:adjustRightInd w:val="0"/>
                    <w:snapToGrid w:val="0"/>
                    <w:jc w:val="center"/>
                    <w:rPr>
                      <w:color w:val="auto"/>
                      <w:szCs w:val="21"/>
                    </w:rPr>
                  </w:pPr>
                  <w:r>
                    <w:rPr>
                      <w:color w:val="auto"/>
                      <w:szCs w:val="21"/>
                    </w:rPr>
                    <w:t>建设地点</w:t>
                  </w:r>
                </w:p>
              </w:tc>
              <w:tc>
                <w:tcPr>
                  <w:tcW w:w="7135" w:type="dxa"/>
                  <w:gridSpan w:val="4"/>
                  <w:vAlign w:val="center"/>
                </w:tcPr>
                <w:p>
                  <w:pPr>
                    <w:adjustRightInd w:val="0"/>
                    <w:snapToGrid w:val="0"/>
                    <w:jc w:val="center"/>
                    <w:rPr>
                      <w:rFonts w:ascii="宋体" w:hAnsi="宋体" w:cs="宋体"/>
                      <w:color w:val="auto"/>
                      <w:szCs w:val="21"/>
                    </w:rPr>
                  </w:pPr>
                  <w:r>
                    <w:rPr>
                      <w:rFonts w:hint="eastAsia"/>
                      <w:color w:val="auto"/>
                      <w:spacing w:val="8"/>
                      <w:szCs w:val="21"/>
                      <w:shd w:val="clear" w:color="auto" w:fill="FFFFFF"/>
                    </w:rPr>
                    <w:t>重庆市铜梁区东城街道祝英南路7号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9" w:type="dxa"/>
                  <w:vAlign w:val="center"/>
                </w:tcPr>
                <w:p>
                  <w:pPr>
                    <w:adjustRightInd w:val="0"/>
                    <w:snapToGrid w:val="0"/>
                    <w:jc w:val="center"/>
                    <w:rPr>
                      <w:color w:val="auto"/>
                      <w:szCs w:val="21"/>
                    </w:rPr>
                  </w:pPr>
                  <w:r>
                    <w:rPr>
                      <w:color w:val="auto"/>
                      <w:szCs w:val="21"/>
                    </w:rPr>
                    <w:t>地理坐标</w:t>
                  </w:r>
                </w:p>
              </w:tc>
              <w:tc>
                <w:tcPr>
                  <w:tcW w:w="1380" w:type="dxa"/>
                  <w:vAlign w:val="center"/>
                </w:tcPr>
                <w:p>
                  <w:pPr>
                    <w:adjustRightInd w:val="0"/>
                    <w:snapToGrid w:val="0"/>
                    <w:jc w:val="center"/>
                    <w:rPr>
                      <w:color w:val="auto"/>
                      <w:szCs w:val="21"/>
                    </w:rPr>
                  </w:pPr>
                  <w:r>
                    <w:rPr>
                      <w:color w:val="auto"/>
                      <w:szCs w:val="21"/>
                    </w:rPr>
                    <w:t>经度</w:t>
                  </w:r>
                </w:p>
              </w:tc>
              <w:tc>
                <w:tcPr>
                  <w:tcW w:w="2221" w:type="dxa"/>
                  <w:vAlign w:val="center"/>
                </w:tcPr>
                <w:p>
                  <w:pPr>
                    <w:adjustRightInd w:val="0"/>
                    <w:snapToGrid w:val="0"/>
                    <w:jc w:val="center"/>
                    <w:rPr>
                      <w:color w:val="auto"/>
                      <w:szCs w:val="21"/>
                    </w:rPr>
                  </w:pPr>
                  <w:r>
                    <w:rPr>
                      <w:color w:val="auto"/>
                      <w:szCs w:val="21"/>
                    </w:rPr>
                    <w:t>106°</w:t>
                  </w:r>
                  <w:r>
                    <w:rPr>
                      <w:rFonts w:hint="eastAsia"/>
                      <w:color w:val="auto"/>
                      <w:szCs w:val="21"/>
                    </w:rPr>
                    <w:t>7</w:t>
                  </w:r>
                  <w:r>
                    <w:rPr>
                      <w:color w:val="auto"/>
                      <w:szCs w:val="21"/>
                    </w:rPr>
                    <w:t>′</w:t>
                  </w:r>
                  <w:r>
                    <w:rPr>
                      <w:rFonts w:hint="eastAsia"/>
                      <w:color w:val="auto"/>
                      <w:szCs w:val="21"/>
                    </w:rPr>
                    <w:t>10.390</w:t>
                  </w:r>
                  <w:r>
                    <w:rPr>
                      <w:color w:val="auto"/>
                      <w:szCs w:val="21"/>
                    </w:rPr>
                    <w:t>″</w:t>
                  </w:r>
                </w:p>
              </w:tc>
              <w:tc>
                <w:tcPr>
                  <w:tcW w:w="1637" w:type="dxa"/>
                  <w:vAlign w:val="center"/>
                </w:tcPr>
                <w:p>
                  <w:pPr>
                    <w:adjustRightInd w:val="0"/>
                    <w:snapToGrid w:val="0"/>
                    <w:jc w:val="center"/>
                    <w:rPr>
                      <w:color w:val="auto"/>
                      <w:szCs w:val="21"/>
                    </w:rPr>
                  </w:pPr>
                  <w:r>
                    <w:rPr>
                      <w:color w:val="auto"/>
                      <w:szCs w:val="21"/>
                    </w:rPr>
                    <w:t>纬度</w:t>
                  </w:r>
                </w:p>
              </w:tc>
              <w:tc>
                <w:tcPr>
                  <w:tcW w:w="1897" w:type="dxa"/>
                  <w:vAlign w:val="center"/>
                </w:tcPr>
                <w:p>
                  <w:pPr>
                    <w:adjustRightInd w:val="0"/>
                    <w:snapToGrid w:val="0"/>
                    <w:jc w:val="center"/>
                    <w:rPr>
                      <w:color w:val="auto"/>
                      <w:szCs w:val="21"/>
                    </w:rPr>
                  </w:pPr>
                  <w:r>
                    <w:rPr>
                      <w:color w:val="auto"/>
                      <w:szCs w:val="21"/>
                    </w:rPr>
                    <w:t>29°</w:t>
                  </w:r>
                  <w:r>
                    <w:rPr>
                      <w:rFonts w:hint="eastAsia"/>
                      <w:color w:val="auto"/>
                      <w:szCs w:val="21"/>
                    </w:rPr>
                    <w:t>50</w:t>
                  </w:r>
                  <w:r>
                    <w:rPr>
                      <w:color w:val="auto"/>
                      <w:szCs w:val="21"/>
                    </w:rPr>
                    <w:t>′</w:t>
                  </w:r>
                  <w:r>
                    <w:rPr>
                      <w:rFonts w:hint="eastAsia"/>
                      <w:color w:val="auto"/>
                      <w:szCs w:val="21"/>
                    </w:rPr>
                    <w:t>38.905</w:t>
                  </w:r>
                  <w:r>
                    <w:rPr>
                      <w:color w:val="auto"/>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9" w:type="dxa"/>
                  <w:vAlign w:val="center"/>
                </w:tcPr>
                <w:p>
                  <w:pPr>
                    <w:adjustRightInd w:val="0"/>
                    <w:snapToGrid w:val="0"/>
                    <w:jc w:val="center"/>
                    <w:rPr>
                      <w:color w:val="auto"/>
                      <w:szCs w:val="21"/>
                    </w:rPr>
                  </w:pPr>
                  <w:r>
                    <w:rPr>
                      <w:color w:val="auto"/>
                      <w:szCs w:val="21"/>
                    </w:rPr>
                    <w:t>主要风险物质分布</w:t>
                  </w:r>
                </w:p>
              </w:tc>
              <w:tc>
                <w:tcPr>
                  <w:tcW w:w="7135" w:type="dxa"/>
                  <w:gridSpan w:val="4"/>
                  <w:vAlign w:val="center"/>
                </w:tcPr>
                <w:p>
                  <w:pPr>
                    <w:adjustRightInd w:val="0"/>
                    <w:snapToGrid w:val="0"/>
                    <w:rPr>
                      <w:color w:val="auto"/>
                      <w:szCs w:val="21"/>
                    </w:rPr>
                  </w:pPr>
                  <w:r>
                    <w:rPr>
                      <w:color w:val="auto"/>
                      <w:szCs w:val="21"/>
                    </w:rPr>
                    <w:t>本项目</w:t>
                  </w:r>
                  <w:r>
                    <w:rPr>
                      <w:rFonts w:hint="eastAsia"/>
                      <w:color w:val="auto"/>
                      <w:szCs w:val="21"/>
                      <w:lang w:eastAsia="zh-CN"/>
                    </w:rPr>
                    <w:t>扩建完成后</w:t>
                  </w:r>
                  <w:r>
                    <w:rPr>
                      <w:color w:val="auto"/>
                      <w:szCs w:val="21"/>
                    </w:rPr>
                    <w:t>涉及的环境风险物质为</w:t>
                  </w:r>
                  <w:r>
                    <w:rPr>
                      <w:rFonts w:hint="eastAsia"/>
                      <w:color w:val="auto"/>
                      <w:szCs w:val="21"/>
                    </w:rPr>
                    <w:t>机油</w:t>
                  </w:r>
                  <w:r>
                    <w:rPr>
                      <w:rFonts w:hint="eastAsia"/>
                      <w:color w:val="auto"/>
                      <w:szCs w:val="21"/>
                      <w:lang w:eastAsia="zh-CN"/>
                    </w:rPr>
                    <w:t>、液压油、胶粘剂</w:t>
                  </w:r>
                  <w:r>
                    <w:rPr>
                      <w:color w:val="auto"/>
                      <w:szCs w:val="21"/>
                      <w:shd w:val="clear" w:color="auto" w:fill="FFFFFF"/>
                    </w:rPr>
                    <w:t>，储存</w:t>
                  </w:r>
                  <w:r>
                    <w:rPr>
                      <w:rFonts w:hint="eastAsia"/>
                      <w:color w:val="auto"/>
                      <w:szCs w:val="21"/>
                      <w:shd w:val="clear" w:color="auto" w:fill="FFFFFF"/>
                    </w:rPr>
                    <w:t>在油料堆放区</w:t>
                  </w:r>
                  <w:r>
                    <w:rPr>
                      <w:color w:val="auto"/>
                      <w:szCs w:val="21"/>
                      <w:shd w:val="clear" w:color="auto" w:fill="FFFFFF"/>
                    </w:rPr>
                    <w:t>，其中</w:t>
                  </w:r>
                  <w:r>
                    <w:rPr>
                      <w:rFonts w:hint="eastAsia"/>
                      <w:color w:val="auto"/>
                      <w:szCs w:val="21"/>
                    </w:rPr>
                    <w:t>机油</w:t>
                  </w:r>
                  <w:r>
                    <w:rPr>
                      <w:color w:val="auto"/>
                      <w:szCs w:val="21"/>
                      <w:shd w:val="clear" w:color="auto" w:fill="FFFFFF"/>
                    </w:rPr>
                    <w:t>最大储存量为</w:t>
                  </w:r>
                  <w:r>
                    <w:rPr>
                      <w:rFonts w:hint="eastAsia"/>
                      <w:color w:val="auto"/>
                      <w:szCs w:val="21"/>
                      <w:shd w:val="clear" w:color="auto" w:fill="FFFFFF"/>
                    </w:rPr>
                    <w:t>0.03</w:t>
                  </w:r>
                  <w:r>
                    <w:rPr>
                      <w:color w:val="auto"/>
                      <w:szCs w:val="21"/>
                      <w:shd w:val="clear" w:color="auto" w:fill="FFFFFF"/>
                    </w:rPr>
                    <w:t>t</w:t>
                  </w:r>
                  <w:r>
                    <w:rPr>
                      <w:rFonts w:hint="eastAsia"/>
                      <w:color w:val="auto"/>
                      <w:szCs w:val="21"/>
                      <w:shd w:val="clear" w:color="auto" w:fill="FFFFFF"/>
                      <w:lang w:eastAsia="zh-CN"/>
                    </w:rPr>
                    <w:t>、液压油最大储存量为</w:t>
                  </w:r>
                  <w:r>
                    <w:rPr>
                      <w:rFonts w:hint="eastAsia"/>
                      <w:color w:val="auto"/>
                      <w:szCs w:val="21"/>
                      <w:shd w:val="clear" w:color="auto" w:fill="FFFFFF"/>
                      <w:lang w:val="en-US" w:eastAsia="zh-CN"/>
                    </w:rPr>
                    <w:t>0.5t，胶粘剂最大储存量为2t</w:t>
                  </w:r>
                  <w:r>
                    <w:rPr>
                      <w:color w:val="auto"/>
                      <w:szCs w:val="21"/>
                      <w:shd w:val="clear" w:color="auto" w:fill="FFFFFF"/>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9" w:type="dxa"/>
                  <w:vAlign w:val="center"/>
                </w:tcPr>
                <w:p>
                  <w:pPr>
                    <w:adjustRightInd w:val="0"/>
                    <w:snapToGrid w:val="0"/>
                    <w:jc w:val="center"/>
                    <w:rPr>
                      <w:color w:val="auto"/>
                      <w:szCs w:val="21"/>
                    </w:rPr>
                  </w:pPr>
                  <w:r>
                    <w:rPr>
                      <w:color w:val="auto"/>
                      <w:szCs w:val="21"/>
                    </w:rPr>
                    <w:t>风险防范措施要求</w:t>
                  </w:r>
                </w:p>
              </w:tc>
              <w:tc>
                <w:tcPr>
                  <w:tcW w:w="7135" w:type="dxa"/>
                  <w:gridSpan w:val="4"/>
                  <w:vAlign w:val="center"/>
                </w:tcPr>
                <w:p>
                  <w:pPr>
                    <w:autoSpaceDE w:val="0"/>
                    <w:autoSpaceDN w:val="0"/>
                    <w:adjustRightInd w:val="0"/>
                    <w:snapToGrid w:val="0"/>
                    <w:spacing w:line="24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①</w:t>
                  </w:r>
                  <w:r>
                    <w:rPr>
                      <w:rFonts w:hint="default" w:ascii="Times New Roman" w:hAnsi="Times New Roman" w:cs="Times New Roman"/>
                      <w:color w:val="auto"/>
                      <w:sz w:val="21"/>
                      <w:szCs w:val="21"/>
                      <w:lang w:eastAsia="zh-CN"/>
                    </w:rPr>
                    <w:t>通过调查，该企业</w:t>
                  </w:r>
                  <w:r>
                    <w:rPr>
                      <w:rFonts w:hint="default" w:ascii="Times New Roman" w:hAnsi="Times New Roman" w:cs="Times New Roman"/>
                      <w:color w:val="auto"/>
                      <w:sz w:val="21"/>
                      <w:szCs w:val="21"/>
                    </w:rPr>
                    <w:t>建立一套严密科学的检修规程、操作规程和规章制度，实施严格的设备管理、工艺管理、安全环保管理、质量管理和现场管理。</w:t>
                  </w:r>
                </w:p>
                <w:p>
                  <w:pPr>
                    <w:autoSpaceDE w:val="0"/>
                    <w:autoSpaceDN w:val="0"/>
                    <w:adjustRightInd w:val="0"/>
                    <w:snapToGrid w:val="0"/>
                    <w:spacing w:line="240" w:lineRule="auto"/>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②</w:t>
                  </w:r>
                  <w:r>
                    <w:rPr>
                      <w:rFonts w:hint="default" w:ascii="Times New Roman" w:hAnsi="Times New Roman" w:cs="Times New Roman"/>
                      <w:color w:val="auto"/>
                      <w:sz w:val="21"/>
                      <w:szCs w:val="21"/>
                      <w:lang w:eastAsia="zh-CN"/>
                    </w:rPr>
                    <w:t>通过调查，扩建项目依托的</w:t>
                  </w:r>
                  <w:r>
                    <w:rPr>
                      <w:rFonts w:hint="default" w:ascii="Times New Roman" w:hAnsi="Times New Roman" w:cs="Times New Roman"/>
                      <w:color w:val="auto"/>
                      <w:sz w:val="21"/>
                      <w:szCs w:val="21"/>
                    </w:rPr>
                    <w:t>危废暂存间地面及内墙采取防渗措施，地面作防渗、防漏、防酸碱腐蚀处理</w:t>
                  </w:r>
                  <w:r>
                    <w:rPr>
                      <w:rFonts w:hint="default" w:ascii="Times New Roman" w:hAnsi="Times New Roman" w:cs="Times New Roman"/>
                      <w:color w:val="auto"/>
                      <w:sz w:val="21"/>
                      <w:szCs w:val="21"/>
                      <w:lang w:eastAsia="zh-CN"/>
                    </w:rPr>
                    <w:t>，扩建项目产生的危险废物可依托该危险废物暂存间暂存。</w:t>
                  </w:r>
                </w:p>
                <w:p>
                  <w:pPr>
                    <w:autoSpaceDE w:val="0"/>
                    <w:autoSpaceDN w:val="0"/>
                    <w:adjustRightInd w:val="0"/>
                    <w:snapToGrid w:val="0"/>
                    <w:spacing w:line="240" w:lineRule="auto"/>
                    <w:ind w:firstLine="420" w:firstLineChars="200"/>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③</w:t>
                  </w:r>
                  <w:r>
                    <w:rPr>
                      <w:rFonts w:hint="default" w:ascii="Times New Roman" w:hAnsi="Times New Roman" w:cs="Times New Roman"/>
                      <w:color w:val="auto"/>
                      <w:sz w:val="21"/>
                      <w:szCs w:val="21"/>
                      <w:lang w:eastAsia="zh-CN"/>
                    </w:rPr>
                    <w:t>通过调查，该企业</w:t>
                  </w:r>
                  <w:r>
                    <w:rPr>
                      <w:rFonts w:hint="default" w:ascii="Times New Roman" w:hAnsi="Times New Roman" w:cs="Times New Roman"/>
                      <w:color w:val="auto"/>
                      <w:sz w:val="21"/>
                      <w:szCs w:val="21"/>
                    </w:rPr>
                    <w:t>生产车间配备干粉灭火器、消防沙等灭火救援物质，发生火情时及时组织人员灭火救援。</w:t>
                  </w:r>
                </w:p>
                <w:p>
                  <w:pPr>
                    <w:adjustRightInd w:val="0"/>
                    <w:snapToGrid w:val="0"/>
                    <w:spacing w:line="240"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④</w:t>
                  </w:r>
                  <w:r>
                    <w:rPr>
                      <w:rFonts w:hint="default" w:ascii="Times New Roman" w:hAnsi="Times New Roman" w:cs="Times New Roman"/>
                      <w:color w:val="auto"/>
                      <w:sz w:val="21"/>
                      <w:szCs w:val="21"/>
                      <w:lang w:eastAsia="zh-CN"/>
                    </w:rPr>
                    <w:t>扩建项目</w:t>
                  </w:r>
                  <w:r>
                    <w:rPr>
                      <w:rFonts w:hint="default" w:ascii="Times New Roman" w:hAnsi="Times New Roman" w:cs="Times New Roman"/>
                      <w:color w:val="auto"/>
                      <w:sz w:val="21"/>
                      <w:szCs w:val="21"/>
                    </w:rPr>
                    <w:t>胶粘剂堆放区地面及内墙</w:t>
                  </w:r>
                  <w:r>
                    <w:rPr>
                      <w:rFonts w:hint="default" w:ascii="Times New Roman" w:hAnsi="Times New Roman" w:cs="Times New Roman"/>
                      <w:color w:val="auto"/>
                      <w:sz w:val="21"/>
                      <w:szCs w:val="21"/>
                      <w:lang w:eastAsia="zh-CN"/>
                    </w:rPr>
                    <w:t>应</w:t>
                  </w:r>
                  <w:r>
                    <w:rPr>
                      <w:rFonts w:hint="default" w:ascii="Times New Roman" w:hAnsi="Times New Roman" w:cs="Times New Roman"/>
                      <w:color w:val="auto"/>
                      <w:sz w:val="21"/>
                      <w:szCs w:val="21"/>
                    </w:rPr>
                    <w:t>采取防渗措施，地面作防渗、防漏、防酸碱腐蚀处理。胶粘剂堆放区</w:t>
                  </w:r>
                  <w:r>
                    <w:rPr>
                      <w:rFonts w:hint="default" w:ascii="Times New Roman" w:hAnsi="Times New Roman" w:cs="Times New Roman"/>
                      <w:color w:val="auto"/>
                      <w:sz w:val="21"/>
                      <w:szCs w:val="21"/>
                      <w:lang w:eastAsia="zh-CN"/>
                    </w:rPr>
                    <w:t>应</w:t>
                  </w:r>
                  <w:r>
                    <w:rPr>
                      <w:rFonts w:hint="default" w:ascii="Times New Roman" w:hAnsi="Times New Roman" w:cs="Times New Roman"/>
                      <w:color w:val="auto"/>
                      <w:sz w:val="21"/>
                      <w:szCs w:val="21"/>
                    </w:rPr>
                    <w:t>放置一定量吸收毡、吸收棉，</w:t>
                  </w:r>
                  <w:r>
                    <w:rPr>
                      <w:rFonts w:hint="default" w:ascii="Times New Roman" w:hAnsi="Times New Roman" w:cs="Times New Roman"/>
                      <w:color w:val="auto"/>
                      <w:sz w:val="21"/>
                      <w:szCs w:val="21"/>
                      <w:lang w:eastAsia="zh-CN"/>
                    </w:rPr>
                    <w:t>物料</w:t>
                  </w:r>
                  <w:r>
                    <w:rPr>
                      <w:rFonts w:hint="default" w:ascii="Times New Roman" w:hAnsi="Times New Roman" w:cs="Times New Roman"/>
                      <w:color w:val="auto"/>
                      <w:sz w:val="21"/>
                      <w:szCs w:val="21"/>
                    </w:rPr>
                    <w:t>泄漏后采用吸收毡、吸收棉及时吸收泄漏物质，吸附材料达到饱和后转移至危险废物暂存点，采用专用包装物或密闭的容器内（包装桶）暂存，盖好收集容器的盖子，贴上废物标签，按照废物管理制度或污染物排放控制程序处理。</w:t>
                  </w:r>
                </w:p>
                <w:p>
                  <w:pPr>
                    <w:pStyle w:val="2"/>
                    <w:spacing w:line="240" w:lineRule="auto"/>
                    <w:ind w:firstLine="420" w:firstLineChars="200"/>
                    <w:rPr>
                      <w:color w:val="auto"/>
                      <w:szCs w:val="21"/>
                    </w:rPr>
                  </w:pPr>
                  <w:r>
                    <w:rPr>
                      <w:rFonts w:hint="default" w:ascii="Times New Roman" w:hAnsi="Times New Roman" w:cs="Times New Roman"/>
                      <w:color w:val="auto"/>
                      <w:sz w:val="21"/>
                      <w:szCs w:val="21"/>
                    </w:rPr>
                    <w:t>⑤</w:t>
                  </w:r>
                  <w:r>
                    <w:rPr>
                      <w:rFonts w:hint="default" w:ascii="Times New Roman" w:hAnsi="Times New Roman" w:cs="Times New Roman"/>
                      <w:color w:val="auto"/>
                      <w:sz w:val="21"/>
                      <w:szCs w:val="21"/>
                      <w:lang w:eastAsia="zh-CN"/>
                    </w:rPr>
                    <w:t>扩建项目</w:t>
                  </w:r>
                  <w:r>
                    <w:rPr>
                      <w:rFonts w:hint="default" w:ascii="Times New Roman" w:hAnsi="Times New Roman" w:cs="Times New Roman"/>
                      <w:color w:val="auto"/>
                      <w:sz w:val="21"/>
                      <w:szCs w:val="21"/>
                    </w:rPr>
                    <w:t>加强机械设备、管线、阀门等元器件的维护保养，对系统薄弱环节加强检查、维护保养、及时更新。</w:t>
                  </w:r>
                </w:p>
              </w:tc>
            </w:tr>
          </w:tbl>
          <w:p>
            <w:pPr>
              <w:adjustRightInd w:val="0"/>
              <w:snapToGrid w:val="0"/>
              <w:spacing w:line="360" w:lineRule="auto"/>
              <w:jc w:val="center"/>
              <w:rPr>
                <w:color w:val="auto"/>
                <w:sz w:val="24"/>
              </w:rPr>
            </w:pPr>
          </w:p>
          <w:p>
            <w:pPr>
              <w:adjustRightInd w:val="0"/>
              <w:snapToGrid w:val="0"/>
              <w:spacing w:line="360" w:lineRule="auto"/>
              <w:jc w:val="center"/>
              <w:rPr>
                <w:color w:val="auto"/>
                <w:sz w:val="24"/>
              </w:rPr>
            </w:pPr>
          </w:p>
          <w:p>
            <w:pPr>
              <w:adjustRightInd w:val="0"/>
              <w:snapToGrid w:val="0"/>
              <w:spacing w:line="360" w:lineRule="auto"/>
              <w:jc w:val="center"/>
              <w:rPr>
                <w:color w:val="auto"/>
                <w:sz w:val="24"/>
              </w:rPr>
            </w:pPr>
          </w:p>
          <w:p>
            <w:pPr>
              <w:adjustRightInd w:val="0"/>
              <w:snapToGrid w:val="0"/>
              <w:spacing w:line="360" w:lineRule="auto"/>
              <w:jc w:val="center"/>
              <w:rPr>
                <w:color w:val="auto"/>
                <w:sz w:val="24"/>
              </w:rPr>
            </w:pPr>
          </w:p>
          <w:p>
            <w:pPr>
              <w:adjustRightInd w:val="0"/>
              <w:snapToGrid w:val="0"/>
              <w:spacing w:line="360" w:lineRule="auto"/>
              <w:jc w:val="center"/>
              <w:rPr>
                <w:color w:val="auto"/>
                <w:sz w:val="24"/>
              </w:rPr>
            </w:pPr>
          </w:p>
          <w:p>
            <w:pPr>
              <w:adjustRightInd w:val="0"/>
              <w:snapToGrid w:val="0"/>
              <w:spacing w:line="360" w:lineRule="auto"/>
              <w:jc w:val="center"/>
              <w:rPr>
                <w:color w:val="auto"/>
                <w:sz w:val="24"/>
              </w:rPr>
            </w:pPr>
          </w:p>
          <w:p>
            <w:pPr>
              <w:adjustRightInd w:val="0"/>
              <w:snapToGrid w:val="0"/>
              <w:spacing w:line="360" w:lineRule="auto"/>
              <w:jc w:val="center"/>
              <w:rPr>
                <w:color w:val="auto"/>
                <w:sz w:val="24"/>
              </w:rPr>
            </w:pPr>
          </w:p>
          <w:p>
            <w:pPr>
              <w:adjustRightInd w:val="0"/>
              <w:snapToGrid w:val="0"/>
              <w:spacing w:line="360" w:lineRule="auto"/>
              <w:jc w:val="center"/>
              <w:rPr>
                <w:color w:val="auto"/>
                <w:sz w:val="24"/>
              </w:rPr>
            </w:pPr>
          </w:p>
          <w:p>
            <w:pPr>
              <w:adjustRightInd w:val="0"/>
              <w:snapToGrid w:val="0"/>
              <w:spacing w:line="360" w:lineRule="auto"/>
              <w:jc w:val="center"/>
              <w:rPr>
                <w:color w:val="auto"/>
                <w:sz w:val="24"/>
              </w:rPr>
            </w:pPr>
          </w:p>
          <w:p>
            <w:pPr>
              <w:adjustRightInd w:val="0"/>
              <w:snapToGrid w:val="0"/>
              <w:spacing w:line="360" w:lineRule="auto"/>
              <w:jc w:val="center"/>
              <w:rPr>
                <w:color w:val="auto"/>
                <w:sz w:val="24"/>
              </w:rPr>
            </w:pPr>
          </w:p>
          <w:p>
            <w:pPr>
              <w:pStyle w:val="2"/>
              <w:rPr>
                <w:color w:val="auto"/>
                <w:sz w:val="24"/>
              </w:rPr>
            </w:pPr>
          </w:p>
          <w:p>
            <w:pPr>
              <w:pStyle w:val="3"/>
              <w:rPr>
                <w:color w:val="auto"/>
                <w:sz w:val="24"/>
              </w:rPr>
            </w:pPr>
          </w:p>
          <w:p>
            <w:pPr>
              <w:pStyle w:val="2"/>
              <w:rPr>
                <w:color w:val="auto"/>
              </w:rPr>
            </w:pPr>
          </w:p>
        </w:tc>
      </w:tr>
    </w:tbl>
    <w:p>
      <w:pPr>
        <w:adjustRightInd w:val="0"/>
        <w:snapToGrid w:val="0"/>
        <w:spacing w:line="360" w:lineRule="auto"/>
        <w:rPr>
          <w:rFonts w:ascii="宋体" w:cs="宋体"/>
          <w:b/>
          <w:color w:val="auto"/>
          <w:kern w:val="0"/>
          <w:sz w:val="28"/>
          <w:szCs w:val="28"/>
        </w:rPr>
        <w:sectPr>
          <w:pgSz w:w="11905" w:h="16838"/>
          <w:pgMar w:top="1701" w:right="1531" w:bottom="2126" w:left="1531" w:header="851" w:footer="850" w:gutter="0"/>
          <w:pgBorders>
            <w:top w:val="none" w:sz="0" w:space="0"/>
            <w:left w:val="none" w:sz="0" w:space="0"/>
            <w:bottom w:val="none" w:sz="0" w:space="0"/>
            <w:right w:val="none" w:sz="0" w:space="0"/>
          </w:pgBorders>
          <w:cols w:space="0" w:num="1"/>
          <w:docGrid w:linePitch="312" w:charSpace="0"/>
        </w:sectPr>
      </w:pPr>
    </w:p>
    <w:p>
      <w:pPr>
        <w:pStyle w:val="19"/>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五、</w:t>
      </w:r>
      <w:bookmarkStart w:id="4" w:name="_Hlk54167917"/>
      <w:r>
        <w:rPr>
          <w:rFonts w:hint="eastAsia" w:ascii="黑体" w:hAnsi="黑体" w:eastAsia="黑体"/>
          <w:snapToGrid w:val="0"/>
          <w:color w:val="auto"/>
          <w:sz w:val="30"/>
          <w:szCs w:val="30"/>
        </w:rPr>
        <w:t>环境保护措施监督检查清单</w:t>
      </w:r>
      <w:bookmarkEnd w:id="4"/>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1666"/>
        <w:gridCol w:w="1303"/>
        <w:gridCol w:w="1537"/>
        <w:gridCol w:w="26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3" w:type="dxa"/>
            <w:tcBorders>
              <w:tl2br w:val="single" w:color="auto" w:sz="4" w:space="0"/>
            </w:tcBorders>
          </w:tcPr>
          <w:p>
            <w:pPr>
              <w:adjustRightInd w:val="0"/>
              <w:snapToGrid w:val="0"/>
              <w:ind w:firstLine="630" w:firstLineChars="300"/>
              <w:rPr>
                <w:rFonts w:ascii="宋体" w:hAnsi="宋体" w:cs="宋体"/>
                <w:color w:val="auto"/>
                <w:szCs w:val="21"/>
              </w:rPr>
            </w:pPr>
            <w:r>
              <w:rPr>
                <w:rFonts w:hint="eastAsia" w:ascii="宋体" w:hAnsi="宋体" w:cs="宋体"/>
                <w:color w:val="auto"/>
                <w:szCs w:val="21"/>
              </w:rPr>
              <w:t>内容</w:t>
            </w:r>
          </w:p>
          <w:p>
            <w:pPr>
              <w:adjustRightInd w:val="0"/>
              <w:snapToGrid w:val="0"/>
              <w:rPr>
                <w:rFonts w:ascii="宋体" w:hAnsi="宋体" w:cs="宋体"/>
                <w:color w:val="auto"/>
                <w:szCs w:val="21"/>
              </w:rPr>
            </w:pPr>
            <w:r>
              <w:rPr>
                <w:rFonts w:hint="eastAsia" w:ascii="宋体" w:hAnsi="宋体" w:cs="宋体"/>
                <w:color w:val="auto"/>
                <w:szCs w:val="21"/>
              </w:rPr>
              <w:t>要素</w:t>
            </w:r>
          </w:p>
        </w:tc>
        <w:tc>
          <w:tcPr>
            <w:tcW w:w="1666" w:type="dxa"/>
            <w:vAlign w:val="center"/>
          </w:tcPr>
          <w:p>
            <w:pPr>
              <w:adjustRightInd w:val="0"/>
              <w:snapToGrid w:val="0"/>
              <w:jc w:val="center"/>
              <w:rPr>
                <w:color w:val="auto"/>
                <w:szCs w:val="21"/>
              </w:rPr>
            </w:pPr>
            <w:r>
              <w:rPr>
                <w:color w:val="auto"/>
                <w:szCs w:val="21"/>
              </w:rPr>
              <w:t>排放口(编号、</w:t>
            </w:r>
          </w:p>
          <w:p>
            <w:pPr>
              <w:adjustRightInd w:val="0"/>
              <w:snapToGrid w:val="0"/>
              <w:jc w:val="center"/>
              <w:rPr>
                <w:color w:val="auto"/>
                <w:szCs w:val="21"/>
              </w:rPr>
            </w:pPr>
            <w:r>
              <w:rPr>
                <w:color w:val="auto"/>
                <w:szCs w:val="21"/>
              </w:rPr>
              <w:t>名称)/污染源</w:t>
            </w:r>
          </w:p>
        </w:tc>
        <w:tc>
          <w:tcPr>
            <w:tcW w:w="1303" w:type="dxa"/>
            <w:vAlign w:val="center"/>
          </w:tcPr>
          <w:p>
            <w:pPr>
              <w:adjustRightInd w:val="0"/>
              <w:snapToGrid w:val="0"/>
              <w:jc w:val="center"/>
              <w:rPr>
                <w:color w:val="auto"/>
                <w:szCs w:val="21"/>
              </w:rPr>
            </w:pPr>
            <w:r>
              <w:rPr>
                <w:color w:val="auto"/>
                <w:szCs w:val="21"/>
              </w:rPr>
              <w:t>污染物项目</w:t>
            </w:r>
          </w:p>
        </w:tc>
        <w:tc>
          <w:tcPr>
            <w:tcW w:w="1537" w:type="dxa"/>
            <w:vAlign w:val="center"/>
          </w:tcPr>
          <w:p>
            <w:pPr>
              <w:adjustRightInd w:val="0"/>
              <w:snapToGrid w:val="0"/>
              <w:jc w:val="center"/>
              <w:rPr>
                <w:color w:val="auto"/>
                <w:szCs w:val="21"/>
              </w:rPr>
            </w:pPr>
            <w:r>
              <w:rPr>
                <w:color w:val="auto"/>
                <w:szCs w:val="21"/>
              </w:rPr>
              <w:t>环境保护措施</w:t>
            </w:r>
          </w:p>
        </w:tc>
        <w:tc>
          <w:tcPr>
            <w:tcW w:w="2651" w:type="dxa"/>
            <w:vAlign w:val="center"/>
          </w:tcPr>
          <w:p>
            <w:pPr>
              <w:adjustRightInd w:val="0"/>
              <w:snapToGrid w:val="0"/>
              <w:jc w:val="center"/>
              <w:rPr>
                <w:color w:val="auto"/>
                <w:szCs w:val="21"/>
              </w:rPr>
            </w:pPr>
            <w:r>
              <w:rPr>
                <w:color w:val="auto"/>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8" w:hRule="atLeast"/>
          <w:jc w:val="center"/>
        </w:trPr>
        <w:tc>
          <w:tcPr>
            <w:tcW w:w="1643" w:type="dxa"/>
            <w:vMerge w:val="restart"/>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大气环境</w:t>
            </w:r>
          </w:p>
        </w:tc>
        <w:tc>
          <w:tcPr>
            <w:tcW w:w="1666" w:type="dxa"/>
            <w:vAlign w:val="center"/>
          </w:tcPr>
          <w:p>
            <w:pPr>
              <w:adjustRightInd w:val="0"/>
              <w:snapToGrid w:val="0"/>
              <w:jc w:val="center"/>
              <w:rPr>
                <w:color w:val="auto"/>
                <w:szCs w:val="21"/>
              </w:rPr>
            </w:pPr>
            <w:r>
              <w:rPr>
                <w:rFonts w:hint="eastAsia"/>
                <w:color w:val="auto"/>
                <w:szCs w:val="21"/>
              </w:rPr>
              <w:t>3</w:t>
            </w:r>
            <w:r>
              <w:rPr>
                <w:color w:val="auto"/>
                <w:szCs w:val="21"/>
              </w:rPr>
              <w:t>#排气筒</w:t>
            </w:r>
          </w:p>
          <w:p>
            <w:pPr>
              <w:adjustRightInd w:val="0"/>
              <w:snapToGrid w:val="0"/>
              <w:jc w:val="center"/>
              <w:rPr>
                <w:color w:val="auto"/>
                <w:szCs w:val="21"/>
              </w:rPr>
            </w:pPr>
            <w:r>
              <w:rPr>
                <w:rFonts w:hint="eastAsia"/>
                <w:color w:val="auto"/>
                <w:szCs w:val="21"/>
              </w:rPr>
              <w:t>（涂胶、烘干）</w:t>
            </w:r>
          </w:p>
        </w:tc>
        <w:tc>
          <w:tcPr>
            <w:tcW w:w="1303" w:type="dxa"/>
            <w:vAlign w:val="center"/>
          </w:tcPr>
          <w:p>
            <w:pPr>
              <w:pStyle w:val="2"/>
              <w:spacing w:line="240" w:lineRule="auto"/>
              <w:jc w:val="center"/>
              <w:rPr>
                <w:rFonts w:ascii="Times New Roman" w:cs="Times New Roman"/>
                <w:color w:val="auto"/>
                <w:sz w:val="21"/>
                <w:szCs w:val="21"/>
              </w:rPr>
            </w:pPr>
            <w:r>
              <w:rPr>
                <w:rFonts w:hint="eastAsia" w:ascii="Times New Roman" w:cs="Times New Roman"/>
                <w:color w:val="auto"/>
                <w:sz w:val="21"/>
                <w:szCs w:val="21"/>
              </w:rPr>
              <w:t>非甲烷总烃</w:t>
            </w:r>
          </w:p>
          <w:p>
            <w:pPr>
              <w:pStyle w:val="2"/>
              <w:spacing w:line="240" w:lineRule="auto"/>
              <w:jc w:val="center"/>
              <w:rPr>
                <w:rFonts w:ascii="Times New Roman" w:cs="Times New Roman"/>
                <w:color w:val="auto"/>
                <w:sz w:val="21"/>
                <w:szCs w:val="21"/>
                <w:vertAlign w:val="subscript"/>
              </w:rPr>
            </w:pPr>
            <w:r>
              <w:rPr>
                <w:rFonts w:hint="eastAsia" w:ascii="Times New Roman" w:cs="Times New Roman"/>
                <w:color w:val="auto"/>
                <w:sz w:val="21"/>
                <w:szCs w:val="21"/>
              </w:rPr>
              <w:t>SO</w:t>
            </w:r>
            <w:r>
              <w:rPr>
                <w:rFonts w:hint="eastAsia" w:ascii="Times New Roman" w:cs="Times New Roman"/>
                <w:color w:val="auto"/>
                <w:sz w:val="21"/>
                <w:szCs w:val="21"/>
                <w:vertAlign w:val="subscript"/>
              </w:rPr>
              <w:t>2</w:t>
            </w:r>
          </w:p>
          <w:p>
            <w:pPr>
              <w:pStyle w:val="2"/>
              <w:spacing w:line="240" w:lineRule="auto"/>
              <w:jc w:val="center"/>
              <w:rPr>
                <w:rFonts w:ascii="Times New Roman" w:cs="Times New Roman"/>
                <w:color w:val="auto"/>
                <w:sz w:val="21"/>
                <w:szCs w:val="21"/>
              </w:rPr>
            </w:pPr>
            <w:r>
              <w:rPr>
                <w:rFonts w:hint="eastAsia" w:ascii="Times New Roman" w:cs="Times New Roman"/>
                <w:color w:val="auto"/>
                <w:sz w:val="21"/>
                <w:szCs w:val="21"/>
              </w:rPr>
              <w:t>NO</w:t>
            </w:r>
            <w:r>
              <w:rPr>
                <w:rFonts w:hint="eastAsia" w:ascii="Times New Roman" w:cs="Times New Roman"/>
                <w:color w:val="auto"/>
                <w:sz w:val="21"/>
                <w:szCs w:val="21"/>
                <w:vertAlign w:val="subscript"/>
              </w:rPr>
              <w:t>X</w:t>
            </w:r>
          </w:p>
          <w:p>
            <w:pPr>
              <w:adjustRightInd w:val="0"/>
              <w:snapToGrid w:val="0"/>
              <w:jc w:val="center"/>
              <w:rPr>
                <w:color w:val="auto"/>
                <w:szCs w:val="21"/>
              </w:rPr>
            </w:pPr>
            <w:r>
              <w:rPr>
                <w:rFonts w:hint="eastAsia"/>
                <w:color w:val="auto"/>
                <w:szCs w:val="21"/>
              </w:rPr>
              <w:t>颗粒物</w:t>
            </w:r>
          </w:p>
        </w:tc>
        <w:tc>
          <w:tcPr>
            <w:tcW w:w="1537" w:type="dxa"/>
            <w:vAlign w:val="center"/>
          </w:tcPr>
          <w:p>
            <w:pPr>
              <w:adjustRightInd w:val="0"/>
              <w:snapToGrid w:val="0"/>
              <w:rPr>
                <w:color w:val="auto"/>
                <w:szCs w:val="21"/>
              </w:rPr>
            </w:pPr>
            <w:r>
              <w:rPr>
                <w:rFonts w:hint="eastAsia"/>
                <w:color w:val="auto"/>
                <w:szCs w:val="21"/>
                <w:lang w:eastAsia="zh-CN"/>
              </w:rPr>
              <w:t>涂胶工位设置</w:t>
            </w:r>
            <w:r>
              <w:rPr>
                <w:rFonts w:hint="eastAsia"/>
                <w:color w:val="auto"/>
                <w:szCs w:val="21"/>
                <w:lang w:val="en-US" w:eastAsia="zh-CN"/>
              </w:rPr>
              <w:t>1个集气罩、烘干隧道炉进口、出口个设置1个集气罩，废气经收集后采用“UV光解+</w:t>
            </w:r>
            <w:r>
              <w:rPr>
                <w:rFonts w:hint="eastAsia"/>
                <w:color w:val="auto"/>
                <w:szCs w:val="21"/>
              </w:rPr>
              <w:t>二级</w:t>
            </w:r>
            <w:r>
              <w:rPr>
                <w:color w:val="auto"/>
                <w:szCs w:val="21"/>
              </w:rPr>
              <w:t>活性炭</w:t>
            </w:r>
            <w:r>
              <w:rPr>
                <w:rFonts w:hint="eastAsia"/>
                <w:color w:val="auto"/>
                <w:szCs w:val="21"/>
              </w:rPr>
              <w:t>吸附</w:t>
            </w:r>
            <w:r>
              <w:rPr>
                <w:rFonts w:hint="eastAsia"/>
                <w:color w:val="auto"/>
                <w:szCs w:val="21"/>
                <w:lang w:val="en-US" w:eastAsia="zh-CN"/>
              </w:rPr>
              <w:t>”</w:t>
            </w:r>
            <w:r>
              <w:rPr>
                <w:rFonts w:hint="eastAsia"/>
                <w:bCs/>
                <w:color w:val="auto"/>
                <w:szCs w:val="21"/>
              </w:rPr>
              <w:t>处理</w:t>
            </w:r>
            <w:r>
              <w:rPr>
                <w:color w:val="auto"/>
                <w:szCs w:val="21"/>
              </w:rPr>
              <w:t>后引至15m高空排放</w:t>
            </w:r>
          </w:p>
        </w:tc>
        <w:tc>
          <w:tcPr>
            <w:tcW w:w="2651" w:type="dxa"/>
            <w:vAlign w:val="center"/>
          </w:tcPr>
          <w:p>
            <w:pPr>
              <w:adjustRightInd w:val="0"/>
              <w:snapToGrid w:val="0"/>
              <w:rPr>
                <w:snapToGrid w:val="0"/>
                <w:color w:val="auto"/>
                <w:kern w:val="0"/>
                <w:szCs w:val="21"/>
              </w:rPr>
            </w:pPr>
            <w:r>
              <w:rPr>
                <w:color w:val="auto"/>
                <w:szCs w:val="21"/>
              </w:rPr>
              <w:t>DB50/418－2016</w:t>
            </w:r>
            <w:r>
              <w:rPr>
                <w:rFonts w:hint="eastAsia"/>
                <w:color w:val="auto"/>
                <w:szCs w:val="21"/>
              </w:rPr>
              <w:t>：</w:t>
            </w:r>
            <w:r>
              <w:rPr>
                <w:color w:val="auto"/>
                <w:szCs w:val="21"/>
              </w:rPr>
              <w:t>非甲烷总烃排放浓度≤</w:t>
            </w:r>
            <w:r>
              <w:rPr>
                <w:rFonts w:hint="eastAsia"/>
                <w:color w:val="auto"/>
                <w:szCs w:val="21"/>
              </w:rPr>
              <w:t>12</w:t>
            </w:r>
            <w:r>
              <w:rPr>
                <w:color w:val="auto"/>
                <w:szCs w:val="21"/>
              </w:rPr>
              <w:t>0mg/m</w:t>
            </w:r>
            <w:r>
              <w:rPr>
                <w:color w:val="auto"/>
                <w:szCs w:val="21"/>
                <w:vertAlign w:val="superscript"/>
              </w:rPr>
              <w:t>3</w:t>
            </w:r>
            <w:r>
              <w:rPr>
                <w:color w:val="auto"/>
                <w:szCs w:val="21"/>
              </w:rPr>
              <w:t>；</w:t>
            </w:r>
            <w:r>
              <w:rPr>
                <w:rFonts w:hint="eastAsia"/>
                <w:color w:val="auto"/>
                <w:szCs w:val="21"/>
              </w:rPr>
              <w:t>排放速率</w:t>
            </w:r>
            <w:r>
              <w:rPr>
                <w:color w:val="auto"/>
                <w:szCs w:val="21"/>
              </w:rPr>
              <w:t>≤1</w:t>
            </w:r>
            <w:r>
              <w:rPr>
                <w:rFonts w:hint="eastAsia"/>
                <w:color w:val="auto"/>
                <w:szCs w:val="21"/>
              </w:rPr>
              <w:t>0</w:t>
            </w:r>
            <w:r>
              <w:rPr>
                <w:color w:val="auto"/>
                <w:szCs w:val="21"/>
              </w:rPr>
              <w:t>kg/h</w:t>
            </w:r>
            <w:r>
              <w:rPr>
                <w:rFonts w:hint="eastAsia"/>
                <w:color w:val="auto"/>
                <w:szCs w:val="21"/>
              </w:rPr>
              <w:t>；颗粒物</w:t>
            </w:r>
            <w:r>
              <w:rPr>
                <w:color w:val="auto"/>
                <w:szCs w:val="21"/>
              </w:rPr>
              <w:t>≤</w:t>
            </w:r>
            <w:r>
              <w:rPr>
                <w:rFonts w:hint="eastAsia"/>
                <w:color w:val="auto"/>
                <w:szCs w:val="21"/>
              </w:rPr>
              <w:t>12</w:t>
            </w:r>
            <w:r>
              <w:rPr>
                <w:color w:val="auto"/>
                <w:szCs w:val="21"/>
              </w:rPr>
              <w:t>0mg/m</w:t>
            </w:r>
            <w:r>
              <w:rPr>
                <w:color w:val="auto"/>
                <w:szCs w:val="21"/>
                <w:vertAlign w:val="superscript"/>
              </w:rPr>
              <w:t>3</w:t>
            </w:r>
            <w:r>
              <w:rPr>
                <w:color w:val="auto"/>
                <w:szCs w:val="21"/>
              </w:rPr>
              <w:t>；</w:t>
            </w:r>
            <w:r>
              <w:rPr>
                <w:rFonts w:hint="eastAsia"/>
                <w:color w:val="auto"/>
                <w:szCs w:val="21"/>
              </w:rPr>
              <w:t>排放速率</w:t>
            </w:r>
            <w:r>
              <w:rPr>
                <w:color w:val="auto"/>
                <w:szCs w:val="21"/>
              </w:rPr>
              <w:t>≤</w:t>
            </w:r>
            <w:r>
              <w:rPr>
                <w:rFonts w:hint="eastAsia"/>
                <w:color w:val="auto"/>
                <w:szCs w:val="21"/>
              </w:rPr>
              <w:t>0.8</w:t>
            </w:r>
            <w:r>
              <w:rPr>
                <w:color w:val="auto"/>
                <w:szCs w:val="21"/>
              </w:rPr>
              <w:t>kg/h</w:t>
            </w:r>
            <w:r>
              <w:rPr>
                <w:rFonts w:hint="eastAsia"/>
                <w:color w:val="auto"/>
                <w:szCs w:val="21"/>
              </w:rPr>
              <w:t>；SO</w:t>
            </w:r>
            <w:r>
              <w:rPr>
                <w:rFonts w:hint="eastAsia"/>
                <w:color w:val="auto"/>
                <w:szCs w:val="21"/>
                <w:vertAlign w:val="subscript"/>
              </w:rPr>
              <w:t>2</w:t>
            </w:r>
            <w:r>
              <w:rPr>
                <w:color w:val="auto"/>
                <w:szCs w:val="21"/>
              </w:rPr>
              <w:t>≤</w:t>
            </w:r>
            <w:r>
              <w:rPr>
                <w:rFonts w:hint="eastAsia"/>
                <w:color w:val="auto"/>
                <w:szCs w:val="21"/>
              </w:rPr>
              <w:t>55</w:t>
            </w:r>
            <w:r>
              <w:rPr>
                <w:color w:val="auto"/>
                <w:szCs w:val="21"/>
              </w:rPr>
              <w:t>0mg/m</w:t>
            </w:r>
            <w:r>
              <w:rPr>
                <w:color w:val="auto"/>
                <w:szCs w:val="21"/>
                <w:vertAlign w:val="superscript"/>
              </w:rPr>
              <w:t>3</w:t>
            </w:r>
            <w:r>
              <w:rPr>
                <w:color w:val="auto"/>
                <w:szCs w:val="21"/>
              </w:rPr>
              <w:t>；</w:t>
            </w:r>
            <w:r>
              <w:rPr>
                <w:rFonts w:hint="eastAsia"/>
                <w:color w:val="auto"/>
                <w:szCs w:val="21"/>
              </w:rPr>
              <w:t>排放速率</w:t>
            </w:r>
            <w:r>
              <w:rPr>
                <w:color w:val="auto"/>
                <w:szCs w:val="21"/>
              </w:rPr>
              <w:t>≤</w:t>
            </w:r>
            <w:r>
              <w:rPr>
                <w:rFonts w:hint="eastAsia"/>
                <w:color w:val="auto"/>
                <w:szCs w:val="21"/>
              </w:rPr>
              <w:t>0.7</w:t>
            </w:r>
            <w:r>
              <w:rPr>
                <w:color w:val="auto"/>
                <w:szCs w:val="21"/>
              </w:rPr>
              <w:t>kg/h</w:t>
            </w:r>
            <w:r>
              <w:rPr>
                <w:rFonts w:hint="eastAsia"/>
                <w:color w:val="auto"/>
                <w:szCs w:val="21"/>
              </w:rPr>
              <w:t>;NO</w:t>
            </w:r>
            <w:r>
              <w:rPr>
                <w:rFonts w:hint="eastAsia"/>
                <w:color w:val="auto"/>
                <w:szCs w:val="21"/>
                <w:vertAlign w:val="subscript"/>
              </w:rPr>
              <w:t>X</w:t>
            </w:r>
            <w:r>
              <w:rPr>
                <w:color w:val="auto"/>
                <w:szCs w:val="21"/>
              </w:rPr>
              <w:t>≤</w:t>
            </w:r>
            <w:r>
              <w:rPr>
                <w:rFonts w:hint="eastAsia"/>
                <w:color w:val="auto"/>
                <w:szCs w:val="21"/>
              </w:rPr>
              <w:t>24</w:t>
            </w:r>
            <w:r>
              <w:rPr>
                <w:color w:val="auto"/>
                <w:szCs w:val="21"/>
              </w:rPr>
              <w:t>0mg/m</w:t>
            </w:r>
            <w:r>
              <w:rPr>
                <w:color w:val="auto"/>
                <w:szCs w:val="21"/>
                <w:vertAlign w:val="superscript"/>
              </w:rPr>
              <w:t>3</w:t>
            </w:r>
            <w:r>
              <w:rPr>
                <w:color w:val="auto"/>
                <w:szCs w:val="21"/>
              </w:rPr>
              <w:t>；</w:t>
            </w:r>
            <w:r>
              <w:rPr>
                <w:rFonts w:hint="eastAsia"/>
                <w:color w:val="auto"/>
                <w:szCs w:val="21"/>
              </w:rPr>
              <w:t>排放速率</w:t>
            </w:r>
            <w:r>
              <w:rPr>
                <w:color w:val="auto"/>
                <w:szCs w:val="21"/>
              </w:rPr>
              <w:t>≤</w:t>
            </w:r>
            <w:r>
              <w:rPr>
                <w:rFonts w:hint="eastAsia"/>
                <w:color w:val="auto"/>
                <w:szCs w:val="21"/>
              </w:rPr>
              <w:t>0.3</w:t>
            </w:r>
            <w:r>
              <w:rPr>
                <w:color w:val="auto"/>
                <w:szCs w:val="21"/>
              </w:rPr>
              <w:t>kg/h</w:t>
            </w:r>
            <w:r>
              <w:rPr>
                <w:rFonts w:hint="eastAsia"/>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1643" w:type="dxa"/>
            <w:vMerge w:val="continue"/>
            <w:vAlign w:val="center"/>
          </w:tcPr>
          <w:p>
            <w:pPr>
              <w:adjustRightInd w:val="0"/>
              <w:snapToGrid w:val="0"/>
              <w:jc w:val="center"/>
              <w:rPr>
                <w:rFonts w:ascii="宋体" w:hAnsi="宋体" w:cs="宋体"/>
                <w:color w:val="auto"/>
                <w:szCs w:val="21"/>
              </w:rPr>
            </w:pPr>
          </w:p>
        </w:tc>
        <w:tc>
          <w:tcPr>
            <w:tcW w:w="1666" w:type="dxa"/>
            <w:vAlign w:val="center"/>
          </w:tcPr>
          <w:p>
            <w:pPr>
              <w:adjustRightInd w:val="0"/>
              <w:snapToGrid w:val="0"/>
              <w:jc w:val="center"/>
              <w:rPr>
                <w:color w:val="auto"/>
                <w:szCs w:val="21"/>
              </w:rPr>
            </w:pPr>
            <w:r>
              <w:rPr>
                <w:rFonts w:hint="eastAsia"/>
                <w:color w:val="auto"/>
                <w:szCs w:val="21"/>
              </w:rPr>
              <w:t>4</w:t>
            </w:r>
            <w:r>
              <w:rPr>
                <w:color w:val="auto"/>
                <w:szCs w:val="21"/>
              </w:rPr>
              <w:t>#排气筒</w:t>
            </w:r>
          </w:p>
          <w:p>
            <w:pPr>
              <w:adjustRightInd w:val="0"/>
              <w:snapToGrid w:val="0"/>
              <w:jc w:val="center"/>
              <w:rPr>
                <w:color w:val="auto"/>
                <w:szCs w:val="21"/>
              </w:rPr>
            </w:pPr>
            <w:r>
              <w:rPr>
                <w:rFonts w:hint="eastAsia"/>
                <w:color w:val="auto"/>
                <w:szCs w:val="21"/>
              </w:rPr>
              <w:t>（淋膜、冷却）</w:t>
            </w:r>
          </w:p>
        </w:tc>
        <w:tc>
          <w:tcPr>
            <w:tcW w:w="1303" w:type="dxa"/>
            <w:vAlign w:val="center"/>
          </w:tcPr>
          <w:p>
            <w:pPr>
              <w:pStyle w:val="2"/>
              <w:spacing w:line="240" w:lineRule="auto"/>
              <w:jc w:val="center"/>
              <w:rPr>
                <w:color w:val="auto"/>
                <w:szCs w:val="21"/>
              </w:rPr>
            </w:pPr>
            <w:r>
              <w:rPr>
                <w:rFonts w:hint="eastAsia" w:ascii="Times New Roman" w:cs="Times New Roman"/>
                <w:color w:val="auto"/>
                <w:sz w:val="21"/>
                <w:szCs w:val="21"/>
              </w:rPr>
              <w:t>非甲烷总烃</w:t>
            </w:r>
          </w:p>
        </w:tc>
        <w:tc>
          <w:tcPr>
            <w:tcW w:w="1537" w:type="dxa"/>
            <w:vAlign w:val="center"/>
          </w:tcPr>
          <w:p>
            <w:pPr>
              <w:adjustRightInd w:val="0"/>
              <w:snapToGrid w:val="0"/>
              <w:rPr>
                <w:color w:val="auto"/>
                <w:szCs w:val="21"/>
              </w:rPr>
            </w:pPr>
            <w:r>
              <w:rPr>
                <w:rFonts w:hint="eastAsia"/>
                <w:color w:val="auto"/>
                <w:szCs w:val="21"/>
                <w:lang w:eastAsia="zh-CN"/>
              </w:rPr>
              <w:t>淋膜工位设置</w:t>
            </w:r>
            <w:r>
              <w:rPr>
                <w:rFonts w:hint="eastAsia"/>
                <w:color w:val="auto"/>
                <w:szCs w:val="21"/>
                <w:lang w:val="en-US" w:eastAsia="zh-CN"/>
              </w:rPr>
              <w:t>1个集气罩，冷却工位设置1个集气罩，废气经收集后采用“UV光解+</w:t>
            </w:r>
            <w:r>
              <w:rPr>
                <w:rFonts w:hint="eastAsia"/>
                <w:color w:val="auto"/>
                <w:szCs w:val="21"/>
              </w:rPr>
              <w:t>二级</w:t>
            </w:r>
            <w:r>
              <w:rPr>
                <w:color w:val="auto"/>
                <w:szCs w:val="21"/>
              </w:rPr>
              <w:t>活性炭</w:t>
            </w:r>
            <w:r>
              <w:rPr>
                <w:rFonts w:hint="eastAsia"/>
                <w:color w:val="auto"/>
                <w:szCs w:val="21"/>
              </w:rPr>
              <w:t>吸附</w:t>
            </w:r>
            <w:r>
              <w:rPr>
                <w:rFonts w:hint="eastAsia"/>
                <w:color w:val="auto"/>
                <w:szCs w:val="21"/>
                <w:lang w:val="en-US" w:eastAsia="zh-CN"/>
              </w:rPr>
              <w:t>”</w:t>
            </w:r>
            <w:r>
              <w:rPr>
                <w:rFonts w:hint="eastAsia"/>
                <w:bCs/>
                <w:color w:val="auto"/>
                <w:szCs w:val="21"/>
              </w:rPr>
              <w:t>理</w:t>
            </w:r>
            <w:r>
              <w:rPr>
                <w:color w:val="auto"/>
                <w:szCs w:val="21"/>
              </w:rPr>
              <w:t>后引至15m高空排放</w:t>
            </w:r>
          </w:p>
        </w:tc>
        <w:tc>
          <w:tcPr>
            <w:tcW w:w="2651" w:type="dxa"/>
            <w:vAlign w:val="center"/>
          </w:tcPr>
          <w:p>
            <w:pPr>
              <w:adjustRightInd w:val="0"/>
              <w:snapToGrid w:val="0"/>
              <w:rPr>
                <w:color w:val="auto"/>
                <w:szCs w:val="21"/>
              </w:rPr>
            </w:pPr>
            <w:r>
              <w:rPr>
                <w:rFonts w:hint="eastAsia"/>
                <w:color w:val="auto"/>
                <w:szCs w:val="21"/>
              </w:rPr>
              <w:t>G</w:t>
            </w:r>
            <w:r>
              <w:rPr>
                <w:color w:val="auto"/>
                <w:szCs w:val="21"/>
              </w:rPr>
              <w:t>B</w:t>
            </w:r>
            <w:r>
              <w:rPr>
                <w:rFonts w:hint="eastAsia"/>
                <w:color w:val="auto"/>
                <w:szCs w:val="21"/>
              </w:rPr>
              <w:t>31572</w:t>
            </w:r>
            <w:r>
              <w:rPr>
                <w:color w:val="auto"/>
                <w:szCs w:val="21"/>
              </w:rPr>
              <w:t>－201</w:t>
            </w:r>
            <w:r>
              <w:rPr>
                <w:rFonts w:hint="eastAsia"/>
                <w:color w:val="auto"/>
                <w:szCs w:val="21"/>
              </w:rPr>
              <w:t>5：</w:t>
            </w:r>
            <w:r>
              <w:rPr>
                <w:color w:val="auto"/>
                <w:szCs w:val="21"/>
              </w:rPr>
              <w:t>非甲烷总烃排放浓度≤</w:t>
            </w:r>
            <w:r>
              <w:rPr>
                <w:rFonts w:hint="eastAsia"/>
                <w:color w:val="auto"/>
                <w:szCs w:val="21"/>
              </w:rPr>
              <w:t>6</w:t>
            </w:r>
            <w:r>
              <w:rPr>
                <w:color w:val="auto"/>
                <w:szCs w:val="21"/>
              </w:rPr>
              <w:t>0mg/m</w:t>
            </w:r>
            <w:r>
              <w:rPr>
                <w:color w:val="auto"/>
                <w:szCs w:val="21"/>
                <w:vertAlign w:val="superscript"/>
              </w:rPr>
              <w:t>3</w:t>
            </w:r>
            <w:r>
              <w:rPr>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643" w:type="dxa"/>
            <w:vMerge w:val="continue"/>
            <w:vAlign w:val="center"/>
          </w:tcPr>
          <w:p>
            <w:pPr>
              <w:adjustRightInd w:val="0"/>
              <w:snapToGrid w:val="0"/>
              <w:jc w:val="center"/>
              <w:rPr>
                <w:rFonts w:ascii="宋体" w:hAnsi="宋体" w:cs="宋体"/>
                <w:color w:val="auto"/>
                <w:szCs w:val="21"/>
              </w:rPr>
            </w:pPr>
          </w:p>
        </w:tc>
        <w:tc>
          <w:tcPr>
            <w:tcW w:w="1666" w:type="dxa"/>
            <w:vAlign w:val="center"/>
          </w:tcPr>
          <w:p>
            <w:pPr>
              <w:adjustRightInd w:val="0"/>
              <w:snapToGrid w:val="0"/>
              <w:jc w:val="center"/>
              <w:rPr>
                <w:color w:val="auto"/>
                <w:szCs w:val="21"/>
              </w:rPr>
            </w:pPr>
            <w:r>
              <w:rPr>
                <w:rFonts w:hint="eastAsia"/>
                <w:color w:val="auto"/>
                <w:szCs w:val="21"/>
              </w:rPr>
              <w:t>厂界</w:t>
            </w:r>
          </w:p>
        </w:tc>
        <w:tc>
          <w:tcPr>
            <w:tcW w:w="1303" w:type="dxa"/>
            <w:vAlign w:val="center"/>
          </w:tcPr>
          <w:p>
            <w:pPr>
              <w:pStyle w:val="2"/>
              <w:snapToGrid w:val="0"/>
              <w:spacing w:line="240" w:lineRule="auto"/>
              <w:jc w:val="center"/>
              <w:rPr>
                <w:color w:val="auto"/>
                <w:szCs w:val="21"/>
              </w:rPr>
            </w:pPr>
            <w:r>
              <w:rPr>
                <w:rFonts w:hint="eastAsia" w:ascii="Times New Roman" w:cs="Times New Roman"/>
                <w:color w:val="auto"/>
                <w:sz w:val="21"/>
                <w:szCs w:val="21"/>
              </w:rPr>
              <w:t>非甲烷总烃</w:t>
            </w:r>
          </w:p>
        </w:tc>
        <w:tc>
          <w:tcPr>
            <w:tcW w:w="1537" w:type="dxa"/>
            <w:vAlign w:val="center"/>
          </w:tcPr>
          <w:p>
            <w:pPr>
              <w:adjustRightInd w:val="0"/>
              <w:snapToGrid w:val="0"/>
              <w:jc w:val="center"/>
              <w:rPr>
                <w:color w:val="auto"/>
                <w:szCs w:val="21"/>
              </w:rPr>
            </w:pPr>
            <w:r>
              <w:rPr>
                <w:rFonts w:hint="eastAsia"/>
                <w:color w:val="auto"/>
                <w:szCs w:val="21"/>
              </w:rPr>
              <w:t>同时加强车间通风</w:t>
            </w:r>
          </w:p>
        </w:tc>
        <w:tc>
          <w:tcPr>
            <w:tcW w:w="2651" w:type="dxa"/>
            <w:vAlign w:val="center"/>
          </w:tcPr>
          <w:p>
            <w:pPr>
              <w:adjustRightInd w:val="0"/>
              <w:snapToGrid w:val="0"/>
              <w:rPr>
                <w:color w:val="auto"/>
                <w:szCs w:val="21"/>
              </w:rPr>
            </w:pPr>
            <w:r>
              <w:rPr>
                <w:snapToGrid w:val="0"/>
                <w:color w:val="auto"/>
                <w:szCs w:val="21"/>
              </w:rPr>
              <w:t>DB50/</w:t>
            </w:r>
            <w:r>
              <w:rPr>
                <w:rFonts w:hint="eastAsia"/>
                <w:snapToGrid w:val="0"/>
                <w:color w:val="auto"/>
                <w:szCs w:val="21"/>
              </w:rPr>
              <w:t>660</w:t>
            </w:r>
            <w:r>
              <w:rPr>
                <w:snapToGrid w:val="0"/>
                <w:color w:val="auto"/>
                <w:szCs w:val="21"/>
              </w:rPr>
              <w:t>－2016</w:t>
            </w:r>
            <w:r>
              <w:rPr>
                <w:rFonts w:hint="eastAsia"/>
                <w:snapToGrid w:val="0"/>
                <w:color w:val="auto"/>
                <w:szCs w:val="21"/>
              </w:rPr>
              <w:t>：非甲烷总烃无组织监控点浓度</w:t>
            </w:r>
            <w:r>
              <w:rPr>
                <w:color w:val="auto"/>
                <w:szCs w:val="21"/>
              </w:rPr>
              <w:t>≤</w:t>
            </w:r>
            <w:r>
              <w:rPr>
                <w:rFonts w:hint="eastAsia"/>
                <w:color w:val="auto"/>
                <w:szCs w:val="21"/>
              </w:rPr>
              <w:t>4.0</w:t>
            </w:r>
            <w:r>
              <w:rPr>
                <w:color w:val="auto"/>
                <w:szCs w:val="21"/>
              </w:rPr>
              <w:t>mg/m</w:t>
            </w:r>
            <w:r>
              <w:rPr>
                <w:color w:val="auto"/>
                <w:szCs w:val="21"/>
                <w:vertAlign w:val="superscript"/>
              </w:rPr>
              <w:t>3</w:t>
            </w:r>
            <w:r>
              <w:rPr>
                <w:rFonts w:hint="eastAsia"/>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0" w:hRule="atLeast"/>
          <w:jc w:val="center"/>
        </w:trPr>
        <w:tc>
          <w:tcPr>
            <w:tcW w:w="1643"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地表水环境</w:t>
            </w:r>
          </w:p>
        </w:tc>
        <w:tc>
          <w:tcPr>
            <w:tcW w:w="1666" w:type="dxa"/>
            <w:vAlign w:val="center"/>
          </w:tcPr>
          <w:p>
            <w:pPr>
              <w:adjustRightInd w:val="0"/>
              <w:snapToGrid w:val="0"/>
              <w:jc w:val="center"/>
              <w:rPr>
                <w:color w:val="auto"/>
                <w:szCs w:val="21"/>
              </w:rPr>
            </w:pPr>
            <w:r>
              <w:rPr>
                <w:rFonts w:hint="eastAsia"/>
                <w:color w:val="auto"/>
                <w:szCs w:val="21"/>
              </w:rPr>
              <w:t>厂区污水总排口</w:t>
            </w:r>
          </w:p>
        </w:tc>
        <w:tc>
          <w:tcPr>
            <w:tcW w:w="1303" w:type="dxa"/>
            <w:vAlign w:val="center"/>
          </w:tcPr>
          <w:p>
            <w:pPr>
              <w:adjustRightInd w:val="0"/>
              <w:snapToGrid w:val="0"/>
              <w:jc w:val="center"/>
              <w:rPr>
                <w:color w:val="auto"/>
              </w:rPr>
            </w:pPr>
            <w:r>
              <w:rPr>
                <w:color w:val="auto"/>
              </w:rPr>
              <w:t>pH</w:t>
            </w:r>
          </w:p>
          <w:p>
            <w:pPr>
              <w:adjustRightInd w:val="0"/>
              <w:snapToGrid w:val="0"/>
              <w:jc w:val="center"/>
              <w:rPr>
                <w:color w:val="auto"/>
              </w:rPr>
            </w:pPr>
            <w:r>
              <w:rPr>
                <w:color w:val="auto"/>
              </w:rPr>
              <w:t>COD</w:t>
            </w:r>
          </w:p>
          <w:p>
            <w:pPr>
              <w:adjustRightInd w:val="0"/>
              <w:snapToGrid w:val="0"/>
              <w:jc w:val="center"/>
              <w:rPr>
                <w:color w:val="auto"/>
              </w:rPr>
            </w:pPr>
            <w:r>
              <w:rPr>
                <w:color w:val="auto"/>
              </w:rPr>
              <w:t>BOD</w:t>
            </w:r>
            <w:r>
              <w:rPr>
                <w:color w:val="auto"/>
                <w:vertAlign w:val="subscript"/>
              </w:rPr>
              <w:t>5</w:t>
            </w:r>
          </w:p>
          <w:p>
            <w:pPr>
              <w:adjustRightInd w:val="0"/>
              <w:snapToGrid w:val="0"/>
              <w:jc w:val="center"/>
              <w:rPr>
                <w:color w:val="auto"/>
              </w:rPr>
            </w:pPr>
            <w:r>
              <w:rPr>
                <w:color w:val="auto"/>
              </w:rPr>
              <w:t>SS</w:t>
            </w:r>
          </w:p>
          <w:p>
            <w:pPr>
              <w:adjustRightInd w:val="0"/>
              <w:snapToGrid w:val="0"/>
              <w:jc w:val="center"/>
              <w:rPr>
                <w:color w:val="auto"/>
              </w:rPr>
            </w:pPr>
            <w:r>
              <w:rPr>
                <w:color w:val="auto"/>
              </w:rPr>
              <w:t>氨氮</w:t>
            </w:r>
          </w:p>
          <w:p>
            <w:pPr>
              <w:pStyle w:val="15"/>
              <w:adjustRightInd w:val="0"/>
              <w:snapToGrid w:val="0"/>
              <w:spacing w:after="0" w:line="240" w:lineRule="auto"/>
              <w:ind w:left="0" w:leftChars="0"/>
              <w:jc w:val="center"/>
              <w:rPr>
                <w:color w:val="auto"/>
              </w:rPr>
            </w:pPr>
            <w:r>
              <w:rPr>
                <w:rFonts w:hint="eastAsia"/>
                <w:color w:val="auto"/>
              </w:rPr>
              <w:t>动植物油</w:t>
            </w:r>
          </w:p>
        </w:tc>
        <w:tc>
          <w:tcPr>
            <w:tcW w:w="1537" w:type="dxa"/>
            <w:vAlign w:val="center"/>
          </w:tcPr>
          <w:p>
            <w:pPr>
              <w:adjustRightInd w:val="0"/>
              <w:snapToGrid w:val="0"/>
              <w:rPr>
                <w:rFonts w:ascii="宋体" w:hAnsi="宋体" w:cs="宋体"/>
                <w:color w:val="auto"/>
                <w:szCs w:val="21"/>
              </w:rPr>
            </w:pPr>
            <w:r>
              <w:rPr>
                <w:rFonts w:hint="eastAsia" w:ascii="宋体" w:hAnsi="宋体" w:cs="宋体"/>
                <w:color w:val="auto"/>
                <w:szCs w:val="21"/>
              </w:rPr>
              <w:t>依托现有污水处理设施处理</w:t>
            </w:r>
          </w:p>
        </w:tc>
        <w:tc>
          <w:tcPr>
            <w:tcW w:w="2651" w:type="dxa"/>
            <w:vAlign w:val="center"/>
          </w:tcPr>
          <w:p>
            <w:pPr>
              <w:adjustRightInd w:val="0"/>
              <w:snapToGrid w:val="0"/>
              <w:rPr>
                <w:rFonts w:ascii="宋体" w:hAnsi="宋体" w:cs="宋体"/>
                <w:color w:val="auto"/>
                <w:szCs w:val="21"/>
              </w:rPr>
            </w:pPr>
            <w:r>
              <w:rPr>
                <w:bCs/>
                <w:color w:val="auto"/>
                <w:szCs w:val="21"/>
              </w:rPr>
              <w:t>GB8978-1996三级标准</w:t>
            </w:r>
            <w:r>
              <w:rPr>
                <w:color w:val="auto"/>
                <w:kern w:val="0"/>
                <w:szCs w:val="21"/>
              </w:rPr>
              <w:t>pH:6～9</w:t>
            </w:r>
            <w:r>
              <w:rPr>
                <w:color w:val="auto"/>
                <w:szCs w:val="21"/>
              </w:rPr>
              <w:t>、</w:t>
            </w:r>
            <w:r>
              <w:rPr>
                <w:color w:val="auto"/>
                <w:kern w:val="0"/>
                <w:szCs w:val="21"/>
              </w:rPr>
              <w:t>COD</w:t>
            </w:r>
            <w:r>
              <w:rPr>
                <w:color w:val="auto"/>
                <w:szCs w:val="21"/>
              </w:rPr>
              <w:t>≤500mg/l、</w:t>
            </w:r>
            <w:r>
              <w:rPr>
                <w:color w:val="auto"/>
                <w:kern w:val="0"/>
                <w:szCs w:val="21"/>
              </w:rPr>
              <w:t>BOD</w:t>
            </w:r>
            <w:r>
              <w:rPr>
                <w:color w:val="auto"/>
                <w:kern w:val="0"/>
                <w:szCs w:val="21"/>
                <w:vertAlign w:val="subscript"/>
              </w:rPr>
              <w:t>5</w:t>
            </w:r>
            <w:r>
              <w:rPr>
                <w:color w:val="auto"/>
                <w:szCs w:val="21"/>
              </w:rPr>
              <w:t>≤300mg/l、</w:t>
            </w:r>
            <w:r>
              <w:rPr>
                <w:color w:val="auto"/>
                <w:kern w:val="0"/>
                <w:szCs w:val="21"/>
              </w:rPr>
              <w:t>SS</w:t>
            </w:r>
            <w:r>
              <w:rPr>
                <w:color w:val="auto"/>
                <w:szCs w:val="21"/>
              </w:rPr>
              <w:t>≤400mg/l、氨氮≤45mg/l、</w:t>
            </w:r>
            <w:r>
              <w:rPr>
                <w:rFonts w:hint="eastAsia"/>
                <w:color w:val="auto"/>
                <w:szCs w:val="21"/>
              </w:rPr>
              <w:t>动植物油</w:t>
            </w:r>
            <w:r>
              <w:rPr>
                <w:color w:val="auto"/>
                <w:szCs w:val="21"/>
              </w:rPr>
              <w:t>≤</w:t>
            </w:r>
            <w:r>
              <w:rPr>
                <w:rFonts w:hint="eastAsia"/>
                <w:color w:val="auto"/>
                <w:szCs w:val="21"/>
              </w:rPr>
              <w:t>100</w:t>
            </w:r>
            <w:r>
              <w:rPr>
                <w:color w:val="auto"/>
                <w:szCs w:val="21"/>
              </w:rPr>
              <w:t>mg/l</w:t>
            </w:r>
            <w:r>
              <w:rPr>
                <w:rFonts w:hint="eastAsia"/>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1643"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声环境</w:t>
            </w:r>
          </w:p>
        </w:tc>
        <w:tc>
          <w:tcPr>
            <w:tcW w:w="1666"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厂界</w:t>
            </w:r>
          </w:p>
        </w:tc>
        <w:tc>
          <w:tcPr>
            <w:tcW w:w="1303"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设备噪声</w:t>
            </w:r>
          </w:p>
        </w:tc>
        <w:tc>
          <w:tcPr>
            <w:tcW w:w="1537" w:type="dxa"/>
            <w:vAlign w:val="center"/>
          </w:tcPr>
          <w:p>
            <w:pPr>
              <w:adjustRightInd w:val="0"/>
              <w:snapToGrid w:val="0"/>
              <w:rPr>
                <w:rFonts w:ascii="宋体" w:hAnsi="宋体" w:cs="宋体"/>
                <w:color w:val="auto"/>
                <w:szCs w:val="21"/>
              </w:rPr>
            </w:pPr>
            <w:r>
              <w:rPr>
                <w:rFonts w:hint="eastAsia" w:ascii="宋体" w:hAnsi="宋体" w:cs="宋体"/>
                <w:color w:val="auto"/>
                <w:szCs w:val="21"/>
              </w:rPr>
              <w:t>设备</w:t>
            </w:r>
            <w:r>
              <w:rPr>
                <w:color w:val="auto"/>
                <w:szCs w:val="21"/>
              </w:rPr>
              <w:t>置于厂房内，</w:t>
            </w:r>
            <w:r>
              <w:rPr>
                <w:rFonts w:hint="eastAsia"/>
                <w:color w:val="auto"/>
                <w:szCs w:val="21"/>
              </w:rPr>
              <w:t>通过建筑隔声降噪；设置</w:t>
            </w:r>
            <w:r>
              <w:rPr>
                <w:color w:val="auto"/>
                <w:szCs w:val="21"/>
              </w:rPr>
              <w:t>减震垫降噪</w:t>
            </w:r>
          </w:p>
        </w:tc>
        <w:tc>
          <w:tcPr>
            <w:tcW w:w="2651" w:type="dxa"/>
            <w:vAlign w:val="center"/>
          </w:tcPr>
          <w:p>
            <w:pPr>
              <w:adjustRightInd w:val="0"/>
              <w:snapToGrid w:val="0"/>
              <w:rPr>
                <w:color w:val="auto"/>
                <w:szCs w:val="21"/>
              </w:rPr>
            </w:pPr>
            <w:r>
              <w:rPr>
                <w:color w:val="auto"/>
                <w:szCs w:val="21"/>
              </w:rPr>
              <w:t>GB12348-2008中3类</w:t>
            </w:r>
            <w:r>
              <w:rPr>
                <w:rFonts w:hint="eastAsia"/>
                <w:color w:val="auto"/>
                <w:szCs w:val="21"/>
              </w:rPr>
              <w:t>标准</w:t>
            </w:r>
            <w:r>
              <w:rPr>
                <w:color w:val="auto"/>
                <w:szCs w:val="21"/>
              </w:rPr>
              <w:t>昼间：</w:t>
            </w:r>
            <w:r>
              <w:rPr>
                <w:rFonts w:hint="eastAsia"/>
                <w:color w:val="auto"/>
                <w:szCs w:val="21"/>
              </w:rPr>
              <w:t>65</w:t>
            </w:r>
            <w:r>
              <w:rPr>
                <w:color w:val="auto"/>
                <w:szCs w:val="21"/>
              </w:rPr>
              <w:t>dB（A）；</w:t>
            </w:r>
            <w:r>
              <w:rPr>
                <w:rFonts w:hint="eastAsia"/>
                <w:color w:val="auto"/>
                <w:szCs w:val="21"/>
              </w:rPr>
              <w:t>夜</w:t>
            </w:r>
            <w:r>
              <w:rPr>
                <w:color w:val="auto"/>
                <w:szCs w:val="21"/>
              </w:rPr>
              <w:t>间：</w:t>
            </w:r>
            <w:r>
              <w:rPr>
                <w:rFonts w:hint="eastAsia"/>
                <w:color w:val="auto"/>
                <w:szCs w:val="21"/>
              </w:rPr>
              <w:t>55</w:t>
            </w:r>
            <w:r>
              <w:rPr>
                <w:color w:val="auto"/>
                <w:szCs w:val="21"/>
              </w:rPr>
              <w:t>dB（A）</w:t>
            </w:r>
          </w:p>
        </w:tc>
      </w:tr>
    </w:tbl>
    <w:p>
      <w:pPr>
        <w:adjustRightInd w:val="0"/>
        <w:snapToGrid w:val="0"/>
        <w:jc w:val="center"/>
        <w:rPr>
          <w:rFonts w:ascii="宋体" w:hAnsi="宋体" w:cs="宋体"/>
          <w:color w:val="auto"/>
          <w:sz w:val="24"/>
        </w:rPr>
      </w:pPr>
      <w:r>
        <w:rPr>
          <w:rFonts w:hint="eastAsia" w:ascii="宋体" w:hAnsi="宋体" w:cs="宋体"/>
          <w:color w:val="auto"/>
          <w:sz w:val="24"/>
        </w:rPr>
        <w:br w:type="page"/>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727"/>
        <w:gridCol w:w="1755"/>
        <w:gridCol w:w="1755"/>
        <w:gridCol w:w="17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06" w:type="dxa"/>
            <w:vAlign w:val="center"/>
          </w:tcPr>
          <w:p>
            <w:pPr>
              <w:adjustRightInd w:val="0"/>
              <w:snapToGrid w:val="0"/>
              <w:jc w:val="center"/>
              <w:rPr>
                <w:rFonts w:ascii="宋体" w:hAnsi="宋体" w:cs="宋体"/>
                <w:color w:val="auto"/>
                <w:sz w:val="24"/>
              </w:rPr>
            </w:pPr>
            <w:r>
              <w:rPr>
                <w:rFonts w:hint="eastAsia" w:ascii="宋体" w:hAnsi="宋体" w:cs="宋体"/>
                <w:color w:val="auto"/>
                <w:szCs w:val="21"/>
              </w:rPr>
              <w:t>电磁辐射</w:t>
            </w:r>
          </w:p>
        </w:tc>
        <w:tc>
          <w:tcPr>
            <w:tcW w:w="2727" w:type="dxa"/>
            <w:vAlign w:val="center"/>
          </w:tcPr>
          <w:p>
            <w:pPr>
              <w:adjustRightInd w:val="0"/>
              <w:snapToGrid w:val="0"/>
              <w:jc w:val="center"/>
              <w:rPr>
                <w:rFonts w:ascii="宋体" w:hAnsi="宋体" w:cs="宋体"/>
                <w:color w:val="auto"/>
                <w:sz w:val="24"/>
              </w:rPr>
            </w:pPr>
            <w:r>
              <w:rPr>
                <w:rFonts w:hint="eastAsia" w:ascii="宋体" w:hAnsi="宋体" w:cs="宋体"/>
                <w:color w:val="auto"/>
                <w:sz w:val="24"/>
              </w:rPr>
              <w:t>/</w:t>
            </w:r>
          </w:p>
        </w:tc>
        <w:tc>
          <w:tcPr>
            <w:tcW w:w="1755" w:type="dxa"/>
            <w:vAlign w:val="center"/>
          </w:tcPr>
          <w:p>
            <w:pPr>
              <w:adjustRightInd w:val="0"/>
              <w:snapToGrid w:val="0"/>
              <w:jc w:val="center"/>
              <w:rPr>
                <w:rFonts w:ascii="宋体" w:hAnsi="宋体" w:cs="宋体"/>
                <w:color w:val="auto"/>
                <w:sz w:val="24"/>
              </w:rPr>
            </w:pPr>
            <w:r>
              <w:rPr>
                <w:rFonts w:hint="eastAsia" w:ascii="宋体" w:hAnsi="宋体" w:cs="宋体"/>
                <w:color w:val="auto"/>
                <w:sz w:val="24"/>
              </w:rPr>
              <w:t>/</w:t>
            </w:r>
          </w:p>
        </w:tc>
        <w:tc>
          <w:tcPr>
            <w:tcW w:w="1755" w:type="dxa"/>
            <w:vAlign w:val="center"/>
          </w:tcPr>
          <w:p>
            <w:pPr>
              <w:adjustRightInd w:val="0"/>
              <w:snapToGrid w:val="0"/>
              <w:jc w:val="center"/>
              <w:rPr>
                <w:rFonts w:ascii="宋体" w:hAnsi="宋体" w:cs="宋体"/>
                <w:color w:val="auto"/>
                <w:sz w:val="24"/>
              </w:rPr>
            </w:pPr>
            <w:r>
              <w:rPr>
                <w:rFonts w:hint="eastAsia" w:ascii="宋体" w:hAnsi="宋体" w:cs="宋体"/>
                <w:color w:val="auto"/>
                <w:sz w:val="24"/>
              </w:rPr>
              <w:t>/</w:t>
            </w:r>
          </w:p>
        </w:tc>
        <w:tc>
          <w:tcPr>
            <w:tcW w:w="1757" w:type="dxa"/>
            <w:vAlign w:val="center"/>
          </w:tcPr>
          <w:p>
            <w:pPr>
              <w:adjustRightInd w:val="0"/>
              <w:snapToGrid w:val="0"/>
              <w:jc w:val="center"/>
              <w:rPr>
                <w:rFonts w:ascii="宋体" w:hAnsi="宋体" w:cs="宋体"/>
                <w:color w:val="auto"/>
                <w:sz w:val="24"/>
              </w:rPr>
            </w:pPr>
            <w:r>
              <w:rPr>
                <w:rFonts w:hint="eastAsia" w:ascii="宋体" w:hAnsi="宋体" w:cs="宋体"/>
                <w:color w:val="auto"/>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806"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固体废物</w:t>
            </w:r>
          </w:p>
        </w:tc>
        <w:tc>
          <w:tcPr>
            <w:tcW w:w="7994" w:type="dxa"/>
            <w:gridSpan w:val="4"/>
            <w:vAlign w:val="center"/>
          </w:tcPr>
          <w:p>
            <w:pPr>
              <w:adjustRightInd w:val="0"/>
              <w:snapToGrid w:val="0"/>
              <w:spacing w:line="360" w:lineRule="auto"/>
              <w:ind w:firstLine="480" w:firstLineChars="200"/>
              <w:rPr>
                <w:color w:val="auto"/>
                <w:sz w:val="24"/>
              </w:rPr>
            </w:pPr>
            <w:r>
              <w:rPr>
                <w:rFonts w:hint="eastAsia" w:ascii="Times New Roman" w:hAnsi="Times New Roman" w:cs="Times New Roman"/>
                <w:color w:val="auto"/>
                <w:sz w:val="24"/>
                <w:szCs w:val="24"/>
                <w:lang w:eastAsia="zh-CN"/>
              </w:rPr>
              <w:t>扩建项目</w:t>
            </w:r>
            <w:r>
              <w:rPr>
                <w:color w:val="auto"/>
                <w:sz w:val="24"/>
              </w:rPr>
              <w:t>产生的固体废物主要为</w:t>
            </w:r>
            <w:r>
              <w:rPr>
                <w:rFonts w:hint="eastAsia"/>
                <w:color w:val="auto"/>
                <w:sz w:val="24"/>
              </w:rPr>
              <w:t>废胶粘剂桶、废机油、废活性炭、废弃的</w:t>
            </w:r>
            <w:r>
              <w:rPr>
                <w:color w:val="auto"/>
                <w:sz w:val="24"/>
              </w:rPr>
              <w:t>含油抹布、劳保用品</w:t>
            </w:r>
            <w:r>
              <w:rPr>
                <w:rFonts w:hint="eastAsia"/>
                <w:color w:val="auto"/>
                <w:sz w:val="24"/>
              </w:rPr>
              <w:t>、</w:t>
            </w:r>
            <w:r>
              <w:rPr>
                <w:rFonts w:hint="eastAsia"/>
                <w:color w:val="auto"/>
                <w:sz w:val="24"/>
                <w:lang w:eastAsia="zh-CN"/>
              </w:rPr>
              <w:t>废包装、</w:t>
            </w:r>
            <w:r>
              <w:rPr>
                <w:rFonts w:hint="eastAsia"/>
                <w:color w:val="auto"/>
                <w:sz w:val="24"/>
              </w:rPr>
              <w:t>生活垃圾以及餐厨垃圾，其中废胶粘剂桶、</w:t>
            </w:r>
            <w:r>
              <w:rPr>
                <w:rFonts w:hint="eastAsia"/>
                <w:color w:val="auto"/>
                <w:sz w:val="24"/>
                <w:lang w:eastAsia="zh-CN"/>
              </w:rPr>
              <w:t>废</w:t>
            </w:r>
            <w:r>
              <w:rPr>
                <w:rFonts w:hint="eastAsia"/>
                <w:color w:val="auto"/>
                <w:sz w:val="24"/>
                <w:lang w:val="en-US" w:eastAsia="zh-CN"/>
              </w:rPr>
              <w:t>UV灯管、</w:t>
            </w:r>
            <w:r>
              <w:rPr>
                <w:rFonts w:hint="eastAsia"/>
                <w:color w:val="auto"/>
                <w:sz w:val="24"/>
              </w:rPr>
              <w:t>废机油、废活性炭、废弃的</w:t>
            </w:r>
            <w:r>
              <w:rPr>
                <w:color w:val="auto"/>
                <w:sz w:val="24"/>
              </w:rPr>
              <w:t>含油抹布、劳保用品</w:t>
            </w:r>
            <w:r>
              <w:rPr>
                <w:rFonts w:hint="eastAsia"/>
                <w:color w:val="auto"/>
                <w:sz w:val="24"/>
              </w:rPr>
              <w:t>属于危险废物。</w:t>
            </w:r>
          </w:p>
          <w:p>
            <w:pPr>
              <w:pStyle w:val="2"/>
              <w:ind w:firstLine="480" w:firstLineChars="200"/>
              <w:rPr>
                <w:rFonts w:hint="default" w:ascii="Times New Roman" w:hAnsi="Times New Roman" w:cs="Times New Roman"/>
                <w:color w:val="auto"/>
              </w:rPr>
            </w:pPr>
            <w:r>
              <w:rPr>
                <w:rFonts w:hint="eastAsia" w:ascii="Times New Roman" w:cs="Times New Roman"/>
                <w:color w:val="auto"/>
                <w:lang w:bidi="ar"/>
              </w:rPr>
              <w:t>2#厂房东北侧设置1个面积为10m</w:t>
            </w:r>
            <w:r>
              <w:rPr>
                <w:rFonts w:hint="eastAsia" w:ascii="Times New Roman" w:cs="Times New Roman"/>
                <w:color w:val="auto"/>
                <w:vertAlign w:val="superscript"/>
                <w:lang w:bidi="ar"/>
              </w:rPr>
              <w:t>2</w:t>
            </w:r>
            <w:r>
              <w:rPr>
                <w:rFonts w:hint="eastAsia" w:ascii="Times New Roman" w:cs="Times New Roman"/>
                <w:color w:val="auto"/>
                <w:lang w:bidi="ar"/>
              </w:rPr>
              <w:t>的危险废物暂存间，危废</w:t>
            </w:r>
            <w:r>
              <w:rPr>
                <w:rFonts w:hint="eastAsia" w:ascii="Times New Roman" w:cs="Times New Roman"/>
                <w:color w:val="auto"/>
              </w:rPr>
              <w:t>暂存间</w:t>
            </w:r>
            <w:r>
              <w:rPr>
                <w:rFonts w:ascii="Times New Roman" w:cs="Times New Roman"/>
                <w:color w:val="auto"/>
              </w:rPr>
              <w:t>地面及内墙采取防渗措施，地面作防渗、防漏、防酸碱腐蚀处理，</w:t>
            </w:r>
            <w:r>
              <w:rPr>
                <w:rFonts w:ascii="Times New Roman" w:cs="Times New Roman"/>
                <w:color w:val="auto"/>
                <w:lang w:bidi="ar"/>
              </w:rPr>
              <w:t>危险废物暂存间周边设置</w:t>
            </w:r>
            <w:r>
              <w:rPr>
                <w:rFonts w:hint="eastAsia" w:ascii="Times New Roman" w:cs="Times New Roman"/>
                <w:color w:val="auto"/>
                <w:lang w:eastAsia="zh-CN" w:bidi="ar"/>
              </w:rPr>
              <w:t>围挡</w:t>
            </w:r>
            <w:r>
              <w:rPr>
                <w:rFonts w:ascii="Times New Roman" w:cs="Times New Roman"/>
                <w:color w:val="auto"/>
                <w:lang w:bidi="ar"/>
              </w:rPr>
              <w:t>。</w:t>
            </w:r>
            <w:r>
              <w:rPr>
                <w:rFonts w:ascii="Times New Roman" w:cs="Times New Roman"/>
                <w:color w:val="auto"/>
              </w:rPr>
              <w:t>危险废物应及时</w:t>
            </w:r>
            <w:r>
              <w:rPr>
                <w:rFonts w:hint="eastAsia" w:ascii="Times New Roman" w:cs="Times New Roman"/>
                <w:color w:val="auto"/>
              </w:rPr>
              <w:t>分类</w:t>
            </w:r>
            <w:r>
              <w:rPr>
                <w:rFonts w:ascii="Times New Roman" w:cs="Times New Roman"/>
                <w:color w:val="auto"/>
              </w:rPr>
              <w:t>收集，并按照类别分别置于防渗漏、防锐</w:t>
            </w:r>
            <w:r>
              <w:rPr>
                <w:rFonts w:ascii="Times New Roman" w:hAnsi="Times New Roman" w:cs="Times New Roman"/>
                <w:color w:val="auto"/>
              </w:rPr>
              <w:t>器</w:t>
            </w:r>
            <w:r>
              <w:rPr>
                <w:rFonts w:hint="default" w:ascii="Times New Roman" w:hAnsi="Times New Roman" w:cs="Times New Roman"/>
                <w:color w:val="auto"/>
              </w:rPr>
              <w:t>穿透的专用包装物或者密闭的容器内（包装桶）。危险废物经危险废物暂存间暂存后定期交有危险废物处理资质单位处置，并做好危废转移记录及相关转移联单，制定环保管理制度。</w:t>
            </w:r>
          </w:p>
          <w:p>
            <w:pPr>
              <w:pStyle w:val="2"/>
              <w:ind w:firstLine="480" w:firstLineChars="200"/>
              <w:rPr>
                <w:rFonts w:hint="default" w:ascii="Times New Roman" w:hAnsi="Times New Roman" w:eastAsia="宋体" w:cs="Times New Roman"/>
                <w:color w:val="auto"/>
                <w:lang w:eastAsia="zh-CN"/>
              </w:rPr>
            </w:pPr>
            <w:r>
              <w:rPr>
                <w:rFonts w:hint="default" w:ascii="Times New Roman" w:hAnsi="Times New Roman" w:cs="Times New Roman"/>
                <w:color w:val="auto"/>
                <w:sz w:val="24"/>
                <w:lang w:val="en-US" w:eastAsia="zh-CN" w:bidi="ar"/>
              </w:rPr>
              <w:t>2#</w:t>
            </w:r>
            <w:r>
              <w:rPr>
                <w:rFonts w:hint="default" w:ascii="Times New Roman" w:hAnsi="Times New Roman" w:cs="Times New Roman"/>
                <w:color w:val="auto"/>
                <w:sz w:val="24"/>
                <w:lang w:bidi="ar"/>
              </w:rPr>
              <w:t>厂房</w:t>
            </w:r>
            <w:r>
              <w:rPr>
                <w:rFonts w:hint="default" w:ascii="Times New Roman" w:hAnsi="Times New Roman" w:cs="Times New Roman"/>
                <w:color w:val="auto"/>
                <w:sz w:val="24"/>
                <w:lang w:eastAsia="zh-CN" w:bidi="ar"/>
              </w:rPr>
              <w:t>东南部建有</w:t>
            </w:r>
            <w:r>
              <w:rPr>
                <w:rFonts w:hint="default" w:ascii="Times New Roman" w:hAnsi="Times New Roman" w:cs="Times New Roman"/>
                <w:color w:val="auto"/>
                <w:sz w:val="24"/>
              </w:rPr>
              <w:t>1个面积为</w:t>
            </w:r>
            <w:r>
              <w:rPr>
                <w:rFonts w:hint="default" w:ascii="Times New Roman" w:hAnsi="Times New Roman" w:cs="Times New Roman"/>
                <w:color w:val="auto"/>
                <w:sz w:val="24"/>
                <w:lang w:val="en-US" w:eastAsia="zh-CN"/>
              </w:rPr>
              <w:t>10</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的一般工业固废暂</w:t>
            </w:r>
            <w:r>
              <w:rPr>
                <w:rFonts w:hint="default" w:ascii="Times New Roman" w:hAnsi="Times New Roman" w:cs="Times New Roman"/>
                <w:color w:val="auto"/>
                <w:sz w:val="24"/>
                <w:lang w:eastAsia="zh-CN"/>
              </w:rPr>
              <w:t>存</w:t>
            </w:r>
            <w:r>
              <w:rPr>
                <w:rFonts w:hint="default" w:ascii="Times New Roman" w:hAnsi="Times New Roman" w:cs="Times New Roman"/>
                <w:color w:val="auto"/>
                <w:sz w:val="24"/>
              </w:rPr>
              <w:t>点，</w:t>
            </w:r>
            <w:r>
              <w:rPr>
                <w:rFonts w:hint="default" w:ascii="Times New Roman" w:hAnsi="Times New Roman" w:cs="Times New Roman"/>
                <w:color w:val="auto"/>
                <w:kern w:val="0"/>
                <w:sz w:val="24"/>
                <w:lang w:eastAsia="zh-CN"/>
              </w:rPr>
              <w:t>废包装经暂存后交废品回收公司处置。</w:t>
            </w:r>
          </w:p>
          <w:p>
            <w:pPr>
              <w:pStyle w:val="2"/>
              <w:ind w:firstLine="480" w:firstLineChars="200"/>
              <w:rPr>
                <w:rFonts w:ascii="Times New Roman" w:cs="Times New Roman"/>
                <w:color w:val="auto"/>
                <w:sz w:val="21"/>
                <w:szCs w:val="21"/>
              </w:rPr>
            </w:pPr>
            <w:r>
              <w:rPr>
                <w:rFonts w:hint="default" w:ascii="Times New Roman" w:hAnsi="Times New Roman" w:cs="Times New Roman"/>
                <w:color w:val="auto"/>
              </w:rPr>
              <w:t>生活垃圾经分类后交当地环卫部门处置；餐厨垃圾经收集后交餐厨垃圾处置单位进行处置。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806"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土壤及地下水</w:t>
            </w:r>
          </w:p>
          <w:p>
            <w:pPr>
              <w:adjustRightInd w:val="0"/>
              <w:snapToGrid w:val="0"/>
              <w:jc w:val="center"/>
              <w:rPr>
                <w:rFonts w:ascii="宋体" w:hAnsi="宋体" w:cs="宋体"/>
                <w:color w:val="auto"/>
                <w:szCs w:val="21"/>
              </w:rPr>
            </w:pPr>
            <w:r>
              <w:rPr>
                <w:rFonts w:hint="eastAsia" w:ascii="宋体" w:hAnsi="宋体" w:cs="宋体"/>
                <w:color w:val="auto"/>
                <w:szCs w:val="21"/>
              </w:rPr>
              <w:t>污染防治措施</w:t>
            </w:r>
          </w:p>
        </w:tc>
        <w:tc>
          <w:tcPr>
            <w:tcW w:w="7994" w:type="dxa"/>
            <w:gridSpan w:val="4"/>
            <w:vAlign w:val="center"/>
          </w:tcPr>
          <w:p>
            <w:pPr>
              <w:widowControl/>
              <w:adjustRightInd w:val="0"/>
              <w:snapToGrid w:val="0"/>
              <w:spacing w:line="360" w:lineRule="auto"/>
              <w:ind w:firstLine="480" w:firstLineChars="200"/>
              <w:rPr>
                <w:color w:val="auto"/>
                <w:sz w:val="24"/>
              </w:rPr>
            </w:pPr>
            <w:r>
              <w:rPr>
                <w:rFonts w:hint="eastAsia"/>
                <w:color w:val="auto"/>
                <w:kern w:val="0"/>
                <w:sz w:val="24"/>
                <w:lang w:eastAsia="zh-CN" w:bidi="ar"/>
              </w:rPr>
              <w:t>扩建项目</w:t>
            </w:r>
            <w:r>
              <w:rPr>
                <w:rFonts w:hint="eastAsia"/>
                <w:color w:val="auto"/>
                <w:kern w:val="0"/>
                <w:sz w:val="24"/>
                <w:lang w:bidi="ar"/>
              </w:rPr>
              <w:t>胶粘剂堆放区作为</w:t>
            </w:r>
            <w:r>
              <w:rPr>
                <w:color w:val="auto"/>
                <w:kern w:val="0"/>
                <w:sz w:val="24"/>
                <w:lang w:bidi="ar"/>
              </w:rPr>
              <w:t>重点防渗区</w:t>
            </w:r>
            <w:r>
              <w:rPr>
                <w:rFonts w:hint="eastAsia"/>
                <w:color w:val="auto"/>
                <w:kern w:val="0"/>
                <w:sz w:val="24"/>
                <w:lang w:bidi="ar"/>
              </w:rPr>
              <w:t>；</w:t>
            </w:r>
            <w:r>
              <w:rPr>
                <w:rFonts w:hint="eastAsia"/>
                <w:color w:val="auto"/>
                <w:kern w:val="0"/>
                <w:sz w:val="24"/>
                <w:lang w:eastAsia="zh-CN" w:bidi="ar"/>
              </w:rPr>
              <w:t>扩建项目生产车间</w:t>
            </w:r>
            <w:r>
              <w:rPr>
                <w:rFonts w:hint="eastAsia"/>
                <w:color w:val="auto"/>
                <w:kern w:val="0"/>
                <w:sz w:val="24"/>
                <w:lang w:bidi="ar"/>
              </w:rPr>
              <w:t>等</w:t>
            </w:r>
            <w:r>
              <w:rPr>
                <w:color w:val="auto"/>
                <w:kern w:val="0"/>
                <w:sz w:val="24"/>
                <w:lang w:bidi="ar"/>
              </w:rPr>
              <w:t>作为一般防渗区。</w:t>
            </w:r>
            <w:r>
              <w:rPr>
                <w:rFonts w:hint="eastAsia"/>
                <w:color w:val="auto"/>
                <w:kern w:val="0"/>
                <w:sz w:val="24"/>
                <w:lang w:eastAsia="zh-CN" w:bidi="ar"/>
              </w:rPr>
              <w:t>扩建项目</w:t>
            </w:r>
            <w:r>
              <w:rPr>
                <w:color w:val="auto"/>
                <w:kern w:val="0"/>
                <w:sz w:val="24"/>
                <w:lang w:bidi="ar"/>
              </w:rPr>
              <w:t>地下水污染防渗措施以水平防渗为主，具体分区防渗措施如下：</w:t>
            </w:r>
          </w:p>
          <w:p>
            <w:pPr>
              <w:widowControl/>
              <w:adjustRightInd w:val="0"/>
              <w:snapToGrid w:val="0"/>
              <w:spacing w:line="360" w:lineRule="auto"/>
              <w:ind w:firstLine="480" w:firstLineChars="200"/>
              <w:rPr>
                <w:color w:val="auto"/>
                <w:sz w:val="24"/>
              </w:rPr>
            </w:pPr>
            <w:r>
              <w:rPr>
                <w:rFonts w:hint="eastAsia" w:ascii="宋体" w:hAnsi="宋体" w:cs="宋体"/>
                <w:color w:val="auto"/>
                <w:kern w:val="0"/>
                <w:sz w:val="24"/>
                <w:lang w:bidi="ar"/>
              </w:rPr>
              <w:t>①</w:t>
            </w:r>
            <w:r>
              <w:rPr>
                <w:color w:val="auto"/>
                <w:kern w:val="0"/>
                <w:sz w:val="24"/>
                <w:lang w:bidi="ar"/>
              </w:rPr>
              <w:t>重点防渗区</w:t>
            </w:r>
          </w:p>
          <w:p>
            <w:pPr>
              <w:widowControl/>
              <w:adjustRightInd w:val="0"/>
              <w:snapToGrid w:val="0"/>
              <w:spacing w:line="360" w:lineRule="auto"/>
              <w:ind w:firstLine="480" w:firstLineChars="200"/>
              <w:rPr>
                <w:color w:val="auto"/>
                <w:kern w:val="0"/>
                <w:sz w:val="24"/>
                <w:lang w:bidi="ar"/>
              </w:rPr>
            </w:pPr>
            <w:r>
              <w:rPr>
                <w:color w:val="auto"/>
                <w:kern w:val="0"/>
                <w:sz w:val="24"/>
                <w:lang w:bidi="ar"/>
              </w:rPr>
              <w:t>重点防渗区地面和、四周及裙角采用特殊防腐、防渗处理，</w:t>
            </w:r>
            <w:r>
              <w:rPr>
                <w:rFonts w:hint="eastAsia"/>
                <w:color w:val="auto"/>
                <w:kern w:val="0"/>
                <w:sz w:val="24"/>
                <w:lang w:bidi="ar"/>
              </w:rPr>
              <w:t>可</w:t>
            </w:r>
            <w:r>
              <w:rPr>
                <w:color w:val="auto"/>
                <w:sz w:val="24"/>
              </w:rPr>
              <w:t>铺设双层高密度聚乙烯HDPE防渗膜，渗透系数不大于1.0×10</w:t>
            </w:r>
            <w:r>
              <w:rPr>
                <w:color w:val="auto"/>
                <w:sz w:val="24"/>
                <w:vertAlign w:val="superscript"/>
              </w:rPr>
              <w:t>-7</w:t>
            </w:r>
            <w:r>
              <w:rPr>
                <w:color w:val="auto"/>
                <w:sz w:val="24"/>
              </w:rPr>
              <w:t>cm/s；</w:t>
            </w:r>
            <w:r>
              <w:rPr>
                <w:color w:val="auto"/>
                <w:kern w:val="0"/>
                <w:sz w:val="24"/>
                <w:lang w:bidi="ar"/>
              </w:rPr>
              <w:t>危险废物暂存间参照《危险废物贮存污染控制标准》（GB18597-20</w:t>
            </w:r>
            <w:r>
              <w:rPr>
                <w:rFonts w:hint="eastAsia"/>
                <w:color w:val="auto"/>
                <w:kern w:val="0"/>
                <w:sz w:val="24"/>
                <w:lang w:val="en-US" w:eastAsia="zh-CN" w:bidi="ar"/>
              </w:rPr>
              <w:t>23</w:t>
            </w:r>
            <w:r>
              <w:rPr>
                <w:color w:val="auto"/>
                <w:kern w:val="0"/>
                <w:sz w:val="24"/>
                <w:lang w:bidi="ar"/>
              </w:rPr>
              <w:t>），并结合危险废物类别进行分区。危险废物暂存间设置收集沟、收集井</w:t>
            </w:r>
            <w:r>
              <w:rPr>
                <w:rFonts w:hint="eastAsia"/>
                <w:color w:val="auto"/>
                <w:kern w:val="0"/>
                <w:sz w:val="24"/>
                <w:lang w:bidi="ar"/>
              </w:rPr>
              <w:t>，</w:t>
            </w:r>
            <w:r>
              <w:rPr>
                <w:color w:val="auto"/>
                <w:kern w:val="0"/>
                <w:sz w:val="24"/>
                <w:lang w:bidi="ar"/>
              </w:rPr>
              <w:t>液态危废暂存区域</w:t>
            </w:r>
            <w:r>
              <w:rPr>
                <w:rFonts w:hint="eastAsia"/>
                <w:color w:val="auto"/>
                <w:kern w:val="0"/>
                <w:sz w:val="24"/>
                <w:lang w:eastAsia="zh-CN" w:bidi="ar"/>
              </w:rPr>
              <w:t>围挡</w:t>
            </w:r>
            <w:r>
              <w:rPr>
                <w:color w:val="auto"/>
                <w:kern w:val="0"/>
                <w:sz w:val="24"/>
                <w:lang w:bidi="ar"/>
              </w:rPr>
              <w:t>内铺设厚度约2mm的高密度聚乙烯膜进一步防渗，内设专用容器对各类废液进行分类收集暂存。</w:t>
            </w:r>
            <w:r>
              <w:rPr>
                <w:rFonts w:hint="eastAsia"/>
                <w:color w:val="auto"/>
                <w:kern w:val="0"/>
                <w:sz w:val="24"/>
                <w:lang w:eastAsia="zh-CN" w:bidi="ar"/>
              </w:rPr>
              <w:t>胶粘剂堆放区周围设置围挡</w:t>
            </w:r>
            <w:r>
              <w:rPr>
                <w:color w:val="auto"/>
                <w:kern w:val="0"/>
                <w:sz w:val="24"/>
                <w:lang w:bidi="ar"/>
              </w:rPr>
              <w:t>，并在</w:t>
            </w:r>
            <w:r>
              <w:rPr>
                <w:rFonts w:hint="eastAsia"/>
                <w:color w:val="auto"/>
                <w:kern w:val="0"/>
                <w:sz w:val="24"/>
                <w:lang w:eastAsia="zh-CN" w:bidi="ar"/>
              </w:rPr>
              <w:t>围挡</w:t>
            </w:r>
            <w:r>
              <w:rPr>
                <w:color w:val="auto"/>
                <w:kern w:val="0"/>
                <w:sz w:val="24"/>
                <w:lang w:bidi="ar"/>
              </w:rPr>
              <w:t>内侧修建收集沟、收集井，</w:t>
            </w:r>
            <w:r>
              <w:rPr>
                <w:rFonts w:hint="eastAsia"/>
                <w:color w:val="auto"/>
                <w:kern w:val="0"/>
                <w:sz w:val="24"/>
                <w:lang w:eastAsia="zh-CN" w:bidi="ar"/>
              </w:rPr>
              <w:t>围挡</w:t>
            </w:r>
            <w:r>
              <w:rPr>
                <w:color w:val="auto"/>
                <w:kern w:val="0"/>
                <w:sz w:val="24"/>
                <w:lang w:bidi="ar"/>
              </w:rPr>
              <w:t>内铺设厚度约2mm的高密度聚乙烯膜进一步防渗，内设专用容器对各类废液进行分类收集暂存。</w:t>
            </w:r>
          </w:p>
          <w:p>
            <w:pPr>
              <w:widowControl/>
              <w:adjustRightInd w:val="0"/>
              <w:snapToGrid w:val="0"/>
              <w:spacing w:line="360" w:lineRule="auto"/>
              <w:ind w:firstLine="480" w:firstLineChars="200"/>
              <w:rPr>
                <w:color w:val="auto"/>
                <w:sz w:val="24"/>
              </w:rPr>
            </w:pPr>
            <w:r>
              <w:rPr>
                <w:color w:val="auto"/>
                <w:kern w:val="0"/>
                <w:sz w:val="24"/>
                <w:lang w:bidi="ar"/>
              </w:rPr>
              <w:t>②一般防渗区</w:t>
            </w:r>
          </w:p>
          <w:p>
            <w:pPr>
              <w:widowControl/>
              <w:adjustRightInd w:val="0"/>
              <w:snapToGrid w:val="0"/>
              <w:spacing w:line="360" w:lineRule="auto"/>
              <w:ind w:firstLine="480" w:firstLineChars="200"/>
              <w:rPr>
                <w:color w:val="auto"/>
                <w:sz w:val="24"/>
              </w:rPr>
            </w:pPr>
            <w:r>
              <w:rPr>
                <w:rFonts w:hint="eastAsia"/>
                <w:color w:val="auto"/>
                <w:kern w:val="0"/>
                <w:sz w:val="24"/>
                <w:lang w:eastAsia="zh-CN" w:bidi="ar"/>
              </w:rPr>
              <w:t>通过调查，扩建项目</w:t>
            </w:r>
            <w:r>
              <w:rPr>
                <w:rFonts w:hint="eastAsia"/>
                <w:color w:val="auto"/>
                <w:kern w:val="0"/>
                <w:sz w:val="24"/>
                <w:lang w:bidi="ar"/>
              </w:rPr>
              <w:t>生产</w:t>
            </w:r>
            <w:r>
              <w:rPr>
                <w:color w:val="auto"/>
                <w:kern w:val="0"/>
                <w:sz w:val="24"/>
                <w:lang w:bidi="ar"/>
              </w:rPr>
              <w:t>车间地坪为混凝土地坪，满足一般防渗区防渗要求。</w:t>
            </w:r>
          </w:p>
          <w:p>
            <w:pPr>
              <w:widowControl/>
              <w:adjustRightInd w:val="0"/>
              <w:snapToGrid w:val="0"/>
              <w:spacing w:line="360" w:lineRule="auto"/>
              <w:ind w:firstLine="480" w:firstLineChars="200"/>
              <w:rPr>
                <w:color w:val="auto"/>
                <w:sz w:val="24"/>
              </w:rPr>
            </w:pPr>
            <w:r>
              <w:rPr>
                <w:color w:val="auto"/>
                <w:kern w:val="0"/>
                <w:sz w:val="24"/>
                <w:lang w:bidi="ar"/>
              </w:rPr>
              <w:t>④管理措施</w:t>
            </w:r>
          </w:p>
          <w:p>
            <w:pPr>
              <w:widowControl/>
              <w:adjustRightInd w:val="0"/>
              <w:snapToGrid w:val="0"/>
              <w:spacing w:line="360" w:lineRule="auto"/>
              <w:ind w:firstLine="480" w:firstLineChars="200"/>
              <w:rPr>
                <w:rFonts w:hint="eastAsia" w:ascii="宋体" w:hAnsi="宋体" w:eastAsia="宋体" w:cs="宋体"/>
                <w:color w:val="auto"/>
                <w:szCs w:val="21"/>
                <w:lang w:eastAsia="zh-CN"/>
              </w:rPr>
            </w:pPr>
            <w:r>
              <w:rPr>
                <w:color w:val="auto"/>
                <w:kern w:val="0"/>
                <w:sz w:val="24"/>
                <w:lang w:bidi="ar"/>
              </w:rPr>
              <w:t>制定严格的检查制度，定期对厂区内的危废暂存间、模具堆放区等区域进行检查，如发现破损现象及时修复，避免出现渗漏污染地下水。在物料运输的过程中，做到严格管理，防止“跑、冒、滴、漏”渗入地表的现象发生，避免滴落的物料下渗污染地下水</w:t>
            </w:r>
            <w:r>
              <w:rPr>
                <w:rFonts w:hint="eastAsia"/>
                <w:color w:val="auto"/>
                <w:kern w:val="0"/>
                <w:sz w:val="24"/>
                <w:lang w:bidi="ar"/>
              </w:rPr>
              <w:t>、土壤</w:t>
            </w:r>
            <w:r>
              <w:rPr>
                <w:color w:val="auto"/>
                <w:kern w:val="0"/>
                <w:sz w:val="24"/>
                <w:lang w:bidi="ar"/>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djustRightInd w:val="0"/>
              <w:snapToGrid w:val="0"/>
              <w:jc w:val="center"/>
              <w:rPr>
                <w:rFonts w:ascii="宋体" w:hAnsi="宋体" w:cs="宋体"/>
                <w:color w:val="auto"/>
                <w:szCs w:val="21"/>
              </w:rPr>
            </w:pPr>
            <w:r>
              <w:rPr>
                <w:rFonts w:hint="eastAsia" w:ascii="宋体" w:hAnsi="宋体" w:cs="宋体"/>
                <w:color w:val="auto"/>
                <w:szCs w:val="21"/>
              </w:rPr>
              <w:t>生态保护措施</w:t>
            </w:r>
          </w:p>
        </w:tc>
        <w:tc>
          <w:tcPr>
            <w:tcW w:w="7994" w:type="dxa"/>
            <w:gridSpan w:val="4"/>
            <w:vAlign w:val="center"/>
          </w:tcPr>
          <w:p>
            <w:pPr>
              <w:adjustRightInd w:val="0"/>
              <w:snapToGrid w:val="0"/>
              <w:jc w:val="center"/>
              <w:rPr>
                <w:rFonts w:ascii="宋体" w:hAnsi="宋体" w:cs="宋体"/>
                <w:color w:val="auto"/>
                <w:szCs w:val="21"/>
              </w:rPr>
            </w:pPr>
          </w:p>
          <w:p>
            <w:pPr>
              <w:adjustRightInd w:val="0"/>
              <w:snapToGrid w:val="0"/>
              <w:jc w:val="center"/>
              <w:rPr>
                <w:rFonts w:ascii="宋体" w:hAnsi="宋体" w:cs="宋体"/>
                <w:color w:val="auto"/>
                <w:szCs w:val="21"/>
              </w:rPr>
            </w:pPr>
          </w:p>
          <w:p>
            <w:pPr>
              <w:adjustRightInd w:val="0"/>
              <w:snapToGrid w:val="0"/>
              <w:jc w:val="center"/>
              <w:rPr>
                <w:rFonts w:ascii="宋体" w:hAnsi="宋体" w:cs="宋体"/>
                <w:color w:val="auto"/>
                <w:szCs w:val="21"/>
              </w:rPr>
            </w:pPr>
          </w:p>
          <w:p>
            <w:pPr>
              <w:adjustRightInd w:val="0"/>
              <w:snapToGrid w:val="0"/>
              <w:jc w:val="center"/>
              <w:rPr>
                <w:rFonts w:hint="eastAsia" w:ascii="宋体" w:hAnsi="宋体" w:eastAsia="宋体" w:cs="宋体"/>
                <w:color w:val="auto"/>
                <w:szCs w:val="21"/>
                <w:lang w:eastAsia="zh-CN"/>
              </w:rPr>
            </w:pPr>
          </w:p>
          <w:p>
            <w:pPr>
              <w:adjustRightInd w:val="0"/>
              <w:snapToGrid w:val="0"/>
              <w:jc w:val="center"/>
              <w:rPr>
                <w:rFonts w:ascii="宋体" w:hAnsi="宋体" w:cs="宋体"/>
                <w:color w:val="auto"/>
                <w:szCs w:val="21"/>
              </w:rPr>
            </w:pPr>
          </w:p>
          <w:p>
            <w:pPr>
              <w:adjustRightInd w:val="0"/>
              <w:snapToGrid w:val="0"/>
              <w:jc w:val="center"/>
              <w:rPr>
                <w:rFonts w:ascii="宋体" w:hAnsi="宋体" w:cs="宋体"/>
                <w:color w:val="auto"/>
                <w:szCs w:val="21"/>
              </w:rPr>
            </w:pPr>
          </w:p>
          <w:p>
            <w:pPr>
              <w:adjustRightInd w:val="0"/>
              <w:snapToGrid w:val="0"/>
              <w:jc w:val="center"/>
              <w:rPr>
                <w:rFonts w:ascii="宋体" w:hAnsi="宋体" w:cs="宋体"/>
                <w:color w:val="auto"/>
                <w:szCs w:val="21"/>
              </w:rPr>
            </w:pPr>
          </w:p>
          <w:p>
            <w:pPr>
              <w:adjustRightInd w:val="0"/>
              <w:snapToGrid w:val="0"/>
              <w:jc w:val="center"/>
              <w:rPr>
                <w:rFonts w:ascii="宋体" w:hAnsi="宋体" w:cs="宋体"/>
                <w:color w:val="auto"/>
                <w:szCs w:val="21"/>
              </w:rPr>
            </w:pPr>
          </w:p>
          <w:p>
            <w:pPr>
              <w:adjustRightInd w:val="0"/>
              <w:snapToGrid w:val="0"/>
              <w:jc w:val="center"/>
              <w:rPr>
                <w:rFonts w:ascii="宋体" w:hAnsi="宋体" w:cs="宋体"/>
                <w:color w:val="auto"/>
                <w:szCs w:val="21"/>
              </w:rPr>
            </w:pPr>
          </w:p>
          <w:p>
            <w:pPr>
              <w:adjustRightInd w:val="0"/>
              <w:snapToGrid w:val="0"/>
              <w:jc w:val="center"/>
              <w:rPr>
                <w:rFonts w:ascii="宋体" w:hAnsi="宋体" w:cs="宋体"/>
                <w:color w:val="auto"/>
                <w:szCs w:val="21"/>
              </w:rPr>
            </w:pPr>
          </w:p>
          <w:p>
            <w:pPr>
              <w:adjustRightInd w:val="0"/>
              <w:snapToGrid w:val="0"/>
              <w:jc w:val="center"/>
              <w:rPr>
                <w:rFonts w:ascii="宋体" w:hAnsi="宋体" w:cs="宋体"/>
                <w:color w:val="auto"/>
                <w:szCs w:val="21"/>
              </w:rPr>
            </w:pPr>
          </w:p>
          <w:p>
            <w:pPr>
              <w:adjustRightInd w:val="0"/>
              <w:snapToGrid w:val="0"/>
              <w:jc w:val="center"/>
              <w:rPr>
                <w:rFonts w:ascii="宋体" w:hAnsi="宋体" w:cs="宋体"/>
                <w:color w:val="auto"/>
                <w:szCs w:val="21"/>
              </w:rPr>
            </w:pPr>
          </w:p>
          <w:p>
            <w:pPr>
              <w:adjustRightInd w:val="0"/>
              <w:snapToGrid w:val="0"/>
              <w:jc w:val="center"/>
              <w:rPr>
                <w:rFonts w:ascii="宋体" w:hAnsi="宋体" w:cs="宋体"/>
                <w:color w:val="auto"/>
                <w:szCs w:val="21"/>
              </w:rPr>
            </w:pPr>
          </w:p>
          <w:p>
            <w:pPr>
              <w:adjustRightInd w:val="0"/>
              <w:snapToGrid w:val="0"/>
              <w:jc w:val="center"/>
              <w:rPr>
                <w:rFonts w:ascii="宋体" w:hAnsi="宋体" w:cs="宋体"/>
                <w:color w:val="auto"/>
                <w:szCs w:val="21"/>
              </w:rPr>
            </w:pPr>
            <w:r>
              <w:rPr>
                <w:rFonts w:hint="eastAsia" w:ascii="宋体" w:hAnsi="宋体" w:cs="宋体"/>
                <w:color w:val="auto"/>
                <w:szCs w:val="21"/>
              </w:rPr>
              <w:t>/</w:t>
            </w:r>
          </w:p>
          <w:p>
            <w:pPr>
              <w:adjustRightInd w:val="0"/>
              <w:snapToGrid w:val="0"/>
              <w:jc w:val="center"/>
              <w:rPr>
                <w:rFonts w:ascii="宋体" w:hAnsi="宋体" w:cs="宋体"/>
                <w:color w:val="auto"/>
                <w:szCs w:val="21"/>
              </w:rPr>
            </w:pPr>
          </w:p>
          <w:p>
            <w:pPr>
              <w:adjustRightInd w:val="0"/>
              <w:snapToGrid w:val="0"/>
              <w:jc w:val="center"/>
              <w:rPr>
                <w:rFonts w:ascii="宋体" w:hAnsi="宋体" w:cs="宋体"/>
                <w:color w:val="auto"/>
                <w:szCs w:val="21"/>
              </w:rPr>
            </w:pPr>
          </w:p>
          <w:p>
            <w:pPr>
              <w:adjustRightInd w:val="0"/>
              <w:snapToGrid w:val="0"/>
              <w:jc w:val="center"/>
              <w:rPr>
                <w:rFonts w:ascii="宋体" w:hAnsi="宋体" w:cs="宋体"/>
                <w:color w:val="auto"/>
                <w:szCs w:val="21"/>
              </w:rPr>
            </w:pPr>
          </w:p>
          <w:p>
            <w:pPr>
              <w:adjustRightInd w:val="0"/>
              <w:snapToGrid w:val="0"/>
              <w:jc w:val="center"/>
              <w:rPr>
                <w:rFonts w:ascii="宋体" w:hAnsi="宋体" w:cs="宋体"/>
                <w:color w:val="auto"/>
                <w:szCs w:val="21"/>
              </w:rPr>
            </w:pPr>
          </w:p>
          <w:p>
            <w:pPr>
              <w:adjustRightInd w:val="0"/>
              <w:snapToGrid w:val="0"/>
              <w:jc w:val="center"/>
              <w:rPr>
                <w:rFonts w:ascii="宋体" w:hAnsi="宋体" w:cs="宋体"/>
                <w:color w:val="auto"/>
                <w:szCs w:val="21"/>
              </w:rPr>
            </w:pPr>
          </w:p>
          <w:p>
            <w:pPr>
              <w:adjustRightInd w:val="0"/>
              <w:snapToGrid w:val="0"/>
              <w:jc w:val="center"/>
              <w:rPr>
                <w:rFonts w:ascii="宋体" w:hAnsi="宋体" w:cs="宋体"/>
                <w:color w:val="auto"/>
                <w:szCs w:val="21"/>
              </w:rPr>
            </w:pPr>
          </w:p>
          <w:p>
            <w:pPr>
              <w:adjustRightInd w:val="0"/>
              <w:snapToGrid w:val="0"/>
              <w:jc w:val="center"/>
              <w:rPr>
                <w:rFonts w:ascii="宋体" w:hAnsi="宋体" w:cs="宋体"/>
                <w:color w:val="auto"/>
                <w:szCs w:val="21"/>
              </w:rPr>
            </w:pPr>
          </w:p>
          <w:p>
            <w:pPr>
              <w:adjustRightInd w:val="0"/>
              <w:snapToGrid w:val="0"/>
              <w:jc w:val="center"/>
              <w:rPr>
                <w:rFonts w:ascii="宋体" w:hAnsi="宋体" w:cs="宋体"/>
                <w:color w:val="auto"/>
                <w:szCs w:val="21"/>
              </w:rPr>
            </w:pPr>
          </w:p>
          <w:p>
            <w:pPr>
              <w:adjustRightInd w:val="0"/>
              <w:snapToGrid w:val="0"/>
              <w:jc w:val="center"/>
              <w:rPr>
                <w:rFonts w:ascii="宋体" w:hAnsi="宋体" w:cs="宋体"/>
                <w:color w:val="auto"/>
                <w:szCs w:val="21"/>
              </w:rPr>
            </w:pPr>
          </w:p>
          <w:p>
            <w:pPr>
              <w:adjustRightInd w:val="0"/>
              <w:snapToGrid w:val="0"/>
              <w:jc w:val="center"/>
              <w:rPr>
                <w:rFonts w:ascii="宋体" w:hAnsi="宋体" w:cs="宋体"/>
                <w:color w:val="auto"/>
                <w:szCs w:val="21"/>
              </w:rPr>
            </w:pPr>
          </w:p>
          <w:p>
            <w:pPr>
              <w:adjustRightInd w:val="0"/>
              <w:snapToGrid w:val="0"/>
              <w:jc w:val="center"/>
              <w:rPr>
                <w:rFonts w:ascii="宋体" w:hAnsi="宋体" w:cs="宋体"/>
                <w:color w:val="auto"/>
                <w:szCs w:val="21"/>
              </w:rPr>
            </w:pPr>
          </w:p>
          <w:p>
            <w:pPr>
              <w:adjustRightInd w:val="0"/>
              <w:snapToGrid w:val="0"/>
              <w:jc w:val="center"/>
              <w:rPr>
                <w:rFonts w:ascii="宋体" w:hAnsi="宋体" w:cs="宋体"/>
                <w:color w:val="auto"/>
                <w:szCs w:val="21"/>
              </w:rPr>
            </w:pPr>
          </w:p>
          <w:p>
            <w:pPr>
              <w:adjustRightInd w:val="0"/>
              <w:snapToGrid w:val="0"/>
              <w:jc w:val="center"/>
              <w:rPr>
                <w:rFonts w:ascii="宋体" w:hAnsi="宋体" w:cs="宋体"/>
                <w:color w:val="auto"/>
                <w:szCs w:val="21"/>
              </w:rPr>
            </w:pPr>
          </w:p>
          <w:p>
            <w:pPr>
              <w:adjustRightInd w:val="0"/>
              <w:snapToGrid w:val="0"/>
              <w:jc w:val="center"/>
              <w:rPr>
                <w:rFonts w:ascii="宋体" w:hAnsi="宋体" w:cs="宋体"/>
                <w:color w:val="auto"/>
                <w:szCs w:val="21"/>
              </w:rPr>
            </w:pPr>
          </w:p>
          <w:p>
            <w:pPr>
              <w:adjustRightInd w:val="0"/>
              <w:snapToGrid w:val="0"/>
              <w:jc w:val="center"/>
              <w:rPr>
                <w:rFonts w:ascii="宋体" w:hAnsi="宋体" w:cs="宋体"/>
                <w:color w:val="auto"/>
                <w:szCs w:val="21"/>
              </w:rPr>
            </w:pPr>
          </w:p>
          <w:p>
            <w:pPr>
              <w:adjustRightInd w:val="0"/>
              <w:snapToGrid w:val="0"/>
              <w:jc w:val="center"/>
              <w:rPr>
                <w:rFonts w:ascii="宋体" w:hAnsi="宋体" w:cs="宋体"/>
                <w:color w:val="auto"/>
                <w:szCs w:val="21"/>
              </w:rPr>
            </w:pPr>
          </w:p>
          <w:p>
            <w:pPr>
              <w:adjustRightInd w:val="0"/>
              <w:snapToGrid w:val="0"/>
              <w:jc w:val="center"/>
              <w:rPr>
                <w:rFonts w:ascii="宋体" w:hAnsi="宋体" w:cs="宋体"/>
                <w:color w:val="auto"/>
                <w:szCs w:val="21"/>
              </w:rPr>
            </w:pPr>
          </w:p>
          <w:p>
            <w:pPr>
              <w:adjustRightInd w:val="0"/>
              <w:snapToGrid w:val="0"/>
              <w:jc w:val="center"/>
              <w:rPr>
                <w:rFonts w:ascii="宋体" w:hAnsi="宋体" w:cs="宋体"/>
                <w:color w:val="auto"/>
                <w:szCs w:val="21"/>
              </w:rPr>
            </w:pPr>
          </w:p>
          <w:p>
            <w:pPr>
              <w:adjustRightInd w:val="0"/>
              <w:snapToGrid w:val="0"/>
              <w:jc w:val="center"/>
              <w:rPr>
                <w:rFonts w:ascii="宋体" w:hAnsi="宋体" w:cs="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98" w:hRule="atLeast"/>
          <w:jc w:val="center"/>
        </w:trPr>
        <w:tc>
          <w:tcPr>
            <w:tcW w:w="806" w:type="dxa"/>
            <w:vAlign w:val="center"/>
          </w:tcPr>
          <w:p>
            <w:pPr>
              <w:adjustRightInd w:val="0"/>
              <w:snapToGrid w:val="0"/>
              <w:jc w:val="center"/>
              <w:rPr>
                <w:rFonts w:ascii="宋体" w:hAnsi="宋体" w:cs="宋体"/>
                <w:color w:val="auto"/>
                <w:spacing w:val="-8"/>
                <w:sz w:val="24"/>
              </w:rPr>
            </w:pPr>
            <w:r>
              <w:rPr>
                <w:rFonts w:hint="eastAsia" w:ascii="宋体" w:hAnsi="宋体" w:cs="宋体"/>
                <w:color w:val="auto"/>
                <w:spacing w:val="-8"/>
                <w:sz w:val="24"/>
              </w:rPr>
              <w:t>环境风险</w:t>
            </w:r>
          </w:p>
          <w:p>
            <w:pPr>
              <w:adjustRightInd w:val="0"/>
              <w:snapToGrid w:val="0"/>
              <w:jc w:val="center"/>
              <w:rPr>
                <w:rFonts w:ascii="宋体" w:hAnsi="宋体" w:cs="宋体"/>
                <w:color w:val="auto"/>
                <w:spacing w:val="-8"/>
                <w:sz w:val="24"/>
              </w:rPr>
            </w:pPr>
            <w:r>
              <w:rPr>
                <w:rFonts w:hint="eastAsia" w:ascii="宋体" w:hAnsi="宋体" w:cs="宋体"/>
                <w:color w:val="auto"/>
                <w:spacing w:val="-8"/>
                <w:sz w:val="24"/>
              </w:rPr>
              <w:t>防范措施</w:t>
            </w:r>
          </w:p>
        </w:tc>
        <w:tc>
          <w:tcPr>
            <w:tcW w:w="7994" w:type="dxa"/>
            <w:gridSpan w:val="4"/>
          </w:tcPr>
          <w:p>
            <w:pPr>
              <w:autoSpaceDE w:val="0"/>
              <w:autoSpaceDN w:val="0"/>
              <w:adjustRightInd w:val="0"/>
              <w:snapToGrid w:val="0"/>
              <w:spacing w:line="360" w:lineRule="auto"/>
              <w:ind w:firstLine="480" w:firstLineChars="200"/>
              <w:rPr>
                <w:color w:val="auto"/>
                <w:sz w:val="24"/>
              </w:rPr>
            </w:pPr>
            <w:r>
              <w:rPr>
                <w:rFonts w:hint="eastAsia"/>
                <w:color w:val="auto"/>
                <w:sz w:val="24"/>
              </w:rPr>
              <w:t>（1）</w:t>
            </w:r>
            <w:r>
              <w:rPr>
                <w:rFonts w:hint="eastAsia"/>
                <w:color w:val="auto"/>
                <w:sz w:val="24"/>
                <w:lang w:eastAsia="zh-CN"/>
              </w:rPr>
              <w:t>通过调查，该企业</w:t>
            </w:r>
            <w:r>
              <w:rPr>
                <w:color w:val="auto"/>
                <w:sz w:val="24"/>
              </w:rPr>
              <w:t>建立一套严密科学的检修规程、操作规程和规章制度，实施严格的设备管理、工艺管理、安全环保管理、质量管理和现场管理。</w:t>
            </w:r>
          </w:p>
          <w:p>
            <w:pPr>
              <w:autoSpaceDE w:val="0"/>
              <w:autoSpaceDN w:val="0"/>
              <w:adjustRightInd w:val="0"/>
              <w:snapToGrid w:val="0"/>
              <w:spacing w:line="360" w:lineRule="auto"/>
              <w:ind w:firstLine="480" w:firstLineChars="200"/>
              <w:rPr>
                <w:color w:val="auto"/>
                <w:sz w:val="24"/>
              </w:rPr>
            </w:pPr>
            <w:r>
              <w:rPr>
                <w:rFonts w:hint="eastAsia"/>
                <w:color w:val="auto"/>
                <w:sz w:val="24"/>
              </w:rPr>
              <w:t>（2）</w:t>
            </w:r>
            <w:r>
              <w:rPr>
                <w:color w:val="auto"/>
                <w:sz w:val="24"/>
              </w:rPr>
              <w:t>危</w:t>
            </w:r>
            <w:r>
              <w:rPr>
                <w:rFonts w:hint="eastAsia"/>
                <w:color w:val="auto"/>
                <w:sz w:val="24"/>
                <w:lang w:eastAsia="zh-CN"/>
              </w:rPr>
              <w:t>通过调查，扩建项目依托的</w:t>
            </w:r>
            <w:r>
              <w:rPr>
                <w:rFonts w:hint="eastAsia"/>
                <w:color w:val="auto"/>
                <w:sz w:val="24"/>
              </w:rPr>
              <w:t>危废暂存间</w:t>
            </w:r>
            <w:r>
              <w:rPr>
                <w:color w:val="auto"/>
                <w:sz w:val="24"/>
              </w:rPr>
              <w:t>地面及内墙采取防渗措施，地面作防渗、防漏、防酸碱腐蚀处理</w:t>
            </w:r>
            <w:r>
              <w:rPr>
                <w:rFonts w:hint="eastAsia"/>
                <w:color w:val="auto"/>
                <w:sz w:val="24"/>
                <w:lang w:eastAsia="zh-CN"/>
              </w:rPr>
              <w:t>，扩建项目产生的危险废物可依托该危险废物暂存间暂存。</w:t>
            </w:r>
          </w:p>
          <w:p>
            <w:pPr>
              <w:pStyle w:val="38"/>
              <w:adjustRightInd w:val="0"/>
              <w:snapToGrid w:val="0"/>
              <w:spacing w:line="360" w:lineRule="auto"/>
              <w:ind w:firstLine="480"/>
              <w:rPr>
                <w:rFonts w:ascii="Times New Roman" w:hAnsi="Times New Roman" w:cs="Times New Roman"/>
                <w:color w:val="auto"/>
                <w:sz w:val="24"/>
                <w:szCs w:val="24"/>
              </w:rPr>
            </w:pPr>
            <w:r>
              <w:rPr>
                <w:rFonts w:hint="eastAsia" w:ascii="Times New Roman" w:hAnsi="Times New Roman" w:cs="Times New Roman"/>
                <w:color w:val="auto"/>
                <w:sz w:val="24"/>
                <w:szCs w:val="24"/>
              </w:rPr>
              <w:t>（3）</w:t>
            </w:r>
            <w:r>
              <w:rPr>
                <w:rFonts w:hint="eastAsia"/>
                <w:color w:val="auto"/>
                <w:sz w:val="24"/>
                <w:lang w:eastAsia="zh-CN"/>
              </w:rPr>
              <w:t>扩建项目</w:t>
            </w:r>
            <w:r>
              <w:rPr>
                <w:rFonts w:hint="eastAsia"/>
                <w:color w:val="auto"/>
                <w:sz w:val="24"/>
              </w:rPr>
              <w:t>胶粘剂堆放区</w:t>
            </w:r>
            <w:r>
              <w:rPr>
                <w:color w:val="auto"/>
                <w:sz w:val="24"/>
              </w:rPr>
              <w:t>地面及内墙</w:t>
            </w:r>
            <w:r>
              <w:rPr>
                <w:rFonts w:hint="eastAsia"/>
                <w:color w:val="auto"/>
                <w:sz w:val="24"/>
                <w:lang w:eastAsia="zh-CN"/>
              </w:rPr>
              <w:t>应</w:t>
            </w:r>
            <w:r>
              <w:rPr>
                <w:color w:val="auto"/>
                <w:sz w:val="24"/>
              </w:rPr>
              <w:t>采取防渗措施，地面作防渗、防漏、防酸碱腐蚀处理。</w:t>
            </w:r>
            <w:r>
              <w:rPr>
                <w:rFonts w:hint="eastAsia" w:cs="Times New Roman"/>
                <w:color w:val="auto"/>
                <w:sz w:val="24"/>
                <w:szCs w:val="24"/>
              </w:rPr>
              <w:t>胶粘剂堆放区</w:t>
            </w:r>
            <w:r>
              <w:rPr>
                <w:rFonts w:hint="eastAsia" w:cs="Times New Roman"/>
                <w:color w:val="auto"/>
                <w:sz w:val="24"/>
                <w:szCs w:val="24"/>
                <w:lang w:eastAsia="zh-CN"/>
              </w:rPr>
              <w:t>应</w:t>
            </w:r>
            <w:r>
              <w:rPr>
                <w:rFonts w:ascii="Times New Roman" w:hAnsi="Times New Roman" w:cs="Times New Roman"/>
                <w:color w:val="auto"/>
                <w:sz w:val="24"/>
                <w:szCs w:val="24"/>
              </w:rPr>
              <w:t>放置一定量吸收毡、吸收棉，</w:t>
            </w:r>
            <w:r>
              <w:rPr>
                <w:rFonts w:hint="eastAsia" w:cs="Times New Roman"/>
                <w:color w:val="auto"/>
                <w:sz w:val="24"/>
                <w:szCs w:val="24"/>
                <w:lang w:eastAsia="zh-CN"/>
              </w:rPr>
              <w:t>物料</w:t>
            </w:r>
            <w:r>
              <w:rPr>
                <w:rFonts w:ascii="Times New Roman" w:hAnsi="Times New Roman" w:cs="Times New Roman"/>
                <w:color w:val="auto"/>
                <w:sz w:val="24"/>
                <w:szCs w:val="24"/>
              </w:rPr>
              <w:t>泄漏后采用吸收毡、吸收棉及时吸收泄漏物质，吸附材料达到饱和后转移至危险废物暂存点，采用专用包装物或密闭的容器内（包装桶）暂存，盖好收集容器的盖子，贴上废物标签，按照废物管理制度或污染物排放控制程序处理。</w:t>
            </w:r>
          </w:p>
          <w:p>
            <w:pPr>
              <w:adjustRightInd w:val="0"/>
              <w:snapToGrid w:val="0"/>
              <w:spacing w:line="360" w:lineRule="auto"/>
              <w:ind w:firstLine="480" w:firstLineChars="200"/>
              <w:rPr>
                <w:color w:val="auto"/>
                <w:sz w:val="24"/>
              </w:rPr>
            </w:pPr>
            <w:r>
              <w:rPr>
                <w:rFonts w:hint="eastAsia"/>
                <w:color w:val="auto"/>
                <w:sz w:val="24"/>
              </w:rPr>
              <w:t>（4）</w:t>
            </w:r>
            <w:r>
              <w:rPr>
                <w:rFonts w:hint="eastAsia"/>
                <w:color w:val="auto"/>
                <w:sz w:val="24"/>
                <w:lang w:eastAsia="zh-CN"/>
              </w:rPr>
              <w:t>胶粘剂</w:t>
            </w:r>
            <w:r>
              <w:rPr>
                <w:color w:val="auto"/>
                <w:sz w:val="24"/>
              </w:rPr>
              <w:t>应从正规供应商处采购，密封性好，存放规范并定期检查</w:t>
            </w:r>
            <w:r>
              <w:rPr>
                <w:rFonts w:hint="eastAsia"/>
                <w:color w:val="auto"/>
                <w:sz w:val="24"/>
                <w:lang w:eastAsia="zh-CN"/>
              </w:rPr>
              <w:t>包装</w:t>
            </w:r>
            <w:r>
              <w:rPr>
                <w:color w:val="auto"/>
                <w:sz w:val="24"/>
              </w:rPr>
              <w:t>的完整性。车间设独立的火灾自动报和消防控制系统，自动化程度高。计划建有完善的消防措施，包括消防水管网、室内外消防栓、泡沫及干粉灭火器、消防沙，以及一套完整的火灾监测、报警系统。车间和危险化学品仓库内均相同配备，并严禁火源，在喷漆房张贴禁火标识。</w:t>
            </w:r>
          </w:p>
          <w:p>
            <w:pPr>
              <w:pStyle w:val="2"/>
              <w:ind w:firstLine="480" w:firstLineChars="200"/>
              <w:rPr>
                <w:rFonts w:ascii="Times New Roman" w:cs="Times New Roman"/>
                <w:color w:val="auto"/>
              </w:rPr>
            </w:pPr>
            <w:r>
              <w:rPr>
                <w:rFonts w:hint="eastAsia" w:ascii="Times New Roman" w:cs="Times New Roman"/>
                <w:color w:val="auto"/>
              </w:rPr>
              <w:t>（5）</w:t>
            </w:r>
            <w:r>
              <w:rPr>
                <w:rFonts w:hint="eastAsia"/>
                <w:color w:val="auto"/>
                <w:szCs w:val="26"/>
              </w:rPr>
              <w:t>生产车间设备的排列按生产工艺流程进行，尽可能缩短管线减少连接点，各类设备和工艺管道从设计、安装和制造严格按照安全规定要求进行设备和管道动静密封垫采取有效的密封措施，防止物料跑冒滴漏。</w:t>
            </w:r>
            <w:r>
              <w:rPr>
                <w:rFonts w:ascii="Times New Roman" w:cs="Times New Roman"/>
                <w:color w:val="auto"/>
              </w:rPr>
              <w:t>加强机械设备、管线、阀门等元器件的维护保养，对系统薄弱环节加强检查、维护保养、及时更新。</w:t>
            </w:r>
          </w:p>
          <w:p>
            <w:pPr>
              <w:widowControl/>
              <w:adjustRightInd w:val="0"/>
              <w:snapToGrid w:val="0"/>
              <w:spacing w:line="360" w:lineRule="auto"/>
              <w:ind w:firstLine="480" w:firstLineChars="200"/>
              <w:rPr>
                <w:rFonts w:ascii="宋体" w:hAnsi="宋体" w:cs="宋体"/>
                <w:color w:val="auto"/>
                <w:szCs w:val="21"/>
              </w:rPr>
            </w:pPr>
            <w:r>
              <w:rPr>
                <w:rFonts w:hint="eastAsia"/>
                <w:color w:val="auto"/>
                <w:sz w:val="24"/>
              </w:rPr>
              <w:t>（6）</w:t>
            </w:r>
            <w:r>
              <w:rPr>
                <w:color w:val="auto"/>
                <w:sz w:val="24"/>
              </w:rPr>
              <w:t>根据《重庆市人民政府关于加强突发事件风险管理工作的意见》（渝府发[2015]115号）和《重庆市环境保护局关于印发推进突发事件风险管理工作实施方案的通知》（渝环[2015]262号），本项目建成后应根据相关要求，完善《突发环境事件风险评估报告》、《突发环境事件应急预案》，并到当地生态环境管理部门进行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15" w:hRule="atLeast"/>
          <w:jc w:val="center"/>
        </w:trPr>
        <w:tc>
          <w:tcPr>
            <w:tcW w:w="806" w:type="dxa"/>
            <w:vAlign w:val="center"/>
          </w:tcPr>
          <w:p>
            <w:pPr>
              <w:adjustRightInd w:val="0"/>
              <w:snapToGrid w:val="0"/>
              <w:jc w:val="center"/>
              <w:rPr>
                <w:rFonts w:ascii="宋体" w:hAnsi="宋体" w:cs="宋体"/>
                <w:color w:val="auto"/>
                <w:spacing w:val="-8"/>
                <w:sz w:val="24"/>
              </w:rPr>
            </w:pPr>
            <w:r>
              <w:rPr>
                <w:rFonts w:hint="eastAsia" w:ascii="宋体" w:hAnsi="宋体" w:cs="宋体"/>
                <w:color w:val="auto"/>
                <w:spacing w:val="-8"/>
                <w:sz w:val="24"/>
              </w:rPr>
              <w:t>其他环境</w:t>
            </w:r>
          </w:p>
          <w:p>
            <w:pPr>
              <w:adjustRightInd w:val="0"/>
              <w:snapToGrid w:val="0"/>
              <w:jc w:val="center"/>
              <w:rPr>
                <w:rFonts w:ascii="宋体" w:hAnsi="宋体" w:cs="宋体"/>
                <w:color w:val="auto"/>
                <w:spacing w:val="-8"/>
                <w:sz w:val="24"/>
              </w:rPr>
            </w:pPr>
            <w:r>
              <w:rPr>
                <w:rFonts w:hint="eastAsia" w:ascii="宋体" w:hAnsi="宋体" w:cs="宋体"/>
                <w:color w:val="auto"/>
                <w:spacing w:val="-8"/>
                <w:sz w:val="24"/>
              </w:rPr>
              <w:t>管理要求</w:t>
            </w:r>
          </w:p>
        </w:tc>
        <w:tc>
          <w:tcPr>
            <w:tcW w:w="7994" w:type="dxa"/>
            <w:gridSpan w:val="4"/>
          </w:tcPr>
          <w:p>
            <w:pPr>
              <w:adjustRightInd w:val="0"/>
              <w:snapToGrid w:val="0"/>
              <w:spacing w:line="360" w:lineRule="auto"/>
              <w:rPr>
                <w:b/>
                <w:bCs/>
                <w:color w:val="auto"/>
                <w:sz w:val="24"/>
              </w:rPr>
            </w:pPr>
            <w:r>
              <w:rPr>
                <w:b/>
                <w:bCs/>
                <w:color w:val="auto"/>
                <w:sz w:val="24"/>
              </w:rPr>
              <w:t>环境管理要求</w:t>
            </w:r>
          </w:p>
          <w:p>
            <w:pPr>
              <w:pStyle w:val="2"/>
              <w:ind w:firstLine="480" w:firstLineChars="200"/>
              <w:rPr>
                <w:rFonts w:hint="default" w:ascii="Times New Roman" w:hAnsi="Times New Roman" w:cs="Times New Roman"/>
                <w:color w:val="auto"/>
              </w:rPr>
            </w:pPr>
            <w:r>
              <w:rPr>
                <w:rFonts w:hint="default" w:ascii="Times New Roman" w:hAnsi="Times New Roman" w:cs="Times New Roman"/>
                <w:color w:val="auto"/>
              </w:rPr>
              <w:t>根据《排污许可证申请与核发技术规范—总则》（HJ942-2018）,本评价针对项目运营期提出如下环境管理要求：</w:t>
            </w:r>
          </w:p>
          <w:p>
            <w:pPr>
              <w:adjustRightInd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（1）建立完善的环境管理机构，设立专门环保人员，确定各个部门及岗位的环境保护目标和可量化的指标，促进全体员工参与到的环保工作之中。</w:t>
            </w:r>
          </w:p>
          <w:p>
            <w:pPr>
              <w:adjustRightInd w:val="0"/>
              <w:snapToGrid w:val="0"/>
              <w:spacing w:line="360" w:lineRule="auto"/>
              <w:ind w:firstLine="480" w:firstLineChars="200"/>
              <w:rPr>
                <w:color w:val="auto"/>
                <w:sz w:val="24"/>
              </w:rPr>
            </w:pPr>
            <w:r>
              <w:rPr>
                <w:rFonts w:hint="default" w:ascii="Times New Roman" w:hAnsi="Times New Roman" w:cs="Times New Roman"/>
                <w:color w:val="auto"/>
                <w:sz w:val="24"/>
              </w:rPr>
              <w:t>（2）制定环境保护规章制度</w:t>
            </w:r>
            <w:r>
              <w:rPr>
                <w:color w:val="auto"/>
                <w:sz w:val="24"/>
              </w:rPr>
              <w:t>。如岗位环保责任制、环保设施运行管理规定等，对全体员工进行定期和不定期的环境保护知识培训，提高他们的环境保护意识，以保证环境管理工作的顺利进行。</w:t>
            </w:r>
          </w:p>
          <w:p>
            <w:pPr>
              <w:tabs>
                <w:tab w:val="left" w:pos="1080"/>
              </w:tabs>
              <w:adjustRightInd w:val="0"/>
              <w:snapToGrid w:val="0"/>
              <w:spacing w:line="360" w:lineRule="auto"/>
              <w:ind w:firstLine="480" w:firstLineChars="200"/>
              <w:rPr>
                <w:color w:val="auto"/>
                <w:sz w:val="24"/>
              </w:rPr>
            </w:pPr>
            <w:r>
              <w:rPr>
                <w:color w:val="auto"/>
                <w:sz w:val="24"/>
              </w:rPr>
              <w:t>（3）加强环保设施监督管理，加强环保设施的检修、维护，确保设备正常高效运行。</w:t>
            </w:r>
          </w:p>
          <w:p>
            <w:pPr>
              <w:pStyle w:val="28"/>
              <w:adjustRightInd w:val="0"/>
              <w:snapToGrid w:val="0"/>
              <w:spacing w:line="360" w:lineRule="auto"/>
              <w:ind w:firstLine="480"/>
              <w:rPr>
                <w:color w:val="auto"/>
                <w:sz w:val="24"/>
              </w:rPr>
            </w:pPr>
            <w:r>
              <w:rPr>
                <w:color w:val="auto"/>
                <w:sz w:val="24"/>
              </w:rPr>
              <w:t>（4）企业应建立环境管理台账制度，落实环境管理台账制度记录的责任部门和责任人，明确工作职责，包括台账的记录、整理、维护和管理，并对台账的真实性、完整性和规范性负责。一般按照日批次进行记录，异常情况按次记录。</w:t>
            </w:r>
          </w:p>
          <w:p>
            <w:pPr>
              <w:pStyle w:val="28"/>
              <w:adjustRightInd w:val="0"/>
              <w:snapToGrid w:val="0"/>
              <w:spacing w:line="360" w:lineRule="auto"/>
              <w:ind w:firstLine="480"/>
              <w:rPr>
                <w:color w:val="auto"/>
                <w:sz w:val="24"/>
              </w:rPr>
            </w:pPr>
            <w:r>
              <w:rPr>
                <w:color w:val="auto"/>
                <w:sz w:val="24"/>
              </w:rPr>
              <w:t>环境管理台账按照电子台账和纸质台账两种形式同步管理，</w:t>
            </w:r>
            <w:r>
              <w:rPr>
                <w:rFonts w:hint="eastAsia"/>
                <w:color w:val="auto"/>
                <w:sz w:val="24"/>
              </w:rPr>
              <w:t>应真实</w:t>
            </w:r>
            <w:r>
              <w:rPr>
                <w:color w:val="auto"/>
                <w:sz w:val="24"/>
              </w:rPr>
              <w:t>记录基本信息、产污设施运行管理信息、污染防治设施运行管理信息、监测记录及其他环境管理信息。产污设施、污染防治设施、排放口应与排污许可证副本中载明的编码一致。</w:t>
            </w:r>
          </w:p>
          <w:p>
            <w:pPr>
              <w:adjustRightInd w:val="0"/>
              <w:snapToGrid w:val="0"/>
              <w:spacing w:line="360" w:lineRule="auto"/>
              <w:ind w:firstLine="480" w:firstLineChars="200"/>
              <w:rPr>
                <w:color w:val="auto"/>
                <w:sz w:val="24"/>
              </w:rPr>
            </w:pPr>
            <w:r>
              <w:rPr>
                <w:color w:val="auto"/>
                <w:sz w:val="24"/>
              </w:rPr>
              <w:t>（5）企业应按排污许可证规定时间提交执行报告，并对执行报告中各项内容和数据的真实性有效性负责，并承担相应法律责任；应自觉接受生态环境主管部门监管和社会公众监督，如提交的内容和数据与实际情况不符，应积极接受调查，并依法接受处罚。</w:t>
            </w:r>
          </w:p>
          <w:p>
            <w:pPr>
              <w:pStyle w:val="8"/>
              <w:spacing w:line="360" w:lineRule="auto"/>
              <w:ind w:firstLine="0"/>
              <w:rPr>
                <w:rFonts w:ascii="Times New Roman" w:hAnsi="Times New Roman"/>
                <w:b/>
                <w:bCs/>
                <w:color w:val="auto"/>
                <w:sz w:val="24"/>
              </w:rPr>
            </w:pPr>
            <w:r>
              <w:rPr>
                <w:rFonts w:ascii="Times New Roman" w:hAnsi="Times New Roman"/>
                <w:b/>
                <w:bCs/>
                <w:color w:val="auto"/>
                <w:sz w:val="24"/>
              </w:rPr>
              <w:t>排污口设置及规范要求</w:t>
            </w:r>
          </w:p>
          <w:p>
            <w:pPr>
              <w:widowControl/>
              <w:spacing w:line="360" w:lineRule="auto"/>
              <w:ind w:firstLine="480" w:firstLineChars="200"/>
              <w:rPr>
                <w:color w:val="auto"/>
                <w:sz w:val="24"/>
              </w:rPr>
            </w:pPr>
            <w:r>
              <w:rPr>
                <w:color w:val="auto"/>
                <w:kern w:val="0"/>
                <w:sz w:val="24"/>
                <w:lang w:bidi="ar"/>
              </w:rPr>
              <w:t>根据国家环保总局《关于开展排放口规范化整治工作的通知》（环发[1999]24号）以及重庆市环保局《关于印发重庆市排污口规范化清理整治实施方案的通知》（渝环发[2012]26号）中相关要求：</w:t>
            </w:r>
          </w:p>
          <w:p>
            <w:pPr>
              <w:widowControl/>
              <w:spacing w:line="360" w:lineRule="auto"/>
              <w:ind w:firstLine="480" w:firstLineChars="200"/>
              <w:rPr>
                <w:color w:val="auto"/>
                <w:sz w:val="24"/>
              </w:rPr>
            </w:pPr>
            <w:r>
              <w:rPr>
                <w:color w:val="auto"/>
                <w:kern w:val="0"/>
                <w:sz w:val="24"/>
                <w:lang w:bidi="ar"/>
              </w:rPr>
              <w:t>（1）废水</w:t>
            </w:r>
          </w:p>
          <w:p>
            <w:pPr>
              <w:widowControl/>
              <w:spacing w:line="360" w:lineRule="auto"/>
              <w:ind w:firstLine="480" w:firstLineChars="200"/>
              <w:rPr>
                <w:rFonts w:eastAsiaTheme="minorEastAsia"/>
                <w:color w:val="auto"/>
                <w:kern w:val="44"/>
                <w:sz w:val="24"/>
              </w:rPr>
            </w:pPr>
            <w:r>
              <w:rPr>
                <w:rFonts w:hint="eastAsia" w:ascii="Times New Roman" w:hAnsi="Times New Roman" w:cs="Times New Roman"/>
                <w:color w:val="auto"/>
                <w:sz w:val="24"/>
                <w:szCs w:val="24"/>
                <w:lang w:eastAsia="zh-CN"/>
              </w:rPr>
              <w:t>扩建项目</w:t>
            </w:r>
            <w:r>
              <w:rPr>
                <w:color w:val="auto"/>
                <w:kern w:val="0"/>
                <w:sz w:val="24"/>
                <w:lang w:bidi="ar"/>
              </w:rPr>
              <w:t>废水依托厂区现有污水处理设施处理达三级标准后排入园区市政污水管网，不新增排污口</w:t>
            </w:r>
            <w:r>
              <w:rPr>
                <w:rFonts w:hint="eastAsia"/>
                <w:color w:val="auto"/>
                <w:kern w:val="0"/>
                <w:sz w:val="24"/>
                <w:lang w:bidi="ar"/>
              </w:rPr>
              <w:t>，因此本评价不对</w:t>
            </w:r>
            <w:r>
              <w:rPr>
                <w:rFonts w:hint="eastAsia"/>
                <w:color w:val="auto"/>
                <w:kern w:val="0"/>
                <w:sz w:val="24"/>
                <w:lang w:eastAsia="zh-CN" w:bidi="ar"/>
              </w:rPr>
              <w:t>其</w:t>
            </w:r>
            <w:r>
              <w:rPr>
                <w:rFonts w:hint="eastAsia"/>
                <w:color w:val="auto"/>
                <w:kern w:val="0"/>
                <w:sz w:val="24"/>
                <w:lang w:bidi="ar"/>
              </w:rPr>
              <w:t>废水排放口提出设置要求</w:t>
            </w:r>
            <w:r>
              <w:rPr>
                <w:color w:val="auto"/>
                <w:kern w:val="0"/>
                <w:sz w:val="24"/>
                <w:lang w:bidi="ar"/>
              </w:rPr>
              <w:t>。</w:t>
            </w:r>
          </w:p>
          <w:p>
            <w:pPr>
              <w:spacing w:line="360" w:lineRule="auto"/>
              <w:ind w:firstLine="480"/>
              <w:rPr>
                <w:color w:val="auto"/>
                <w:sz w:val="24"/>
              </w:rPr>
            </w:pPr>
            <w:r>
              <w:rPr>
                <w:color w:val="auto"/>
                <w:sz w:val="24"/>
              </w:rPr>
              <w:t>（2）废气</w:t>
            </w:r>
          </w:p>
          <w:p>
            <w:pPr>
              <w:spacing w:line="360" w:lineRule="auto"/>
              <w:ind w:firstLine="480"/>
              <w:rPr>
                <w:color w:val="auto"/>
                <w:sz w:val="24"/>
              </w:rPr>
            </w:pPr>
            <w:r>
              <w:rPr>
                <w:color w:val="auto"/>
                <w:sz w:val="24"/>
              </w:rPr>
              <w:t>①新增废气排气筒应修建采样平台，设置监测采样口，采样口的设置应符合《污染源技术规范》要求；采样口必须设置常备电源。</w:t>
            </w:r>
          </w:p>
          <w:p>
            <w:pPr>
              <w:spacing w:line="360" w:lineRule="auto"/>
              <w:ind w:firstLine="480"/>
              <w:rPr>
                <w:color w:val="auto"/>
                <w:sz w:val="24"/>
              </w:rPr>
            </w:pPr>
            <w:r>
              <w:rPr>
                <w:color w:val="auto"/>
                <w:sz w:val="24"/>
              </w:rPr>
              <w:t>根据《固定污染源排气中颗粒物测定与气态污染源采样方法》（GB/T16157-1996），废气排污口采样孔设置的位置应该是“距弯头、阀门、变径下游方向不小于6倍直径，上游方向不小于3倍直径”，如果是矩形烟道的，其当量直径D＝2AB/(A+B)，式中A、B为边长。</w:t>
            </w:r>
          </w:p>
          <w:p>
            <w:pPr>
              <w:spacing w:line="360" w:lineRule="auto"/>
              <w:ind w:firstLine="480"/>
              <w:rPr>
                <w:color w:val="auto"/>
                <w:sz w:val="24"/>
              </w:rPr>
            </w:pPr>
            <w:r>
              <w:rPr>
                <w:color w:val="auto"/>
                <w:sz w:val="24"/>
              </w:rPr>
              <w:t>采样平台应有足够的工作面积使工作人员安全、方便地操作，平台面积应不小于1.5m</w:t>
            </w:r>
            <w:r>
              <w:rPr>
                <w:color w:val="auto"/>
                <w:sz w:val="24"/>
                <w:vertAlign w:val="superscript"/>
              </w:rPr>
              <w:t>2</w:t>
            </w:r>
            <w:r>
              <w:rPr>
                <w:color w:val="auto"/>
                <w:sz w:val="24"/>
              </w:rPr>
              <w:t>，并设有1.1m高的护栏和不低于10cm的脚部挡板，采样平台的承重应不小于200kg/m</w:t>
            </w:r>
            <w:r>
              <w:rPr>
                <w:color w:val="auto"/>
                <w:sz w:val="24"/>
                <w:vertAlign w:val="superscript"/>
              </w:rPr>
              <w:t>2</w:t>
            </w:r>
            <w:r>
              <w:rPr>
                <w:color w:val="auto"/>
                <w:sz w:val="24"/>
              </w:rPr>
              <w:t>，采样孔距平台面约为1.2m～1.3m。</w:t>
            </w:r>
          </w:p>
          <w:p>
            <w:pPr>
              <w:spacing w:line="360" w:lineRule="auto"/>
              <w:ind w:firstLine="480"/>
              <w:rPr>
                <w:color w:val="auto"/>
                <w:sz w:val="24"/>
              </w:rPr>
            </w:pPr>
            <w:r>
              <w:rPr>
                <w:color w:val="auto"/>
                <w:sz w:val="24"/>
              </w:rPr>
              <w:t>②排气筒应设置、注明以下内容：标准编号、污染源名称及型号；排放高度、出口直径；排气量、最大允许排放浓度；排放大气污染物的名称、最大允许排放量。</w:t>
            </w:r>
          </w:p>
          <w:p>
            <w:pPr>
              <w:widowControl/>
              <w:spacing w:line="360" w:lineRule="auto"/>
              <w:ind w:firstLine="480" w:firstLineChars="200"/>
              <w:rPr>
                <w:color w:val="auto"/>
                <w:sz w:val="24"/>
              </w:rPr>
            </w:pPr>
            <w:r>
              <w:rPr>
                <w:color w:val="auto"/>
                <w:kern w:val="0"/>
                <w:sz w:val="24"/>
                <w:lang w:bidi="ar"/>
              </w:rPr>
              <w:t>（</w:t>
            </w:r>
            <w:r>
              <w:rPr>
                <w:rFonts w:hint="eastAsia"/>
                <w:color w:val="auto"/>
                <w:kern w:val="0"/>
                <w:sz w:val="24"/>
                <w:lang w:bidi="ar"/>
              </w:rPr>
              <w:t>3</w:t>
            </w:r>
            <w:r>
              <w:rPr>
                <w:color w:val="auto"/>
                <w:kern w:val="0"/>
                <w:sz w:val="24"/>
                <w:lang w:bidi="ar"/>
              </w:rPr>
              <w:t>）噪声</w:t>
            </w:r>
          </w:p>
          <w:p>
            <w:pPr>
              <w:widowControl/>
              <w:spacing w:line="360" w:lineRule="auto"/>
              <w:ind w:firstLine="480" w:firstLineChars="200"/>
              <w:rPr>
                <w:color w:val="auto"/>
                <w:sz w:val="24"/>
              </w:rPr>
            </w:pPr>
            <w:r>
              <w:rPr>
                <w:color w:val="auto"/>
                <w:kern w:val="0"/>
                <w:sz w:val="24"/>
                <w:lang w:bidi="ar"/>
              </w:rPr>
              <w:t>①工业企业厂界噪声监测点应在厂界外1m、高度1.2m以上的噪声敏感处；</w:t>
            </w:r>
          </w:p>
          <w:p>
            <w:pPr>
              <w:widowControl/>
              <w:spacing w:line="360" w:lineRule="auto"/>
              <w:ind w:firstLine="480" w:firstLineChars="200"/>
              <w:rPr>
                <w:color w:val="auto"/>
                <w:sz w:val="24"/>
              </w:rPr>
            </w:pPr>
            <w:r>
              <w:rPr>
                <w:color w:val="auto"/>
                <w:kern w:val="0"/>
                <w:sz w:val="24"/>
                <w:lang w:bidi="ar"/>
              </w:rPr>
              <w:t>②在固定噪声源对外界影响最大处设置监测点。</w:t>
            </w:r>
          </w:p>
          <w:p>
            <w:pPr>
              <w:widowControl/>
              <w:spacing w:line="360" w:lineRule="auto"/>
              <w:ind w:firstLine="480" w:firstLineChars="200"/>
              <w:rPr>
                <w:color w:val="auto"/>
                <w:sz w:val="24"/>
              </w:rPr>
            </w:pPr>
            <w:r>
              <w:rPr>
                <w:color w:val="auto"/>
                <w:kern w:val="0"/>
                <w:sz w:val="24"/>
                <w:lang w:bidi="ar"/>
              </w:rPr>
              <w:t>（3）固废</w:t>
            </w:r>
          </w:p>
          <w:p>
            <w:pPr>
              <w:widowControl/>
              <w:spacing w:line="360" w:lineRule="auto"/>
              <w:ind w:firstLine="480" w:firstLineChars="200"/>
              <w:rPr>
                <w:color w:val="auto"/>
                <w:sz w:val="24"/>
              </w:rPr>
            </w:pPr>
            <w:r>
              <w:rPr>
                <w:color w:val="auto"/>
                <w:kern w:val="0"/>
                <w:sz w:val="24"/>
                <w:lang w:bidi="ar"/>
              </w:rPr>
              <w:t>①一般固体废弃物应设置专用贮存、堆放场地。</w:t>
            </w:r>
          </w:p>
          <w:p>
            <w:pPr>
              <w:widowControl/>
              <w:spacing w:line="360" w:lineRule="auto"/>
              <w:ind w:firstLine="480" w:firstLineChars="200"/>
              <w:rPr>
                <w:color w:val="auto"/>
                <w:sz w:val="24"/>
              </w:rPr>
            </w:pPr>
            <w:r>
              <w:rPr>
                <w:color w:val="auto"/>
                <w:kern w:val="0"/>
                <w:sz w:val="24"/>
                <w:lang w:bidi="ar"/>
              </w:rPr>
              <w:t>②危险废物专用堆放场地必须有防扬散、防流失，防渗漏等防治措施，并按规范设置相应标志牌。</w:t>
            </w:r>
          </w:p>
          <w:p>
            <w:pPr>
              <w:widowControl/>
              <w:spacing w:line="360" w:lineRule="auto"/>
              <w:ind w:firstLine="480" w:firstLineChars="200"/>
              <w:rPr>
                <w:color w:val="auto"/>
                <w:sz w:val="24"/>
              </w:rPr>
            </w:pPr>
            <w:r>
              <w:rPr>
                <w:color w:val="auto"/>
                <w:kern w:val="0"/>
                <w:sz w:val="24"/>
                <w:lang w:bidi="ar"/>
              </w:rPr>
              <w:t>（4）排污口标志要求</w:t>
            </w:r>
          </w:p>
          <w:p>
            <w:pPr>
              <w:widowControl/>
              <w:spacing w:line="360" w:lineRule="auto"/>
              <w:ind w:firstLine="480" w:firstLineChars="200"/>
              <w:rPr>
                <w:color w:val="auto"/>
                <w:sz w:val="24"/>
              </w:rPr>
            </w:pPr>
            <w:r>
              <w:rPr>
                <w:color w:val="auto"/>
                <w:kern w:val="0"/>
                <w:sz w:val="24"/>
                <w:lang w:bidi="ar"/>
              </w:rPr>
              <w:t>排污口必须按照国家颁布的有关污染物强制性排放标准的要求，设置排污口标志牌，排污口标志牌是对排污单位排放污染物实施监测采样和监督管理的法定标志。标志牌设置应距污染物排污口（源）及固体废物贮存（处置）场或采样、监测点附近且醒目处，并能长久保留。可根据情况分别选择设置立式或平面固定式标志牌，在地面设置标志牌上缘距离地面2米。标志牌制作和规格参照《关于印发排污口标志牌技术规格的通知》（环办[2003]95号）执行。</w:t>
            </w:r>
          </w:p>
          <w:p>
            <w:pPr>
              <w:pStyle w:val="8"/>
              <w:ind w:firstLine="0"/>
              <w:rPr>
                <w:color w:val="auto"/>
              </w:rPr>
            </w:pPr>
          </w:p>
        </w:tc>
      </w:tr>
    </w:tbl>
    <w:p>
      <w:pPr>
        <w:pStyle w:val="19"/>
        <w:jc w:val="center"/>
        <w:outlineLvl w:val="0"/>
        <w:rPr>
          <w:rFonts w:ascii="黑体" w:hAnsi="黑体" w:eastAsia="黑体"/>
          <w:snapToGrid w:val="0"/>
          <w:color w:val="auto"/>
          <w:sz w:val="30"/>
          <w:szCs w:val="30"/>
        </w:rPr>
      </w:pPr>
      <w:r>
        <w:rPr>
          <w:snapToGrid w:val="0"/>
          <w:color w:val="auto"/>
        </w:rPr>
        <w:br w:type="page"/>
      </w:r>
      <w:r>
        <w:rPr>
          <w:rFonts w:hint="eastAsia" w:ascii="黑体" w:hAnsi="黑体" w:eastAsia="黑体"/>
          <w:snapToGrid w:val="0"/>
          <w:color w:val="auto"/>
          <w:sz w:val="30"/>
          <w:szCs w:val="30"/>
        </w:rPr>
        <w:t>六、结论</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pPr>
              <w:adjustRightInd w:val="0"/>
              <w:snapToGrid w:val="0"/>
              <w:spacing w:line="360" w:lineRule="auto"/>
              <w:rPr>
                <w:b/>
                <w:color w:val="auto"/>
                <w:sz w:val="24"/>
              </w:rPr>
            </w:pPr>
            <w:r>
              <w:rPr>
                <w:b/>
                <w:color w:val="auto"/>
                <w:sz w:val="24"/>
              </w:rPr>
              <w:t>综合结论</w:t>
            </w:r>
          </w:p>
          <w:p>
            <w:pPr>
              <w:tabs>
                <w:tab w:val="left" w:pos="873"/>
              </w:tabs>
              <w:spacing w:line="360" w:lineRule="auto"/>
              <w:ind w:firstLine="480" w:firstLineChars="200"/>
              <w:rPr>
                <w:rFonts w:ascii="宋体" w:cs="宋体"/>
                <w:color w:val="auto"/>
                <w:sz w:val="24"/>
              </w:rPr>
            </w:pPr>
            <w:r>
              <w:rPr>
                <w:rFonts w:hint="eastAsia" w:cs="宋体"/>
                <w:bCs/>
                <w:color w:val="auto"/>
                <w:sz w:val="24"/>
              </w:rPr>
              <w:t>本项目符合国家产业政策，符合城市总体规划，符合</w:t>
            </w:r>
            <w:r>
              <w:rPr>
                <w:rFonts w:hint="eastAsia"/>
                <w:color w:val="auto"/>
                <w:sz w:val="24"/>
              </w:rPr>
              <w:t>铜梁工业园</w:t>
            </w:r>
            <w:r>
              <w:rPr>
                <w:rFonts w:hint="eastAsia"/>
                <w:bCs/>
                <w:color w:val="auto"/>
                <w:sz w:val="24"/>
              </w:rPr>
              <w:t>产业</w:t>
            </w:r>
            <w:r>
              <w:rPr>
                <w:rFonts w:hint="eastAsia" w:cs="宋体"/>
                <w:bCs/>
                <w:color w:val="auto"/>
                <w:sz w:val="24"/>
              </w:rPr>
              <w:t>定位要求</w:t>
            </w:r>
            <w:r>
              <w:rPr>
                <w:rFonts w:hint="eastAsia" w:cs="宋体"/>
                <w:bCs/>
                <w:color w:val="auto"/>
                <w:spacing w:val="-6"/>
                <w:sz w:val="24"/>
              </w:rPr>
              <w:t>，</w:t>
            </w:r>
            <w:r>
              <w:rPr>
                <w:rFonts w:hint="eastAsia" w:cs="宋体"/>
                <w:bCs/>
                <w:color w:val="auto"/>
                <w:sz w:val="24"/>
              </w:rPr>
              <w:t>选址合理；外排污染物经有效治理措施治理后，能够做到达标排放，</w:t>
            </w:r>
            <w:r>
              <w:rPr>
                <w:bCs/>
                <w:color w:val="auto"/>
                <w:sz w:val="24"/>
              </w:rPr>
              <w:t>对周边环境影响在可接受范围内</w:t>
            </w:r>
            <w:r>
              <w:rPr>
                <w:rFonts w:hint="eastAsia" w:cs="宋体"/>
                <w:bCs/>
                <w:color w:val="auto"/>
                <w:sz w:val="24"/>
              </w:rPr>
              <w:t>，因此从环保角度来说，本评价认为“</w:t>
            </w:r>
            <w:r>
              <w:rPr>
                <w:rFonts w:hint="eastAsia"/>
                <w:color w:val="auto"/>
                <w:sz w:val="24"/>
              </w:rPr>
              <w:t>年产拉幅定型无纺布500吨、淋膜无纺布300吨扩建项目”</w:t>
            </w:r>
            <w:r>
              <w:rPr>
                <w:rFonts w:hint="eastAsia" w:cs="宋体"/>
                <w:bCs/>
                <w:color w:val="auto"/>
                <w:sz w:val="24"/>
              </w:rPr>
              <w:t>建设可行。</w:t>
            </w:r>
          </w:p>
        </w:tc>
      </w:tr>
    </w:tbl>
    <w:p>
      <w:pPr>
        <w:rPr>
          <w:rFonts w:ascii="宋体"/>
          <w:color w:val="auto"/>
        </w:rPr>
        <w:sectPr>
          <w:pgSz w:w="11905" w:h="16838"/>
          <w:pgMar w:top="1701" w:right="1531" w:bottom="2126" w:left="1531" w:header="851" w:footer="850" w:gutter="0"/>
          <w:pgBorders>
            <w:top w:val="none" w:sz="0" w:space="0"/>
            <w:left w:val="none" w:sz="0" w:space="0"/>
            <w:bottom w:val="none" w:sz="0" w:space="0"/>
            <w:right w:val="none" w:sz="0" w:space="0"/>
          </w:pgBorders>
          <w:cols w:space="0" w:num="1"/>
          <w:docGrid w:linePitch="312" w:charSpace="0"/>
        </w:sectPr>
      </w:pPr>
    </w:p>
    <w:p>
      <w:pPr>
        <w:pStyle w:val="19"/>
        <w:adjustRightInd w:val="0"/>
        <w:snapToGrid w:val="0"/>
        <w:spacing w:before="0" w:beforeAutospacing="0" w:after="0" w:afterAutospacing="0" w:line="360" w:lineRule="auto"/>
        <w:outlineLvl w:val="0"/>
        <w:rPr>
          <w:rFonts w:ascii="黑体" w:hAnsi="黑体" w:eastAsia="黑体"/>
          <w:snapToGrid w:val="0"/>
          <w:color w:val="auto"/>
          <w:sz w:val="32"/>
          <w:szCs w:val="32"/>
        </w:rPr>
      </w:pPr>
      <w:r>
        <w:rPr>
          <w:rFonts w:hint="eastAsia" w:ascii="黑体" w:hAnsi="黑体" w:eastAsia="黑体"/>
          <w:snapToGrid w:val="0"/>
          <w:color w:val="auto"/>
          <w:sz w:val="32"/>
          <w:szCs w:val="32"/>
        </w:rPr>
        <w:t>附表</w:t>
      </w:r>
    </w:p>
    <w:p>
      <w:pPr>
        <w:pStyle w:val="19"/>
        <w:adjustRightInd w:val="0"/>
        <w:snapToGrid w:val="0"/>
        <w:spacing w:before="0" w:beforeAutospacing="0" w:after="0" w:afterAutospacing="0" w:line="360" w:lineRule="auto"/>
        <w:jc w:val="center"/>
        <w:outlineLvl w:val="0"/>
        <w:rPr>
          <w:rFonts w:ascii="方正小标宋_GBK" w:hAnsi="黑体" w:eastAsia="方正小标宋_GBK"/>
          <w:snapToGrid w:val="0"/>
          <w:color w:val="auto"/>
          <w:sz w:val="38"/>
          <w:szCs w:val="38"/>
        </w:rPr>
      </w:pPr>
      <w:r>
        <w:rPr>
          <w:rFonts w:hint="eastAsia" w:ascii="方正小标宋_GBK" w:hAnsi="黑体" w:eastAsia="方正小标宋_GBK"/>
          <w:snapToGrid w:val="0"/>
          <w:color w:val="auto"/>
          <w:sz w:val="38"/>
          <w:szCs w:val="38"/>
        </w:rPr>
        <w:t>建设项目污染物排放量汇总表</w:t>
      </w:r>
    </w:p>
    <w:tbl>
      <w:tblPr>
        <w:tblStyle w:val="22"/>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33"/>
              <w:spacing w:beforeLines="0" w:afterLines="0" w:line="240" w:lineRule="auto"/>
              <w:jc w:val="right"/>
              <w:rPr>
                <w:rFonts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项目</w:t>
            </w:r>
          </w:p>
          <w:p>
            <w:pPr>
              <w:pStyle w:val="33"/>
              <w:spacing w:beforeLines="0" w:afterLines="0" w:line="240" w:lineRule="auto"/>
              <w:jc w:val="left"/>
              <w:rPr>
                <w:rFonts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分类</w:t>
            </w:r>
          </w:p>
        </w:tc>
        <w:tc>
          <w:tcPr>
            <w:tcW w:w="1417" w:type="dxa"/>
            <w:tcMar>
              <w:left w:w="28" w:type="dxa"/>
              <w:right w:w="28" w:type="dxa"/>
            </w:tcMar>
            <w:vAlign w:val="center"/>
          </w:tcPr>
          <w:p>
            <w:pPr>
              <w:pStyle w:val="33"/>
              <w:spacing w:beforeLines="0" w:afterLines="0" w:line="240" w:lineRule="auto"/>
              <w:rPr>
                <w:rFonts w:ascii="黑体" w:hAnsi="黑体" w:eastAsia="黑体" w:cs="宋体"/>
                <w:snapToGrid w:val="0"/>
                <w:color w:val="auto"/>
                <w:spacing w:val="-6"/>
                <w:kern w:val="21"/>
                <w:szCs w:val="21"/>
              </w:rPr>
            </w:pPr>
            <w:r>
              <w:rPr>
                <w:rFonts w:hint="eastAsia" w:ascii="黑体" w:hAnsi="黑体" w:eastAsia="黑体" w:cs="宋体"/>
                <w:snapToGrid w:val="0"/>
                <w:color w:val="auto"/>
                <w:spacing w:val="-6"/>
                <w:kern w:val="21"/>
                <w:szCs w:val="21"/>
              </w:rPr>
              <w:t>污染物名称</w:t>
            </w:r>
          </w:p>
        </w:tc>
        <w:tc>
          <w:tcPr>
            <w:tcW w:w="1701" w:type="dxa"/>
            <w:tcMar>
              <w:left w:w="28" w:type="dxa"/>
              <w:right w:w="28" w:type="dxa"/>
            </w:tcMar>
            <w:vAlign w:val="center"/>
          </w:tcPr>
          <w:p>
            <w:pPr>
              <w:pStyle w:val="33"/>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现有工程</w:t>
            </w:r>
          </w:p>
          <w:p>
            <w:pPr>
              <w:pStyle w:val="33"/>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1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szCs w:val="21"/>
              </w:rPr>
              <w:t>①</w:t>
            </w:r>
            <w:r>
              <w:rPr>
                <w:rFonts w:ascii="黑体" w:hAnsi="黑体" w:eastAsia="黑体"/>
                <w:snapToGrid w:val="0"/>
                <w:color w:val="auto"/>
                <w:spacing w:val="-6"/>
                <w:kern w:val="21"/>
                <w:szCs w:val="21"/>
              </w:rPr>
              <w:fldChar w:fldCharType="end"/>
            </w:r>
          </w:p>
        </w:tc>
        <w:tc>
          <w:tcPr>
            <w:tcW w:w="1276" w:type="dxa"/>
            <w:tcMar>
              <w:left w:w="28" w:type="dxa"/>
              <w:right w:w="28" w:type="dxa"/>
            </w:tcMar>
            <w:vAlign w:val="center"/>
          </w:tcPr>
          <w:p>
            <w:pPr>
              <w:pStyle w:val="33"/>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现有工程</w:t>
            </w:r>
          </w:p>
          <w:p>
            <w:pPr>
              <w:pStyle w:val="33"/>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许可排放量</w:t>
            </w:r>
          </w:p>
          <w:p>
            <w:pPr>
              <w:pStyle w:val="33"/>
              <w:spacing w:beforeLines="0" w:afterLines="0"/>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2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snapToGrid w:val="0"/>
                <w:color w:val="auto"/>
                <w:spacing w:val="-6"/>
                <w:kern w:val="21"/>
                <w:szCs w:val="21"/>
              </w:rPr>
              <w:t>②</w:t>
            </w:r>
            <w:r>
              <w:rPr>
                <w:rFonts w:ascii="黑体" w:hAnsi="黑体" w:eastAsia="黑体"/>
                <w:snapToGrid w:val="0"/>
                <w:color w:val="auto"/>
                <w:spacing w:val="-6"/>
                <w:kern w:val="21"/>
                <w:szCs w:val="21"/>
              </w:rPr>
              <w:fldChar w:fldCharType="end"/>
            </w:r>
          </w:p>
        </w:tc>
        <w:tc>
          <w:tcPr>
            <w:tcW w:w="1701" w:type="dxa"/>
            <w:tcMar>
              <w:left w:w="28" w:type="dxa"/>
              <w:right w:w="28" w:type="dxa"/>
            </w:tcMar>
            <w:vAlign w:val="center"/>
          </w:tcPr>
          <w:p>
            <w:pPr>
              <w:pStyle w:val="33"/>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在建工程</w:t>
            </w:r>
          </w:p>
          <w:p>
            <w:pPr>
              <w:pStyle w:val="33"/>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3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szCs w:val="21"/>
              </w:rPr>
              <w:t>③</w:t>
            </w:r>
            <w:r>
              <w:rPr>
                <w:rFonts w:ascii="黑体" w:hAnsi="黑体" w:eastAsia="黑体"/>
                <w:snapToGrid w:val="0"/>
                <w:color w:val="auto"/>
                <w:spacing w:val="-6"/>
                <w:kern w:val="21"/>
                <w:szCs w:val="21"/>
              </w:rPr>
              <w:fldChar w:fldCharType="end"/>
            </w:r>
          </w:p>
        </w:tc>
        <w:tc>
          <w:tcPr>
            <w:tcW w:w="1559" w:type="dxa"/>
            <w:tcMar>
              <w:left w:w="28" w:type="dxa"/>
              <w:right w:w="28" w:type="dxa"/>
            </w:tcMar>
            <w:vAlign w:val="center"/>
          </w:tcPr>
          <w:p>
            <w:pPr>
              <w:pStyle w:val="33"/>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本项目</w:t>
            </w:r>
          </w:p>
          <w:p>
            <w:pPr>
              <w:pStyle w:val="33"/>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排放量（固</w:t>
            </w:r>
            <w:r>
              <w:rPr>
                <w:rFonts w:hint="eastAsia" w:ascii="黑体" w:hAnsi="黑体" w:eastAsia="黑体"/>
                <w:snapToGrid w:val="0"/>
                <w:color w:val="auto"/>
                <w:spacing w:val="-6"/>
                <w:kern w:val="21"/>
                <w:szCs w:val="21"/>
              </w:rPr>
              <w:t>体</w:t>
            </w:r>
            <w:r>
              <w:rPr>
                <w:rFonts w:ascii="黑体" w:hAnsi="黑体" w:eastAsia="黑体"/>
                <w:snapToGrid w:val="0"/>
                <w:color w:val="auto"/>
                <w:spacing w:val="-6"/>
                <w:kern w:val="21"/>
                <w:szCs w:val="21"/>
              </w:rPr>
              <w:t>废</w:t>
            </w:r>
            <w:r>
              <w:rPr>
                <w:rFonts w:hint="eastAsia" w:ascii="黑体" w:hAnsi="黑体" w:eastAsia="黑体"/>
                <w:snapToGrid w:val="0"/>
                <w:color w:val="auto"/>
                <w:spacing w:val="-6"/>
                <w:kern w:val="21"/>
                <w:szCs w:val="21"/>
              </w:rPr>
              <w:t>物</w:t>
            </w:r>
            <w:r>
              <w:rPr>
                <w:rFonts w:ascii="黑体" w:hAnsi="黑体" w:eastAsia="黑体"/>
                <w:snapToGrid w:val="0"/>
                <w:color w:val="auto"/>
                <w:spacing w:val="-6"/>
                <w:kern w:val="21"/>
                <w:szCs w:val="21"/>
              </w:rPr>
              <w:t>产生量）</w:t>
            </w: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4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szCs w:val="21"/>
              </w:rPr>
              <w:t>④</w:t>
            </w:r>
            <w:r>
              <w:rPr>
                <w:rFonts w:ascii="黑体" w:hAnsi="黑体" w:eastAsia="黑体"/>
                <w:snapToGrid w:val="0"/>
                <w:color w:val="auto"/>
                <w:spacing w:val="-6"/>
                <w:kern w:val="21"/>
                <w:szCs w:val="21"/>
              </w:rPr>
              <w:fldChar w:fldCharType="end"/>
            </w:r>
          </w:p>
        </w:tc>
        <w:tc>
          <w:tcPr>
            <w:tcW w:w="1761" w:type="dxa"/>
            <w:tcMar>
              <w:left w:w="28" w:type="dxa"/>
              <w:right w:w="28" w:type="dxa"/>
            </w:tcMar>
            <w:vAlign w:val="center"/>
          </w:tcPr>
          <w:p>
            <w:pPr>
              <w:pStyle w:val="33"/>
              <w:spacing w:beforeLines="0" w:afterLines="0" w:line="240" w:lineRule="auto"/>
              <w:rPr>
                <w:rFonts w:ascii="黑体" w:hAnsi="黑体" w:eastAsia="黑体"/>
                <w:snapToGrid w:val="0"/>
                <w:color w:val="auto"/>
                <w:spacing w:val="-16"/>
                <w:kern w:val="21"/>
                <w:szCs w:val="21"/>
              </w:rPr>
            </w:pPr>
            <w:r>
              <w:rPr>
                <w:rFonts w:ascii="黑体" w:hAnsi="黑体" w:eastAsia="黑体"/>
                <w:snapToGrid w:val="0"/>
                <w:color w:val="auto"/>
                <w:spacing w:val="-16"/>
                <w:kern w:val="21"/>
                <w:szCs w:val="21"/>
              </w:rPr>
              <w:t>以新带老削减量</w:t>
            </w:r>
          </w:p>
          <w:p>
            <w:pPr>
              <w:pStyle w:val="33"/>
              <w:spacing w:beforeLines="0" w:afterLines="0" w:line="240" w:lineRule="auto"/>
              <w:rPr>
                <w:rFonts w:ascii="黑体" w:hAnsi="黑体" w:eastAsia="黑体"/>
                <w:snapToGrid w:val="0"/>
                <w:color w:val="auto"/>
                <w:spacing w:val="-16"/>
                <w:kern w:val="21"/>
                <w:szCs w:val="21"/>
              </w:rPr>
            </w:pPr>
            <w:r>
              <w:rPr>
                <w:rFonts w:ascii="黑体" w:hAnsi="黑体" w:eastAsia="黑体"/>
                <w:snapToGrid w:val="0"/>
                <w:color w:val="auto"/>
                <w:spacing w:val="-16"/>
                <w:kern w:val="21"/>
                <w:szCs w:val="21"/>
              </w:rPr>
              <w:t>（新建项目不填）</w:t>
            </w:r>
            <w:r>
              <w:rPr>
                <w:rFonts w:ascii="黑体" w:hAnsi="黑体" w:eastAsia="黑体"/>
                <w:snapToGrid w:val="0"/>
                <w:color w:val="auto"/>
                <w:spacing w:val="-16"/>
                <w:kern w:val="21"/>
                <w:szCs w:val="21"/>
              </w:rPr>
              <w:fldChar w:fldCharType="begin"/>
            </w:r>
            <w:r>
              <w:rPr>
                <w:rFonts w:ascii="黑体" w:hAnsi="黑体" w:eastAsia="黑体"/>
                <w:snapToGrid w:val="0"/>
                <w:color w:val="auto"/>
                <w:spacing w:val="-16"/>
                <w:kern w:val="21"/>
                <w:szCs w:val="21"/>
              </w:rPr>
              <w:instrText xml:space="preserve"> = 5 \* GB3 \* MERGEFORMAT </w:instrText>
            </w:r>
            <w:r>
              <w:rPr>
                <w:rFonts w:ascii="黑体" w:hAnsi="黑体" w:eastAsia="黑体"/>
                <w:snapToGrid w:val="0"/>
                <w:color w:val="auto"/>
                <w:spacing w:val="-16"/>
                <w:kern w:val="21"/>
                <w:szCs w:val="21"/>
              </w:rPr>
              <w:fldChar w:fldCharType="separate"/>
            </w:r>
            <w:r>
              <w:rPr>
                <w:rFonts w:hint="eastAsia" w:ascii="黑体" w:hAnsi="黑体" w:eastAsia="黑体" w:cs="宋体"/>
                <w:color w:val="auto"/>
                <w:szCs w:val="21"/>
              </w:rPr>
              <w:t>⑤</w:t>
            </w:r>
            <w:r>
              <w:rPr>
                <w:rFonts w:ascii="黑体" w:hAnsi="黑体" w:eastAsia="黑体"/>
                <w:snapToGrid w:val="0"/>
                <w:color w:val="auto"/>
                <w:spacing w:val="-16"/>
                <w:kern w:val="21"/>
                <w:szCs w:val="21"/>
              </w:rPr>
              <w:fldChar w:fldCharType="end"/>
            </w:r>
          </w:p>
        </w:tc>
        <w:tc>
          <w:tcPr>
            <w:tcW w:w="1959" w:type="dxa"/>
            <w:tcMar>
              <w:left w:w="28" w:type="dxa"/>
              <w:right w:w="28" w:type="dxa"/>
            </w:tcMar>
            <w:vAlign w:val="center"/>
          </w:tcPr>
          <w:p>
            <w:pPr>
              <w:pStyle w:val="33"/>
              <w:spacing w:beforeLines="0" w:afterLines="0" w:line="240" w:lineRule="auto"/>
              <w:rPr>
                <w:rFonts w:ascii="黑体" w:hAnsi="黑体" w:eastAsia="黑体"/>
                <w:snapToGrid w:val="0"/>
                <w:color w:val="auto"/>
                <w:spacing w:val="-16"/>
                <w:kern w:val="21"/>
                <w:szCs w:val="21"/>
              </w:rPr>
            </w:pPr>
            <w:r>
              <w:rPr>
                <w:rFonts w:ascii="黑体" w:hAnsi="黑体" w:eastAsia="黑体"/>
                <w:snapToGrid w:val="0"/>
                <w:color w:val="auto"/>
                <w:spacing w:val="-16"/>
                <w:kern w:val="21"/>
                <w:szCs w:val="21"/>
              </w:rPr>
              <w:t>本项目建成后</w:t>
            </w:r>
          </w:p>
          <w:p>
            <w:pPr>
              <w:pStyle w:val="33"/>
              <w:spacing w:beforeLines="0" w:afterLines="0" w:line="240" w:lineRule="auto"/>
              <w:rPr>
                <w:rFonts w:ascii="黑体" w:hAnsi="黑体" w:eastAsia="黑体"/>
                <w:snapToGrid w:val="0"/>
                <w:color w:val="auto"/>
                <w:spacing w:val="-16"/>
                <w:kern w:val="21"/>
                <w:szCs w:val="21"/>
              </w:rPr>
            </w:pPr>
            <w:r>
              <w:rPr>
                <w:rFonts w:hint="eastAsia" w:ascii="黑体" w:hAnsi="黑体" w:eastAsia="黑体"/>
                <w:snapToGrid w:val="0"/>
                <w:color w:val="auto"/>
                <w:spacing w:val="-16"/>
                <w:kern w:val="21"/>
                <w:szCs w:val="21"/>
              </w:rPr>
              <w:t>全厂</w:t>
            </w:r>
            <w:r>
              <w:rPr>
                <w:rFonts w:ascii="黑体" w:hAnsi="黑体" w:eastAsia="黑体"/>
                <w:snapToGrid w:val="0"/>
                <w:color w:val="auto"/>
                <w:spacing w:val="-16"/>
                <w:kern w:val="21"/>
                <w:szCs w:val="21"/>
              </w:rPr>
              <w:t>排放量（固</w:t>
            </w:r>
            <w:r>
              <w:rPr>
                <w:rFonts w:hint="eastAsia" w:ascii="黑体" w:hAnsi="黑体" w:eastAsia="黑体"/>
                <w:snapToGrid w:val="0"/>
                <w:color w:val="auto"/>
                <w:spacing w:val="-16"/>
                <w:kern w:val="21"/>
                <w:szCs w:val="21"/>
              </w:rPr>
              <w:t>体</w:t>
            </w:r>
            <w:r>
              <w:rPr>
                <w:rFonts w:ascii="黑体" w:hAnsi="黑体" w:eastAsia="黑体"/>
                <w:snapToGrid w:val="0"/>
                <w:color w:val="auto"/>
                <w:spacing w:val="-16"/>
                <w:kern w:val="21"/>
                <w:szCs w:val="21"/>
              </w:rPr>
              <w:t>废</w:t>
            </w:r>
            <w:r>
              <w:rPr>
                <w:rFonts w:hint="eastAsia" w:ascii="黑体" w:hAnsi="黑体" w:eastAsia="黑体"/>
                <w:snapToGrid w:val="0"/>
                <w:color w:val="auto"/>
                <w:spacing w:val="-16"/>
                <w:kern w:val="21"/>
                <w:szCs w:val="21"/>
              </w:rPr>
              <w:t>物</w:t>
            </w:r>
            <w:r>
              <w:rPr>
                <w:rFonts w:ascii="黑体" w:hAnsi="黑体" w:eastAsia="黑体"/>
                <w:snapToGrid w:val="0"/>
                <w:color w:val="auto"/>
                <w:spacing w:val="-16"/>
                <w:kern w:val="21"/>
                <w:szCs w:val="21"/>
              </w:rPr>
              <w:t>产生量）</w:t>
            </w:r>
            <w:r>
              <w:rPr>
                <w:rFonts w:ascii="黑体" w:hAnsi="黑体" w:eastAsia="黑体"/>
                <w:snapToGrid w:val="0"/>
                <w:color w:val="auto"/>
                <w:spacing w:val="-16"/>
                <w:kern w:val="21"/>
                <w:szCs w:val="21"/>
              </w:rPr>
              <w:fldChar w:fldCharType="begin"/>
            </w:r>
            <w:r>
              <w:rPr>
                <w:rFonts w:ascii="黑体" w:hAnsi="黑体" w:eastAsia="黑体"/>
                <w:snapToGrid w:val="0"/>
                <w:color w:val="auto"/>
                <w:spacing w:val="-16"/>
                <w:kern w:val="21"/>
                <w:szCs w:val="21"/>
              </w:rPr>
              <w:instrText xml:space="preserve"> = 6 \* GB3 \* MERGEFORMAT </w:instrText>
            </w:r>
            <w:r>
              <w:rPr>
                <w:rFonts w:ascii="黑体" w:hAnsi="黑体" w:eastAsia="黑体"/>
                <w:snapToGrid w:val="0"/>
                <w:color w:val="auto"/>
                <w:spacing w:val="-16"/>
                <w:kern w:val="21"/>
                <w:szCs w:val="21"/>
              </w:rPr>
              <w:fldChar w:fldCharType="separate"/>
            </w:r>
            <w:r>
              <w:rPr>
                <w:rFonts w:hint="eastAsia" w:ascii="黑体" w:hAnsi="黑体" w:eastAsia="黑体" w:cs="宋体"/>
                <w:color w:val="auto"/>
                <w:szCs w:val="21"/>
              </w:rPr>
              <w:t>⑥</w:t>
            </w:r>
            <w:r>
              <w:rPr>
                <w:rFonts w:ascii="黑体" w:hAnsi="黑体" w:eastAsia="黑体"/>
                <w:snapToGrid w:val="0"/>
                <w:color w:val="auto"/>
                <w:spacing w:val="-16"/>
                <w:kern w:val="21"/>
                <w:szCs w:val="21"/>
              </w:rPr>
              <w:fldChar w:fldCharType="end"/>
            </w:r>
          </w:p>
        </w:tc>
        <w:tc>
          <w:tcPr>
            <w:tcW w:w="826" w:type="dxa"/>
            <w:tcMar>
              <w:left w:w="28" w:type="dxa"/>
              <w:right w:w="28" w:type="dxa"/>
            </w:tcMar>
            <w:vAlign w:val="center"/>
          </w:tcPr>
          <w:p>
            <w:pPr>
              <w:pStyle w:val="33"/>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t>变化量</w:t>
            </w:r>
          </w:p>
          <w:p>
            <w:pPr>
              <w:pStyle w:val="33"/>
              <w:spacing w:beforeLines="0" w:afterLines="0" w:line="240" w:lineRule="auto"/>
              <w:rPr>
                <w:rFonts w:ascii="黑体" w:hAnsi="黑体" w:eastAsia="黑体"/>
                <w:snapToGrid w:val="0"/>
                <w:color w:val="auto"/>
                <w:spacing w:val="-6"/>
                <w:kern w:val="21"/>
                <w:szCs w:val="21"/>
              </w:rPr>
            </w:pPr>
            <w:r>
              <w:rPr>
                <w:rFonts w:ascii="黑体" w:hAnsi="黑体" w:eastAsia="黑体"/>
                <w:snapToGrid w:val="0"/>
                <w:color w:val="auto"/>
                <w:spacing w:val="-6"/>
                <w:kern w:val="21"/>
                <w:szCs w:val="21"/>
              </w:rPr>
              <w:fldChar w:fldCharType="begin"/>
            </w:r>
            <w:r>
              <w:rPr>
                <w:rFonts w:ascii="黑体" w:hAnsi="黑体" w:eastAsia="黑体"/>
                <w:snapToGrid w:val="0"/>
                <w:color w:val="auto"/>
                <w:spacing w:val="-6"/>
                <w:kern w:val="21"/>
                <w:szCs w:val="21"/>
              </w:rPr>
              <w:instrText xml:space="preserve"> = 7 \* GB3 \* MERGEFORMAT </w:instrText>
            </w:r>
            <w:r>
              <w:rPr>
                <w:rFonts w:ascii="黑体" w:hAnsi="黑体" w:eastAsia="黑体"/>
                <w:snapToGrid w:val="0"/>
                <w:color w:val="auto"/>
                <w:spacing w:val="-6"/>
                <w:kern w:val="21"/>
                <w:szCs w:val="21"/>
              </w:rPr>
              <w:fldChar w:fldCharType="separate"/>
            </w:r>
            <w:r>
              <w:rPr>
                <w:rFonts w:hint="eastAsia" w:ascii="黑体" w:hAnsi="黑体" w:eastAsia="黑体" w:cs="宋体"/>
                <w:color w:val="auto"/>
                <w:szCs w:val="21"/>
              </w:rPr>
              <w:t>⑦</w:t>
            </w:r>
            <w:r>
              <w:rPr>
                <w:rFonts w:ascii="黑体" w:hAnsi="黑体" w:eastAsia="黑体"/>
                <w:snapToGrid w:val="0"/>
                <w:color w:val="auto"/>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废气</w:t>
            </w:r>
          </w:p>
        </w:tc>
        <w:tc>
          <w:tcPr>
            <w:tcW w:w="1417" w:type="dxa"/>
            <w:vAlign w:val="center"/>
          </w:tcPr>
          <w:p>
            <w:pPr>
              <w:pStyle w:val="33"/>
              <w:spacing w:beforeLines="0" w:afterLines="0" w:line="240" w:lineRule="auto"/>
              <w:rPr>
                <w:rFonts w:ascii="Times New Roman" w:hAnsi="Times New Roman" w:cs="Times New Roman"/>
                <w:snapToGrid w:val="0"/>
                <w:color w:val="auto"/>
                <w:kern w:val="21"/>
                <w:szCs w:val="21"/>
              </w:rPr>
            </w:pPr>
            <w:r>
              <w:rPr>
                <w:rFonts w:ascii="Times New Roman" w:hAnsi="Times New Roman" w:cs="Times New Roman"/>
                <w:snapToGrid w:val="0"/>
                <w:color w:val="auto"/>
                <w:kern w:val="21"/>
                <w:szCs w:val="21"/>
              </w:rPr>
              <w:t>非甲烷总烃</w:t>
            </w:r>
          </w:p>
        </w:tc>
        <w:tc>
          <w:tcPr>
            <w:tcW w:w="1701" w:type="dxa"/>
            <w:vAlign w:val="center"/>
          </w:tcPr>
          <w:p>
            <w:pPr>
              <w:jc w:val="center"/>
              <w:rPr>
                <w:color w:val="auto"/>
              </w:rPr>
            </w:pPr>
            <w:r>
              <w:rPr>
                <w:rFonts w:hint="eastAsia"/>
                <w:color w:val="auto"/>
                <w:lang w:val="en-US" w:eastAsia="zh-CN"/>
              </w:rPr>
              <w:t>0.126</w:t>
            </w:r>
            <w:r>
              <w:rPr>
                <w:rFonts w:hint="eastAsia"/>
                <w:color w:val="auto"/>
              </w:rPr>
              <w:t>t/a</w:t>
            </w:r>
          </w:p>
        </w:tc>
        <w:tc>
          <w:tcPr>
            <w:tcW w:w="1276"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701"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559" w:type="dxa"/>
            <w:vAlign w:val="center"/>
          </w:tcPr>
          <w:p>
            <w:pPr>
              <w:widowControl/>
              <w:jc w:val="center"/>
              <w:textAlignment w:val="center"/>
              <w:rPr>
                <w:snapToGrid w:val="0"/>
                <w:color w:val="auto"/>
                <w:kern w:val="21"/>
                <w:szCs w:val="21"/>
              </w:rPr>
            </w:pPr>
            <w:r>
              <w:rPr>
                <w:color w:val="auto"/>
                <w:kern w:val="0"/>
                <w:szCs w:val="21"/>
                <w:lang w:bidi="ar"/>
              </w:rPr>
              <w:t>0.</w:t>
            </w:r>
            <w:r>
              <w:rPr>
                <w:rFonts w:hint="eastAsia"/>
                <w:color w:val="auto"/>
                <w:kern w:val="0"/>
                <w:szCs w:val="21"/>
                <w:lang w:val="en-US" w:eastAsia="zh-CN" w:bidi="ar"/>
              </w:rPr>
              <w:t>307</w:t>
            </w:r>
            <w:r>
              <w:rPr>
                <w:color w:val="auto"/>
                <w:kern w:val="0"/>
                <w:szCs w:val="21"/>
                <w:lang w:bidi="ar"/>
              </w:rPr>
              <w:t>t/a</w:t>
            </w:r>
          </w:p>
        </w:tc>
        <w:tc>
          <w:tcPr>
            <w:tcW w:w="1761" w:type="dxa"/>
            <w:vAlign w:val="center"/>
          </w:tcPr>
          <w:p>
            <w:pPr>
              <w:pStyle w:val="33"/>
              <w:spacing w:beforeLines="0" w:afterLines="0" w:line="240" w:lineRule="auto"/>
              <w:rPr>
                <w:rFonts w:ascii="Times New Roman" w:hAnsi="Times New Roman" w:cs="Times New Roman"/>
                <w:snapToGrid w:val="0"/>
                <w:color w:val="auto"/>
                <w:kern w:val="21"/>
                <w:szCs w:val="21"/>
              </w:rPr>
            </w:pPr>
            <w:r>
              <w:rPr>
                <w:rFonts w:ascii="Times New Roman" w:hAnsi="Times New Roman" w:cs="Times New Roman"/>
                <w:snapToGrid w:val="0"/>
                <w:color w:val="auto"/>
                <w:kern w:val="21"/>
                <w:szCs w:val="21"/>
              </w:rPr>
              <w:t>/</w:t>
            </w:r>
          </w:p>
        </w:tc>
        <w:tc>
          <w:tcPr>
            <w:tcW w:w="1959" w:type="dxa"/>
            <w:vAlign w:val="center"/>
          </w:tcPr>
          <w:p>
            <w:pPr>
              <w:widowControl/>
              <w:jc w:val="center"/>
              <w:textAlignment w:val="center"/>
              <w:rPr>
                <w:snapToGrid w:val="0"/>
                <w:color w:val="auto"/>
                <w:kern w:val="21"/>
                <w:szCs w:val="21"/>
              </w:rPr>
            </w:pPr>
            <w:r>
              <w:rPr>
                <w:color w:val="auto"/>
                <w:kern w:val="0"/>
                <w:szCs w:val="21"/>
                <w:lang w:bidi="ar"/>
              </w:rPr>
              <w:t>0.</w:t>
            </w:r>
            <w:r>
              <w:rPr>
                <w:rFonts w:hint="eastAsia"/>
                <w:color w:val="auto"/>
                <w:kern w:val="0"/>
                <w:szCs w:val="21"/>
                <w:lang w:val="en-US" w:eastAsia="zh-CN" w:bidi="ar"/>
              </w:rPr>
              <w:t>443</w:t>
            </w:r>
            <w:r>
              <w:rPr>
                <w:rFonts w:hint="eastAsia"/>
                <w:color w:val="auto"/>
                <w:kern w:val="0"/>
                <w:szCs w:val="21"/>
                <w:lang w:bidi="ar"/>
              </w:rPr>
              <w:t>t/a</w:t>
            </w:r>
          </w:p>
        </w:tc>
        <w:tc>
          <w:tcPr>
            <w:tcW w:w="826" w:type="dxa"/>
            <w:vAlign w:val="center"/>
          </w:tcPr>
          <w:p>
            <w:pPr>
              <w:widowControl/>
              <w:jc w:val="center"/>
              <w:textAlignment w:val="center"/>
              <w:rPr>
                <w:snapToGrid w:val="0"/>
                <w:color w:val="auto"/>
                <w:kern w:val="21"/>
                <w:szCs w:val="21"/>
              </w:rPr>
            </w:pPr>
            <w:r>
              <w:rPr>
                <w:rFonts w:hint="eastAsia"/>
                <w:color w:val="auto"/>
                <w:kern w:val="0"/>
                <w:szCs w:val="21"/>
                <w:lang w:bidi="ar"/>
              </w:rPr>
              <w:t>+</w:t>
            </w:r>
            <w:r>
              <w:rPr>
                <w:color w:val="auto"/>
                <w:kern w:val="0"/>
                <w:szCs w:val="21"/>
                <w:lang w:bidi="ar"/>
              </w:rPr>
              <w:t>0.</w:t>
            </w:r>
            <w:r>
              <w:rPr>
                <w:rFonts w:hint="eastAsia"/>
                <w:color w:val="auto"/>
                <w:kern w:val="0"/>
                <w:szCs w:val="21"/>
                <w:lang w:val="en-US" w:eastAsia="zh-CN" w:bidi="ar"/>
              </w:rPr>
              <w:t>307</w:t>
            </w:r>
            <w:r>
              <w:rPr>
                <w:rFonts w:hint="eastAsia"/>
                <w:color w:val="auto"/>
                <w:kern w:val="0"/>
                <w:szCs w:val="21"/>
                <w:lang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3"/>
              <w:spacing w:beforeLines="0" w:afterLines="0" w:line="240" w:lineRule="auto"/>
              <w:rPr>
                <w:rFonts w:hAnsi="宋体" w:cs="宋体"/>
                <w:snapToGrid w:val="0"/>
                <w:color w:val="auto"/>
                <w:kern w:val="21"/>
                <w:szCs w:val="21"/>
              </w:rPr>
            </w:pPr>
          </w:p>
        </w:tc>
        <w:tc>
          <w:tcPr>
            <w:tcW w:w="1417" w:type="dxa"/>
            <w:vAlign w:val="center"/>
          </w:tcPr>
          <w:p>
            <w:pPr>
              <w:pStyle w:val="33"/>
              <w:spacing w:beforeLines="0" w:afterLines="0" w:line="240" w:lineRule="auto"/>
              <w:rPr>
                <w:rFonts w:ascii="Times New Roman" w:hAnsi="Times New Roman" w:cs="Times New Roman"/>
                <w:snapToGrid w:val="0"/>
                <w:color w:val="auto"/>
                <w:kern w:val="21"/>
                <w:szCs w:val="21"/>
              </w:rPr>
            </w:pPr>
            <w:r>
              <w:rPr>
                <w:rFonts w:ascii="Times New Roman" w:hAnsi="Times New Roman" w:cs="Times New Roman"/>
                <w:snapToGrid w:val="0"/>
                <w:color w:val="auto"/>
                <w:kern w:val="21"/>
                <w:szCs w:val="21"/>
              </w:rPr>
              <w:t>SO</w:t>
            </w:r>
            <w:r>
              <w:rPr>
                <w:rFonts w:ascii="Times New Roman" w:hAnsi="Times New Roman" w:cs="Times New Roman"/>
                <w:snapToGrid w:val="0"/>
                <w:color w:val="auto"/>
                <w:kern w:val="21"/>
                <w:szCs w:val="21"/>
                <w:vertAlign w:val="subscript"/>
              </w:rPr>
              <w:t>2</w:t>
            </w:r>
          </w:p>
        </w:tc>
        <w:tc>
          <w:tcPr>
            <w:tcW w:w="1701" w:type="dxa"/>
            <w:vAlign w:val="center"/>
          </w:tcPr>
          <w:p>
            <w:pPr>
              <w:pStyle w:val="33"/>
              <w:spacing w:beforeLines="0" w:afterLines="0" w:line="240" w:lineRule="auto"/>
              <w:rPr>
                <w:rFonts w:ascii="Times New Roman" w:hAnsi="Times New Roman" w:cs="Times New Roman"/>
                <w:snapToGrid w:val="0"/>
                <w:color w:val="auto"/>
                <w:kern w:val="21"/>
                <w:szCs w:val="21"/>
              </w:rPr>
            </w:pPr>
            <w:r>
              <w:rPr>
                <w:rFonts w:hint="eastAsia" w:ascii="Times New Roman" w:hAnsi="Times New Roman" w:cs="Times New Roman"/>
                <w:snapToGrid w:val="0"/>
                <w:color w:val="auto"/>
                <w:kern w:val="21"/>
                <w:szCs w:val="21"/>
              </w:rPr>
              <w:t>0t/a</w:t>
            </w:r>
          </w:p>
        </w:tc>
        <w:tc>
          <w:tcPr>
            <w:tcW w:w="1276"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701"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559" w:type="dxa"/>
            <w:vAlign w:val="center"/>
          </w:tcPr>
          <w:p>
            <w:pPr>
              <w:widowControl/>
              <w:jc w:val="center"/>
              <w:textAlignment w:val="center"/>
              <w:rPr>
                <w:snapToGrid w:val="0"/>
                <w:color w:val="auto"/>
                <w:kern w:val="21"/>
                <w:szCs w:val="21"/>
              </w:rPr>
            </w:pPr>
            <w:r>
              <w:rPr>
                <w:color w:val="auto"/>
                <w:kern w:val="0"/>
                <w:szCs w:val="21"/>
                <w:lang w:bidi="ar"/>
              </w:rPr>
              <w:t>0.044t/a</w:t>
            </w:r>
          </w:p>
        </w:tc>
        <w:tc>
          <w:tcPr>
            <w:tcW w:w="1761" w:type="dxa"/>
            <w:vAlign w:val="center"/>
          </w:tcPr>
          <w:p>
            <w:pPr>
              <w:pStyle w:val="33"/>
              <w:spacing w:beforeLines="0" w:afterLines="0" w:line="240" w:lineRule="auto"/>
              <w:rPr>
                <w:rFonts w:ascii="Times New Roman" w:hAnsi="Times New Roman" w:cs="Times New Roman"/>
                <w:snapToGrid w:val="0"/>
                <w:color w:val="auto"/>
                <w:kern w:val="21"/>
                <w:szCs w:val="21"/>
              </w:rPr>
            </w:pPr>
            <w:r>
              <w:rPr>
                <w:rFonts w:ascii="Times New Roman" w:hAnsi="Times New Roman" w:cs="Times New Roman"/>
                <w:snapToGrid w:val="0"/>
                <w:color w:val="auto"/>
                <w:kern w:val="21"/>
                <w:szCs w:val="21"/>
              </w:rPr>
              <w:t>/</w:t>
            </w:r>
          </w:p>
        </w:tc>
        <w:tc>
          <w:tcPr>
            <w:tcW w:w="1959" w:type="dxa"/>
            <w:vAlign w:val="center"/>
          </w:tcPr>
          <w:p>
            <w:pPr>
              <w:widowControl/>
              <w:jc w:val="center"/>
              <w:textAlignment w:val="center"/>
              <w:rPr>
                <w:snapToGrid w:val="0"/>
                <w:color w:val="auto"/>
                <w:kern w:val="21"/>
                <w:szCs w:val="21"/>
              </w:rPr>
            </w:pPr>
            <w:r>
              <w:rPr>
                <w:color w:val="auto"/>
                <w:kern w:val="0"/>
                <w:szCs w:val="21"/>
                <w:lang w:bidi="ar"/>
              </w:rPr>
              <w:t>0.0440</w:t>
            </w:r>
            <w:r>
              <w:rPr>
                <w:rFonts w:hint="eastAsia"/>
                <w:color w:val="auto"/>
                <w:kern w:val="0"/>
                <w:szCs w:val="21"/>
                <w:lang w:bidi="ar"/>
              </w:rPr>
              <w:t>t/a</w:t>
            </w:r>
          </w:p>
        </w:tc>
        <w:tc>
          <w:tcPr>
            <w:tcW w:w="826" w:type="dxa"/>
            <w:vAlign w:val="center"/>
          </w:tcPr>
          <w:p>
            <w:pPr>
              <w:widowControl/>
              <w:jc w:val="center"/>
              <w:textAlignment w:val="center"/>
              <w:rPr>
                <w:snapToGrid w:val="0"/>
                <w:color w:val="auto"/>
                <w:kern w:val="21"/>
                <w:szCs w:val="21"/>
              </w:rPr>
            </w:pPr>
            <w:r>
              <w:rPr>
                <w:rFonts w:hint="eastAsia"/>
                <w:color w:val="auto"/>
                <w:kern w:val="0"/>
                <w:szCs w:val="21"/>
                <w:lang w:bidi="ar"/>
              </w:rPr>
              <w:t>+</w:t>
            </w:r>
            <w:r>
              <w:rPr>
                <w:color w:val="auto"/>
                <w:kern w:val="0"/>
                <w:szCs w:val="21"/>
                <w:lang w:bidi="ar"/>
              </w:rPr>
              <w:t>0.044</w:t>
            </w:r>
            <w:r>
              <w:rPr>
                <w:rFonts w:hint="eastAsia"/>
                <w:color w:val="auto"/>
                <w:kern w:val="0"/>
                <w:szCs w:val="21"/>
                <w:lang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3"/>
              <w:spacing w:beforeLines="0" w:afterLines="0" w:line="240" w:lineRule="auto"/>
              <w:rPr>
                <w:rFonts w:hAnsi="宋体" w:cs="宋体"/>
                <w:snapToGrid w:val="0"/>
                <w:color w:val="auto"/>
                <w:kern w:val="21"/>
                <w:szCs w:val="21"/>
              </w:rPr>
            </w:pPr>
          </w:p>
        </w:tc>
        <w:tc>
          <w:tcPr>
            <w:tcW w:w="1417" w:type="dxa"/>
            <w:vAlign w:val="center"/>
          </w:tcPr>
          <w:p>
            <w:pPr>
              <w:pStyle w:val="33"/>
              <w:spacing w:beforeLines="0" w:afterLines="0" w:line="240" w:lineRule="auto"/>
              <w:rPr>
                <w:rFonts w:ascii="Times New Roman" w:hAnsi="Times New Roman" w:cs="Times New Roman"/>
                <w:snapToGrid w:val="0"/>
                <w:color w:val="auto"/>
                <w:kern w:val="21"/>
                <w:szCs w:val="21"/>
              </w:rPr>
            </w:pPr>
            <w:r>
              <w:rPr>
                <w:rFonts w:ascii="Times New Roman" w:hAnsi="Times New Roman" w:cs="Times New Roman"/>
                <w:snapToGrid w:val="0"/>
                <w:color w:val="auto"/>
                <w:kern w:val="21"/>
                <w:szCs w:val="21"/>
              </w:rPr>
              <w:t>NO</w:t>
            </w:r>
            <w:r>
              <w:rPr>
                <w:rFonts w:ascii="Times New Roman" w:hAnsi="Times New Roman" w:cs="Times New Roman"/>
                <w:snapToGrid w:val="0"/>
                <w:color w:val="auto"/>
                <w:kern w:val="21"/>
                <w:szCs w:val="21"/>
                <w:vertAlign w:val="subscript"/>
              </w:rPr>
              <w:t>X</w:t>
            </w:r>
          </w:p>
        </w:tc>
        <w:tc>
          <w:tcPr>
            <w:tcW w:w="1701" w:type="dxa"/>
            <w:vAlign w:val="center"/>
          </w:tcPr>
          <w:p>
            <w:pPr>
              <w:pStyle w:val="33"/>
              <w:spacing w:beforeLines="0" w:afterLines="0" w:line="240" w:lineRule="auto"/>
              <w:rPr>
                <w:rFonts w:ascii="Times New Roman" w:hAnsi="Times New Roman" w:cs="Times New Roman"/>
                <w:snapToGrid w:val="0"/>
                <w:color w:val="auto"/>
                <w:kern w:val="21"/>
                <w:szCs w:val="21"/>
              </w:rPr>
            </w:pPr>
            <w:r>
              <w:rPr>
                <w:rFonts w:hint="eastAsia" w:ascii="Times New Roman" w:hAnsi="Times New Roman" w:cs="Times New Roman"/>
                <w:snapToGrid w:val="0"/>
                <w:color w:val="auto"/>
                <w:kern w:val="21"/>
                <w:szCs w:val="21"/>
              </w:rPr>
              <w:t>0t/a</w:t>
            </w:r>
          </w:p>
        </w:tc>
        <w:tc>
          <w:tcPr>
            <w:tcW w:w="1276"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701"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559" w:type="dxa"/>
            <w:vAlign w:val="center"/>
          </w:tcPr>
          <w:p>
            <w:pPr>
              <w:widowControl/>
              <w:jc w:val="center"/>
              <w:textAlignment w:val="center"/>
              <w:rPr>
                <w:snapToGrid w:val="0"/>
                <w:color w:val="auto"/>
                <w:kern w:val="21"/>
                <w:szCs w:val="21"/>
              </w:rPr>
            </w:pPr>
            <w:r>
              <w:rPr>
                <w:color w:val="auto"/>
                <w:kern w:val="0"/>
                <w:szCs w:val="21"/>
                <w:lang w:bidi="ar"/>
              </w:rPr>
              <w:t>0.408t/a</w:t>
            </w:r>
          </w:p>
        </w:tc>
        <w:tc>
          <w:tcPr>
            <w:tcW w:w="1761" w:type="dxa"/>
            <w:vAlign w:val="center"/>
          </w:tcPr>
          <w:p>
            <w:pPr>
              <w:pStyle w:val="33"/>
              <w:spacing w:beforeLines="0" w:afterLines="0" w:line="240" w:lineRule="auto"/>
              <w:rPr>
                <w:rFonts w:ascii="Times New Roman" w:hAnsi="Times New Roman" w:cs="Times New Roman"/>
                <w:snapToGrid w:val="0"/>
                <w:color w:val="auto"/>
                <w:kern w:val="21"/>
                <w:szCs w:val="21"/>
              </w:rPr>
            </w:pPr>
            <w:r>
              <w:rPr>
                <w:rFonts w:ascii="Times New Roman" w:hAnsi="Times New Roman" w:cs="Times New Roman"/>
                <w:snapToGrid w:val="0"/>
                <w:color w:val="auto"/>
                <w:kern w:val="21"/>
                <w:szCs w:val="21"/>
              </w:rPr>
              <w:t>/</w:t>
            </w:r>
          </w:p>
        </w:tc>
        <w:tc>
          <w:tcPr>
            <w:tcW w:w="1959" w:type="dxa"/>
            <w:vAlign w:val="center"/>
          </w:tcPr>
          <w:p>
            <w:pPr>
              <w:widowControl/>
              <w:jc w:val="center"/>
              <w:textAlignment w:val="center"/>
              <w:rPr>
                <w:snapToGrid w:val="0"/>
                <w:color w:val="auto"/>
                <w:kern w:val="21"/>
                <w:szCs w:val="21"/>
              </w:rPr>
            </w:pPr>
            <w:r>
              <w:rPr>
                <w:color w:val="auto"/>
                <w:kern w:val="0"/>
                <w:szCs w:val="21"/>
                <w:lang w:bidi="ar"/>
              </w:rPr>
              <w:t>0.4080</w:t>
            </w:r>
            <w:r>
              <w:rPr>
                <w:rFonts w:hint="eastAsia"/>
                <w:color w:val="auto"/>
                <w:kern w:val="0"/>
                <w:szCs w:val="21"/>
                <w:lang w:bidi="ar"/>
              </w:rPr>
              <w:t>t/a</w:t>
            </w:r>
          </w:p>
        </w:tc>
        <w:tc>
          <w:tcPr>
            <w:tcW w:w="826" w:type="dxa"/>
            <w:vAlign w:val="center"/>
          </w:tcPr>
          <w:p>
            <w:pPr>
              <w:widowControl/>
              <w:jc w:val="center"/>
              <w:textAlignment w:val="center"/>
              <w:rPr>
                <w:snapToGrid w:val="0"/>
                <w:color w:val="auto"/>
                <w:kern w:val="21"/>
                <w:szCs w:val="21"/>
              </w:rPr>
            </w:pPr>
            <w:r>
              <w:rPr>
                <w:rFonts w:hint="eastAsia"/>
                <w:color w:val="auto"/>
                <w:kern w:val="0"/>
                <w:szCs w:val="21"/>
                <w:lang w:bidi="ar"/>
              </w:rPr>
              <w:t>+</w:t>
            </w:r>
            <w:r>
              <w:rPr>
                <w:color w:val="auto"/>
                <w:kern w:val="0"/>
                <w:szCs w:val="21"/>
                <w:lang w:bidi="ar"/>
              </w:rPr>
              <w:t>0.408</w:t>
            </w:r>
            <w:r>
              <w:rPr>
                <w:rFonts w:hint="eastAsia"/>
                <w:color w:val="auto"/>
                <w:kern w:val="0"/>
                <w:szCs w:val="21"/>
                <w:lang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3"/>
              <w:spacing w:beforeLines="0" w:afterLines="0" w:line="240" w:lineRule="auto"/>
              <w:rPr>
                <w:rFonts w:hAnsi="宋体" w:cs="宋体"/>
                <w:snapToGrid w:val="0"/>
                <w:color w:val="auto"/>
                <w:kern w:val="21"/>
                <w:szCs w:val="21"/>
              </w:rPr>
            </w:pPr>
          </w:p>
        </w:tc>
        <w:tc>
          <w:tcPr>
            <w:tcW w:w="1417" w:type="dxa"/>
            <w:vAlign w:val="center"/>
          </w:tcPr>
          <w:p>
            <w:pPr>
              <w:pStyle w:val="33"/>
              <w:spacing w:beforeLines="0" w:afterLines="0" w:line="240" w:lineRule="auto"/>
              <w:rPr>
                <w:rFonts w:ascii="Times New Roman" w:hAnsi="Times New Roman" w:cs="Times New Roman"/>
                <w:snapToGrid w:val="0"/>
                <w:color w:val="auto"/>
                <w:kern w:val="21"/>
                <w:szCs w:val="21"/>
              </w:rPr>
            </w:pPr>
            <w:r>
              <w:rPr>
                <w:rFonts w:ascii="Times New Roman" w:hAnsi="Times New Roman" w:cs="Times New Roman"/>
                <w:snapToGrid w:val="0"/>
                <w:color w:val="auto"/>
                <w:kern w:val="21"/>
                <w:szCs w:val="21"/>
              </w:rPr>
              <w:t>颗粒物</w:t>
            </w:r>
          </w:p>
        </w:tc>
        <w:tc>
          <w:tcPr>
            <w:tcW w:w="1701" w:type="dxa"/>
            <w:vAlign w:val="center"/>
          </w:tcPr>
          <w:p>
            <w:pPr>
              <w:pStyle w:val="33"/>
              <w:spacing w:beforeLines="0" w:afterLines="0" w:line="240" w:lineRule="auto"/>
              <w:rPr>
                <w:rFonts w:ascii="Times New Roman" w:hAnsi="Times New Roman" w:cs="Times New Roman"/>
                <w:snapToGrid w:val="0"/>
                <w:color w:val="auto"/>
                <w:kern w:val="21"/>
                <w:szCs w:val="21"/>
              </w:rPr>
            </w:pPr>
            <w:r>
              <w:rPr>
                <w:rFonts w:hint="eastAsia" w:ascii="Times New Roman" w:hAnsi="Times New Roman" w:cs="Times New Roman"/>
                <w:snapToGrid w:val="0"/>
                <w:color w:val="auto"/>
                <w:kern w:val="21"/>
                <w:szCs w:val="21"/>
                <w:lang w:val="en-US" w:eastAsia="zh-CN"/>
              </w:rPr>
              <w:t>0.763</w:t>
            </w:r>
            <w:r>
              <w:rPr>
                <w:rFonts w:hint="eastAsia" w:ascii="Times New Roman" w:hAnsi="Times New Roman" w:cs="Times New Roman"/>
                <w:snapToGrid w:val="0"/>
                <w:color w:val="auto"/>
                <w:kern w:val="21"/>
                <w:szCs w:val="21"/>
              </w:rPr>
              <w:t>t/a</w:t>
            </w:r>
          </w:p>
        </w:tc>
        <w:tc>
          <w:tcPr>
            <w:tcW w:w="1276"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701"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559" w:type="dxa"/>
            <w:vAlign w:val="center"/>
          </w:tcPr>
          <w:p>
            <w:pPr>
              <w:widowControl/>
              <w:jc w:val="center"/>
              <w:textAlignment w:val="center"/>
              <w:rPr>
                <w:snapToGrid w:val="0"/>
                <w:color w:val="auto"/>
                <w:kern w:val="21"/>
                <w:szCs w:val="21"/>
              </w:rPr>
            </w:pPr>
            <w:r>
              <w:rPr>
                <w:color w:val="auto"/>
                <w:kern w:val="0"/>
                <w:szCs w:val="21"/>
                <w:lang w:bidi="ar"/>
              </w:rPr>
              <w:t>0.062t/a</w:t>
            </w:r>
          </w:p>
        </w:tc>
        <w:tc>
          <w:tcPr>
            <w:tcW w:w="1761" w:type="dxa"/>
            <w:vAlign w:val="center"/>
          </w:tcPr>
          <w:p>
            <w:pPr>
              <w:pStyle w:val="33"/>
              <w:spacing w:beforeLines="0" w:afterLines="0" w:line="240" w:lineRule="auto"/>
              <w:rPr>
                <w:rFonts w:ascii="Times New Roman" w:hAnsi="Times New Roman" w:cs="Times New Roman"/>
                <w:snapToGrid w:val="0"/>
                <w:color w:val="auto"/>
                <w:kern w:val="21"/>
                <w:szCs w:val="21"/>
              </w:rPr>
            </w:pPr>
            <w:r>
              <w:rPr>
                <w:rFonts w:ascii="Times New Roman" w:hAnsi="Times New Roman" w:cs="Times New Roman"/>
                <w:snapToGrid w:val="0"/>
                <w:color w:val="auto"/>
                <w:kern w:val="21"/>
                <w:szCs w:val="21"/>
              </w:rPr>
              <w:t>/</w:t>
            </w:r>
          </w:p>
        </w:tc>
        <w:tc>
          <w:tcPr>
            <w:tcW w:w="1959" w:type="dxa"/>
            <w:vAlign w:val="center"/>
          </w:tcPr>
          <w:p>
            <w:pPr>
              <w:widowControl/>
              <w:jc w:val="center"/>
              <w:textAlignment w:val="center"/>
              <w:rPr>
                <w:snapToGrid w:val="0"/>
                <w:color w:val="auto"/>
                <w:kern w:val="21"/>
                <w:szCs w:val="21"/>
              </w:rPr>
            </w:pPr>
            <w:r>
              <w:rPr>
                <w:rFonts w:hint="eastAsia"/>
                <w:color w:val="auto"/>
                <w:kern w:val="0"/>
                <w:szCs w:val="21"/>
                <w:lang w:val="en-US" w:eastAsia="zh-CN" w:bidi="ar"/>
              </w:rPr>
              <w:t>0.825</w:t>
            </w:r>
            <w:r>
              <w:rPr>
                <w:rFonts w:hint="eastAsia"/>
                <w:color w:val="auto"/>
                <w:kern w:val="0"/>
                <w:szCs w:val="21"/>
                <w:lang w:bidi="ar"/>
              </w:rPr>
              <w:t>t/a</w:t>
            </w:r>
          </w:p>
        </w:tc>
        <w:tc>
          <w:tcPr>
            <w:tcW w:w="826" w:type="dxa"/>
            <w:vAlign w:val="center"/>
          </w:tcPr>
          <w:p>
            <w:pPr>
              <w:widowControl/>
              <w:jc w:val="center"/>
              <w:textAlignment w:val="center"/>
              <w:rPr>
                <w:snapToGrid w:val="0"/>
                <w:color w:val="auto"/>
                <w:kern w:val="21"/>
                <w:szCs w:val="21"/>
              </w:rPr>
            </w:pPr>
            <w:r>
              <w:rPr>
                <w:rFonts w:hint="eastAsia"/>
                <w:color w:val="auto"/>
                <w:kern w:val="0"/>
                <w:szCs w:val="21"/>
                <w:lang w:bidi="ar"/>
              </w:rPr>
              <w:t>+</w:t>
            </w:r>
            <w:r>
              <w:rPr>
                <w:color w:val="auto"/>
                <w:kern w:val="0"/>
                <w:szCs w:val="21"/>
                <w:lang w:bidi="ar"/>
              </w:rPr>
              <w:t>0.062</w:t>
            </w:r>
            <w:r>
              <w:rPr>
                <w:rFonts w:hint="eastAsia"/>
                <w:color w:val="auto"/>
                <w:kern w:val="0"/>
                <w:szCs w:val="21"/>
                <w:lang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废水</w:t>
            </w:r>
          </w:p>
        </w:tc>
        <w:tc>
          <w:tcPr>
            <w:tcW w:w="1417" w:type="dxa"/>
            <w:vAlign w:val="center"/>
          </w:tcPr>
          <w:p>
            <w:pPr>
              <w:widowControl/>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kern w:val="0"/>
                <w:sz w:val="21"/>
                <w:szCs w:val="21"/>
                <w:lang w:bidi="ar"/>
              </w:rPr>
              <w:t>COD</w:t>
            </w:r>
          </w:p>
        </w:tc>
        <w:tc>
          <w:tcPr>
            <w:tcW w:w="1701" w:type="dxa"/>
            <w:vAlign w:val="center"/>
          </w:tcPr>
          <w:p>
            <w:pPr>
              <w:widowControl/>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kern w:val="0"/>
                <w:sz w:val="21"/>
                <w:szCs w:val="21"/>
                <w:lang w:bidi="ar"/>
              </w:rPr>
              <w:t>0.165t/a</w:t>
            </w:r>
          </w:p>
        </w:tc>
        <w:tc>
          <w:tcPr>
            <w:tcW w:w="1276" w:type="dxa"/>
            <w:vAlign w:val="center"/>
          </w:tcPr>
          <w:p>
            <w:pPr>
              <w:pStyle w:val="33"/>
              <w:spacing w:beforeLines="0" w:afterLines="0" w:line="240" w:lineRule="auto"/>
              <w:rPr>
                <w:rFonts w:hint="default" w:ascii="Times New Roman" w:hAnsi="Times New Roman" w:cs="Times New Roman"/>
                <w:snapToGrid w:val="0"/>
                <w:color w:val="auto"/>
                <w:kern w:val="21"/>
                <w:sz w:val="21"/>
                <w:szCs w:val="21"/>
              </w:rPr>
            </w:pPr>
          </w:p>
        </w:tc>
        <w:tc>
          <w:tcPr>
            <w:tcW w:w="1701" w:type="dxa"/>
            <w:vAlign w:val="center"/>
          </w:tcPr>
          <w:p>
            <w:pPr>
              <w:pStyle w:val="33"/>
              <w:spacing w:beforeLines="0" w:afterLines="0" w:line="240" w:lineRule="auto"/>
              <w:rPr>
                <w:rFonts w:hint="default" w:ascii="Times New Roman" w:hAnsi="Times New Roman" w:cs="Times New Roman"/>
                <w:snapToGrid w:val="0"/>
                <w:color w:val="auto"/>
                <w:kern w:val="21"/>
                <w:sz w:val="21"/>
                <w:szCs w:val="21"/>
              </w:rPr>
            </w:pPr>
          </w:p>
        </w:tc>
        <w:tc>
          <w:tcPr>
            <w:tcW w:w="1559" w:type="dxa"/>
            <w:vAlign w:val="center"/>
          </w:tcPr>
          <w:p>
            <w:pPr>
              <w:widowControl/>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kern w:val="0"/>
                <w:sz w:val="21"/>
                <w:szCs w:val="21"/>
                <w:lang w:bidi="ar"/>
              </w:rPr>
              <w:t>0.01</w:t>
            </w:r>
            <w:r>
              <w:rPr>
                <w:rFonts w:hint="default" w:ascii="Times New Roman" w:hAnsi="Times New Roman" w:cs="Times New Roman"/>
                <w:color w:val="auto"/>
                <w:kern w:val="0"/>
                <w:sz w:val="21"/>
                <w:szCs w:val="21"/>
                <w:lang w:val="en-US" w:eastAsia="zh-CN" w:bidi="ar"/>
              </w:rPr>
              <w:t>4</w:t>
            </w:r>
            <w:r>
              <w:rPr>
                <w:rFonts w:hint="default" w:ascii="Times New Roman" w:hAnsi="Times New Roman" w:cs="Times New Roman"/>
                <w:color w:val="auto"/>
                <w:kern w:val="0"/>
                <w:sz w:val="21"/>
                <w:szCs w:val="21"/>
                <w:lang w:bidi="ar"/>
              </w:rPr>
              <w:t>t/a</w:t>
            </w:r>
          </w:p>
        </w:tc>
        <w:tc>
          <w:tcPr>
            <w:tcW w:w="1761" w:type="dxa"/>
            <w:vAlign w:val="center"/>
          </w:tcPr>
          <w:p>
            <w:pPr>
              <w:pStyle w:val="33"/>
              <w:spacing w:beforeLines="0" w:afterLines="0" w:line="240" w:lineRule="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1959" w:type="dxa"/>
            <w:vAlign w:val="center"/>
          </w:tcPr>
          <w:p>
            <w:pPr>
              <w:widowControl/>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kern w:val="0"/>
                <w:sz w:val="21"/>
                <w:szCs w:val="21"/>
                <w:lang w:bidi="ar"/>
              </w:rPr>
              <w:t>0.17</w:t>
            </w:r>
            <w:r>
              <w:rPr>
                <w:rFonts w:hint="default" w:ascii="Times New Roman" w:hAnsi="Times New Roman" w:cs="Times New Roman"/>
                <w:color w:val="auto"/>
                <w:kern w:val="0"/>
                <w:sz w:val="21"/>
                <w:szCs w:val="21"/>
                <w:lang w:val="en-US" w:eastAsia="zh-CN" w:bidi="ar"/>
              </w:rPr>
              <w:t>9</w:t>
            </w:r>
            <w:r>
              <w:rPr>
                <w:rFonts w:hint="default" w:ascii="Times New Roman" w:hAnsi="Times New Roman" w:cs="Times New Roman"/>
                <w:color w:val="auto"/>
                <w:kern w:val="0"/>
                <w:sz w:val="21"/>
                <w:szCs w:val="21"/>
                <w:lang w:bidi="ar"/>
              </w:rPr>
              <w:t>t/a</w:t>
            </w:r>
          </w:p>
        </w:tc>
        <w:tc>
          <w:tcPr>
            <w:tcW w:w="826" w:type="dxa"/>
            <w:vAlign w:val="center"/>
          </w:tcPr>
          <w:p>
            <w:pPr>
              <w:widowControl/>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kern w:val="0"/>
                <w:sz w:val="21"/>
                <w:szCs w:val="21"/>
                <w:lang w:bidi="ar"/>
              </w:rPr>
              <w:t>+0.01</w:t>
            </w:r>
            <w:r>
              <w:rPr>
                <w:rFonts w:hint="default" w:ascii="Times New Roman" w:hAnsi="Times New Roman" w:cs="Times New Roman"/>
                <w:color w:val="auto"/>
                <w:kern w:val="0"/>
                <w:sz w:val="21"/>
                <w:szCs w:val="21"/>
                <w:lang w:val="en-US" w:eastAsia="zh-CN" w:bidi="ar"/>
              </w:rPr>
              <w:t>4</w:t>
            </w:r>
            <w:r>
              <w:rPr>
                <w:rFonts w:hint="default" w:ascii="Times New Roman" w:hAnsi="Times New Roman" w:cs="Times New Roman"/>
                <w:color w:val="auto"/>
                <w:kern w:val="0"/>
                <w:sz w:val="21"/>
                <w:szCs w:val="21"/>
                <w:lang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3"/>
              <w:spacing w:beforeLines="0" w:afterLines="0" w:line="240" w:lineRule="auto"/>
              <w:rPr>
                <w:rFonts w:hAnsi="宋体" w:cs="宋体"/>
                <w:snapToGrid w:val="0"/>
                <w:color w:val="auto"/>
                <w:kern w:val="21"/>
                <w:szCs w:val="21"/>
              </w:rPr>
            </w:pPr>
          </w:p>
        </w:tc>
        <w:tc>
          <w:tcPr>
            <w:tcW w:w="1417" w:type="dxa"/>
            <w:vAlign w:val="center"/>
          </w:tcPr>
          <w:p>
            <w:pPr>
              <w:widowControl/>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kern w:val="0"/>
                <w:sz w:val="21"/>
                <w:szCs w:val="21"/>
                <w:lang w:bidi="ar"/>
              </w:rPr>
              <w:t>BOD</w:t>
            </w:r>
            <w:r>
              <w:rPr>
                <w:rFonts w:hint="default" w:ascii="Times New Roman" w:hAnsi="Times New Roman" w:cs="Times New Roman"/>
                <w:color w:val="auto"/>
                <w:kern w:val="0"/>
                <w:sz w:val="21"/>
                <w:szCs w:val="21"/>
                <w:vertAlign w:val="subscript"/>
                <w:lang w:bidi="ar"/>
              </w:rPr>
              <w:t>5</w:t>
            </w:r>
          </w:p>
        </w:tc>
        <w:tc>
          <w:tcPr>
            <w:tcW w:w="1701" w:type="dxa"/>
            <w:vAlign w:val="center"/>
          </w:tcPr>
          <w:p>
            <w:pPr>
              <w:widowControl/>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kern w:val="0"/>
                <w:sz w:val="21"/>
                <w:szCs w:val="21"/>
                <w:lang w:bidi="ar"/>
              </w:rPr>
              <w:t>0.055t/a</w:t>
            </w:r>
          </w:p>
        </w:tc>
        <w:tc>
          <w:tcPr>
            <w:tcW w:w="1276" w:type="dxa"/>
            <w:vAlign w:val="center"/>
          </w:tcPr>
          <w:p>
            <w:pPr>
              <w:pStyle w:val="33"/>
              <w:spacing w:beforeLines="0" w:afterLines="0" w:line="240" w:lineRule="auto"/>
              <w:rPr>
                <w:rFonts w:hint="default" w:ascii="Times New Roman" w:hAnsi="Times New Roman" w:cs="Times New Roman"/>
                <w:snapToGrid w:val="0"/>
                <w:color w:val="auto"/>
                <w:kern w:val="21"/>
                <w:sz w:val="21"/>
                <w:szCs w:val="21"/>
              </w:rPr>
            </w:pPr>
          </w:p>
        </w:tc>
        <w:tc>
          <w:tcPr>
            <w:tcW w:w="1701" w:type="dxa"/>
            <w:vAlign w:val="center"/>
          </w:tcPr>
          <w:p>
            <w:pPr>
              <w:pStyle w:val="33"/>
              <w:spacing w:beforeLines="0" w:afterLines="0" w:line="240" w:lineRule="auto"/>
              <w:rPr>
                <w:rFonts w:hint="default" w:ascii="Times New Roman" w:hAnsi="Times New Roman" w:cs="Times New Roman"/>
                <w:snapToGrid w:val="0"/>
                <w:color w:val="auto"/>
                <w:kern w:val="21"/>
                <w:sz w:val="21"/>
                <w:szCs w:val="21"/>
              </w:rPr>
            </w:pPr>
          </w:p>
        </w:tc>
        <w:tc>
          <w:tcPr>
            <w:tcW w:w="1559" w:type="dxa"/>
            <w:vAlign w:val="center"/>
          </w:tcPr>
          <w:p>
            <w:pPr>
              <w:widowControl/>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kern w:val="0"/>
                <w:sz w:val="21"/>
                <w:szCs w:val="21"/>
                <w:lang w:bidi="ar"/>
              </w:rPr>
              <w:t>0.00</w:t>
            </w:r>
            <w:r>
              <w:rPr>
                <w:rFonts w:hint="default" w:ascii="Times New Roman" w:hAnsi="Times New Roman" w:cs="Times New Roman"/>
                <w:color w:val="auto"/>
                <w:kern w:val="0"/>
                <w:sz w:val="21"/>
                <w:szCs w:val="21"/>
                <w:lang w:val="en-US" w:eastAsia="zh-CN" w:bidi="ar"/>
              </w:rPr>
              <w:t>5</w:t>
            </w:r>
            <w:r>
              <w:rPr>
                <w:rFonts w:hint="default" w:ascii="Times New Roman" w:hAnsi="Times New Roman" w:cs="Times New Roman"/>
                <w:color w:val="auto"/>
                <w:kern w:val="0"/>
                <w:sz w:val="21"/>
                <w:szCs w:val="21"/>
                <w:lang w:bidi="ar"/>
              </w:rPr>
              <w:t>t/a</w:t>
            </w:r>
          </w:p>
        </w:tc>
        <w:tc>
          <w:tcPr>
            <w:tcW w:w="1761" w:type="dxa"/>
            <w:vAlign w:val="center"/>
          </w:tcPr>
          <w:p>
            <w:pPr>
              <w:pStyle w:val="33"/>
              <w:spacing w:beforeLines="0" w:afterLines="0" w:line="240" w:lineRule="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1959" w:type="dxa"/>
            <w:vAlign w:val="center"/>
          </w:tcPr>
          <w:p>
            <w:pPr>
              <w:widowControl/>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kern w:val="0"/>
                <w:sz w:val="21"/>
                <w:szCs w:val="21"/>
                <w:lang w:bidi="ar"/>
              </w:rPr>
              <w:t>0.0</w:t>
            </w:r>
            <w:r>
              <w:rPr>
                <w:rFonts w:hint="default" w:ascii="Times New Roman" w:hAnsi="Times New Roman" w:cs="Times New Roman"/>
                <w:color w:val="auto"/>
                <w:kern w:val="0"/>
                <w:sz w:val="21"/>
                <w:szCs w:val="21"/>
                <w:lang w:val="en-US" w:eastAsia="zh-CN" w:bidi="ar"/>
              </w:rPr>
              <w:t>60</w:t>
            </w:r>
            <w:r>
              <w:rPr>
                <w:rFonts w:hint="default" w:ascii="Times New Roman" w:hAnsi="Times New Roman" w:cs="Times New Roman"/>
                <w:color w:val="auto"/>
                <w:kern w:val="0"/>
                <w:sz w:val="21"/>
                <w:szCs w:val="21"/>
                <w:lang w:bidi="ar"/>
              </w:rPr>
              <w:t>t/a</w:t>
            </w:r>
          </w:p>
        </w:tc>
        <w:tc>
          <w:tcPr>
            <w:tcW w:w="826" w:type="dxa"/>
            <w:vAlign w:val="center"/>
          </w:tcPr>
          <w:p>
            <w:pPr>
              <w:widowControl/>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kern w:val="0"/>
                <w:sz w:val="21"/>
                <w:szCs w:val="21"/>
                <w:lang w:bidi="ar"/>
              </w:rPr>
              <w:t>+0.00</w:t>
            </w:r>
            <w:r>
              <w:rPr>
                <w:rFonts w:hint="default" w:ascii="Times New Roman" w:hAnsi="Times New Roman" w:cs="Times New Roman"/>
                <w:color w:val="auto"/>
                <w:kern w:val="0"/>
                <w:sz w:val="21"/>
                <w:szCs w:val="21"/>
                <w:lang w:val="en-US" w:eastAsia="zh-CN" w:bidi="ar"/>
              </w:rPr>
              <w:t>5</w:t>
            </w:r>
            <w:r>
              <w:rPr>
                <w:rFonts w:hint="default" w:ascii="Times New Roman" w:hAnsi="Times New Roman" w:cs="Times New Roman"/>
                <w:color w:val="auto"/>
                <w:kern w:val="0"/>
                <w:sz w:val="21"/>
                <w:szCs w:val="21"/>
                <w:lang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3"/>
              <w:spacing w:beforeLines="0" w:afterLines="0" w:line="240" w:lineRule="auto"/>
              <w:rPr>
                <w:rFonts w:hAnsi="宋体" w:cs="宋体"/>
                <w:snapToGrid w:val="0"/>
                <w:color w:val="auto"/>
                <w:kern w:val="21"/>
                <w:szCs w:val="21"/>
              </w:rPr>
            </w:pPr>
          </w:p>
        </w:tc>
        <w:tc>
          <w:tcPr>
            <w:tcW w:w="1417" w:type="dxa"/>
            <w:vAlign w:val="center"/>
          </w:tcPr>
          <w:p>
            <w:pPr>
              <w:widowControl/>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kern w:val="0"/>
                <w:sz w:val="21"/>
                <w:szCs w:val="21"/>
                <w:lang w:bidi="ar"/>
              </w:rPr>
              <w:t>SS</w:t>
            </w:r>
          </w:p>
        </w:tc>
        <w:tc>
          <w:tcPr>
            <w:tcW w:w="1701" w:type="dxa"/>
            <w:vAlign w:val="center"/>
          </w:tcPr>
          <w:p>
            <w:pPr>
              <w:widowControl/>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kern w:val="0"/>
                <w:sz w:val="21"/>
                <w:szCs w:val="21"/>
                <w:lang w:bidi="ar"/>
              </w:rPr>
              <w:t>0.055t/a</w:t>
            </w:r>
          </w:p>
        </w:tc>
        <w:tc>
          <w:tcPr>
            <w:tcW w:w="1276" w:type="dxa"/>
            <w:vAlign w:val="center"/>
          </w:tcPr>
          <w:p>
            <w:pPr>
              <w:pStyle w:val="33"/>
              <w:spacing w:beforeLines="0" w:afterLines="0" w:line="240" w:lineRule="auto"/>
              <w:rPr>
                <w:rFonts w:hint="default" w:ascii="Times New Roman" w:hAnsi="Times New Roman" w:cs="Times New Roman"/>
                <w:snapToGrid w:val="0"/>
                <w:color w:val="auto"/>
                <w:kern w:val="21"/>
                <w:sz w:val="21"/>
                <w:szCs w:val="21"/>
              </w:rPr>
            </w:pPr>
          </w:p>
        </w:tc>
        <w:tc>
          <w:tcPr>
            <w:tcW w:w="1701" w:type="dxa"/>
            <w:vAlign w:val="center"/>
          </w:tcPr>
          <w:p>
            <w:pPr>
              <w:pStyle w:val="33"/>
              <w:spacing w:beforeLines="0" w:afterLines="0" w:line="240" w:lineRule="auto"/>
              <w:rPr>
                <w:rFonts w:hint="default" w:ascii="Times New Roman" w:hAnsi="Times New Roman" w:cs="Times New Roman"/>
                <w:snapToGrid w:val="0"/>
                <w:color w:val="auto"/>
                <w:kern w:val="21"/>
                <w:sz w:val="21"/>
                <w:szCs w:val="21"/>
              </w:rPr>
            </w:pPr>
          </w:p>
        </w:tc>
        <w:tc>
          <w:tcPr>
            <w:tcW w:w="1559" w:type="dxa"/>
            <w:vAlign w:val="center"/>
          </w:tcPr>
          <w:p>
            <w:pPr>
              <w:widowControl/>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kern w:val="0"/>
                <w:sz w:val="21"/>
                <w:szCs w:val="21"/>
                <w:lang w:bidi="ar"/>
              </w:rPr>
              <w:t>0.00</w:t>
            </w:r>
            <w:r>
              <w:rPr>
                <w:rFonts w:hint="default" w:ascii="Times New Roman" w:hAnsi="Times New Roman" w:cs="Times New Roman"/>
                <w:color w:val="auto"/>
                <w:kern w:val="0"/>
                <w:sz w:val="21"/>
                <w:szCs w:val="21"/>
                <w:lang w:val="en-US" w:eastAsia="zh-CN" w:bidi="ar"/>
              </w:rPr>
              <w:t>5</w:t>
            </w:r>
            <w:r>
              <w:rPr>
                <w:rFonts w:hint="default" w:ascii="Times New Roman" w:hAnsi="Times New Roman" w:cs="Times New Roman"/>
                <w:color w:val="auto"/>
                <w:kern w:val="0"/>
                <w:sz w:val="21"/>
                <w:szCs w:val="21"/>
                <w:lang w:bidi="ar"/>
              </w:rPr>
              <w:t>t/a</w:t>
            </w:r>
          </w:p>
        </w:tc>
        <w:tc>
          <w:tcPr>
            <w:tcW w:w="1761" w:type="dxa"/>
            <w:vAlign w:val="center"/>
          </w:tcPr>
          <w:p>
            <w:pPr>
              <w:pStyle w:val="33"/>
              <w:spacing w:beforeLines="0" w:afterLines="0" w:line="240" w:lineRule="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1959" w:type="dxa"/>
            <w:vAlign w:val="center"/>
          </w:tcPr>
          <w:p>
            <w:pPr>
              <w:widowControl/>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kern w:val="0"/>
                <w:sz w:val="21"/>
                <w:szCs w:val="21"/>
                <w:lang w:bidi="ar"/>
              </w:rPr>
              <w:t>0.0</w:t>
            </w:r>
            <w:r>
              <w:rPr>
                <w:rFonts w:hint="default" w:ascii="Times New Roman" w:hAnsi="Times New Roman" w:cs="Times New Roman"/>
                <w:color w:val="auto"/>
                <w:kern w:val="0"/>
                <w:sz w:val="21"/>
                <w:szCs w:val="21"/>
                <w:lang w:val="en-US" w:eastAsia="zh-CN" w:bidi="ar"/>
              </w:rPr>
              <w:t>60</w:t>
            </w:r>
            <w:r>
              <w:rPr>
                <w:rFonts w:hint="default" w:ascii="Times New Roman" w:hAnsi="Times New Roman" w:cs="Times New Roman"/>
                <w:color w:val="auto"/>
                <w:kern w:val="0"/>
                <w:sz w:val="21"/>
                <w:szCs w:val="21"/>
                <w:lang w:bidi="ar"/>
              </w:rPr>
              <w:t>t/a</w:t>
            </w:r>
          </w:p>
        </w:tc>
        <w:tc>
          <w:tcPr>
            <w:tcW w:w="826" w:type="dxa"/>
            <w:vAlign w:val="center"/>
          </w:tcPr>
          <w:p>
            <w:pPr>
              <w:widowControl/>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kern w:val="0"/>
                <w:sz w:val="21"/>
                <w:szCs w:val="21"/>
                <w:lang w:bidi="ar"/>
              </w:rPr>
              <w:t>+0.00</w:t>
            </w:r>
            <w:r>
              <w:rPr>
                <w:rFonts w:hint="default" w:ascii="Times New Roman" w:hAnsi="Times New Roman" w:cs="Times New Roman"/>
                <w:color w:val="auto"/>
                <w:kern w:val="0"/>
                <w:sz w:val="21"/>
                <w:szCs w:val="21"/>
                <w:lang w:val="en-US" w:eastAsia="zh-CN" w:bidi="ar"/>
              </w:rPr>
              <w:t>5</w:t>
            </w:r>
            <w:r>
              <w:rPr>
                <w:rFonts w:hint="default" w:ascii="Times New Roman" w:hAnsi="Times New Roman" w:cs="Times New Roman"/>
                <w:color w:val="auto"/>
                <w:kern w:val="0"/>
                <w:sz w:val="21"/>
                <w:szCs w:val="21"/>
                <w:lang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3"/>
              <w:spacing w:beforeLines="0" w:afterLines="0" w:line="240" w:lineRule="auto"/>
              <w:rPr>
                <w:rFonts w:hAnsi="宋体" w:cs="宋体"/>
                <w:snapToGrid w:val="0"/>
                <w:color w:val="auto"/>
                <w:kern w:val="21"/>
                <w:szCs w:val="21"/>
              </w:rPr>
            </w:pPr>
          </w:p>
        </w:tc>
        <w:tc>
          <w:tcPr>
            <w:tcW w:w="1417" w:type="dxa"/>
            <w:vAlign w:val="center"/>
          </w:tcPr>
          <w:p>
            <w:pPr>
              <w:widowControl/>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kern w:val="0"/>
                <w:sz w:val="21"/>
                <w:szCs w:val="21"/>
                <w:lang w:bidi="ar"/>
              </w:rPr>
              <w:t>氨氮</w:t>
            </w:r>
          </w:p>
        </w:tc>
        <w:tc>
          <w:tcPr>
            <w:tcW w:w="1701" w:type="dxa"/>
            <w:vAlign w:val="center"/>
          </w:tcPr>
          <w:p>
            <w:pPr>
              <w:widowControl/>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kern w:val="0"/>
                <w:sz w:val="21"/>
                <w:szCs w:val="21"/>
                <w:lang w:bidi="ar"/>
              </w:rPr>
              <w:t>0.022t/a</w:t>
            </w:r>
          </w:p>
        </w:tc>
        <w:tc>
          <w:tcPr>
            <w:tcW w:w="1276" w:type="dxa"/>
            <w:vAlign w:val="center"/>
          </w:tcPr>
          <w:p>
            <w:pPr>
              <w:pStyle w:val="33"/>
              <w:spacing w:beforeLines="0" w:afterLines="0" w:line="240" w:lineRule="auto"/>
              <w:rPr>
                <w:rFonts w:hint="default" w:ascii="Times New Roman" w:hAnsi="Times New Roman" w:cs="Times New Roman"/>
                <w:snapToGrid w:val="0"/>
                <w:color w:val="auto"/>
                <w:kern w:val="21"/>
                <w:sz w:val="21"/>
                <w:szCs w:val="21"/>
              </w:rPr>
            </w:pPr>
          </w:p>
        </w:tc>
        <w:tc>
          <w:tcPr>
            <w:tcW w:w="1701" w:type="dxa"/>
            <w:vAlign w:val="center"/>
          </w:tcPr>
          <w:p>
            <w:pPr>
              <w:pStyle w:val="33"/>
              <w:spacing w:beforeLines="0" w:afterLines="0" w:line="240" w:lineRule="auto"/>
              <w:rPr>
                <w:rFonts w:hint="default" w:ascii="Times New Roman" w:hAnsi="Times New Roman" w:cs="Times New Roman"/>
                <w:snapToGrid w:val="0"/>
                <w:color w:val="auto"/>
                <w:kern w:val="21"/>
                <w:sz w:val="21"/>
                <w:szCs w:val="21"/>
              </w:rPr>
            </w:pPr>
          </w:p>
        </w:tc>
        <w:tc>
          <w:tcPr>
            <w:tcW w:w="1559" w:type="dxa"/>
            <w:vAlign w:val="center"/>
          </w:tcPr>
          <w:p>
            <w:pPr>
              <w:widowControl/>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kern w:val="0"/>
                <w:sz w:val="21"/>
                <w:szCs w:val="21"/>
                <w:lang w:bidi="ar"/>
              </w:rPr>
              <w:t>0.002t/a</w:t>
            </w:r>
          </w:p>
        </w:tc>
        <w:tc>
          <w:tcPr>
            <w:tcW w:w="1761" w:type="dxa"/>
            <w:vAlign w:val="center"/>
          </w:tcPr>
          <w:p>
            <w:pPr>
              <w:pStyle w:val="33"/>
              <w:spacing w:beforeLines="0" w:afterLines="0" w:line="240" w:lineRule="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1959" w:type="dxa"/>
            <w:vAlign w:val="center"/>
          </w:tcPr>
          <w:p>
            <w:pPr>
              <w:widowControl/>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kern w:val="0"/>
                <w:sz w:val="21"/>
                <w:szCs w:val="21"/>
                <w:lang w:bidi="ar"/>
              </w:rPr>
              <w:t>0.024t/a</w:t>
            </w:r>
          </w:p>
        </w:tc>
        <w:tc>
          <w:tcPr>
            <w:tcW w:w="826" w:type="dxa"/>
            <w:vAlign w:val="center"/>
          </w:tcPr>
          <w:p>
            <w:pPr>
              <w:widowControl/>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kern w:val="0"/>
                <w:sz w:val="21"/>
                <w:szCs w:val="21"/>
                <w:lang w:bidi="ar"/>
              </w:rPr>
              <w:t>+0.002t/a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3"/>
              <w:spacing w:beforeLines="0" w:afterLines="0" w:line="240" w:lineRule="auto"/>
              <w:rPr>
                <w:rFonts w:hAnsi="宋体" w:cs="宋体"/>
                <w:snapToGrid w:val="0"/>
                <w:color w:val="auto"/>
                <w:kern w:val="21"/>
                <w:szCs w:val="21"/>
              </w:rPr>
            </w:pPr>
          </w:p>
        </w:tc>
        <w:tc>
          <w:tcPr>
            <w:tcW w:w="1417" w:type="dxa"/>
            <w:vAlign w:val="center"/>
          </w:tcPr>
          <w:p>
            <w:pPr>
              <w:widowControl/>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动植物油</w:t>
            </w:r>
          </w:p>
        </w:tc>
        <w:tc>
          <w:tcPr>
            <w:tcW w:w="1701" w:type="dxa"/>
            <w:vAlign w:val="center"/>
          </w:tcPr>
          <w:p>
            <w:pPr>
              <w:widowControl/>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kern w:val="0"/>
                <w:sz w:val="21"/>
                <w:szCs w:val="21"/>
                <w:lang w:bidi="ar"/>
              </w:rPr>
              <w:t>0.008t/a</w:t>
            </w:r>
          </w:p>
        </w:tc>
        <w:tc>
          <w:tcPr>
            <w:tcW w:w="1276" w:type="dxa"/>
            <w:vAlign w:val="center"/>
          </w:tcPr>
          <w:p>
            <w:pPr>
              <w:pStyle w:val="33"/>
              <w:spacing w:beforeLines="0" w:afterLines="0" w:line="240" w:lineRule="auto"/>
              <w:rPr>
                <w:rFonts w:hint="default" w:ascii="Times New Roman" w:hAnsi="Times New Roman" w:cs="Times New Roman"/>
                <w:snapToGrid w:val="0"/>
                <w:color w:val="auto"/>
                <w:kern w:val="21"/>
                <w:sz w:val="21"/>
                <w:szCs w:val="21"/>
              </w:rPr>
            </w:pPr>
          </w:p>
        </w:tc>
        <w:tc>
          <w:tcPr>
            <w:tcW w:w="1701" w:type="dxa"/>
            <w:vAlign w:val="center"/>
          </w:tcPr>
          <w:p>
            <w:pPr>
              <w:pStyle w:val="33"/>
              <w:spacing w:beforeLines="0" w:afterLines="0" w:line="240" w:lineRule="auto"/>
              <w:rPr>
                <w:rFonts w:hint="default" w:ascii="Times New Roman" w:hAnsi="Times New Roman" w:cs="Times New Roman"/>
                <w:snapToGrid w:val="0"/>
                <w:color w:val="auto"/>
                <w:kern w:val="21"/>
                <w:sz w:val="21"/>
                <w:szCs w:val="21"/>
              </w:rPr>
            </w:pPr>
          </w:p>
        </w:tc>
        <w:tc>
          <w:tcPr>
            <w:tcW w:w="1559" w:type="dxa"/>
            <w:vAlign w:val="center"/>
          </w:tcPr>
          <w:p>
            <w:pPr>
              <w:widowControl/>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0.0001t/a</w:t>
            </w:r>
          </w:p>
        </w:tc>
        <w:tc>
          <w:tcPr>
            <w:tcW w:w="1761" w:type="dxa"/>
            <w:vAlign w:val="center"/>
          </w:tcPr>
          <w:p>
            <w:pPr>
              <w:pStyle w:val="33"/>
              <w:spacing w:beforeLines="0" w:afterLines="0" w:line="240" w:lineRule="auto"/>
              <w:rPr>
                <w:rFonts w:hint="default" w:ascii="Times New Roman" w:hAnsi="Times New Roman" w:cs="Times New Roman"/>
                <w:snapToGrid w:val="0"/>
                <w:color w:val="auto"/>
                <w:kern w:val="21"/>
                <w:sz w:val="21"/>
                <w:szCs w:val="21"/>
              </w:rPr>
            </w:pPr>
            <w:r>
              <w:rPr>
                <w:rFonts w:hint="default" w:ascii="Times New Roman" w:hAnsi="Times New Roman" w:cs="Times New Roman"/>
                <w:snapToGrid w:val="0"/>
                <w:color w:val="auto"/>
                <w:kern w:val="21"/>
                <w:sz w:val="21"/>
                <w:szCs w:val="21"/>
              </w:rPr>
              <w:t>/</w:t>
            </w:r>
          </w:p>
        </w:tc>
        <w:tc>
          <w:tcPr>
            <w:tcW w:w="1959" w:type="dxa"/>
            <w:vAlign w:val="center"/>
          </w:tcPr>
          <w:p>
            <w:pPr>
              <w:widowControl/>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cs="Times New Roman"/>
                <w:color w:val="auto"/>
                <w:kern w:val="0"/>
                <w:sz w:val="21"/>
                <w:szCs w:val="21"/>
                <w:lang w:bidi="ar"/>
              </w:rPr>
              <w:t>0.008t/a</w:t>
            </w:r>
          </w:p>
        </w:tc>
        <w:tc>
          <w:tcPr>
            <w:tcW w:w="826" w:type="dxa"/>
            <w:vAlign w:val="center"/>
          </w:tcPr>
          <w:p>
            <w:pPr>
              <w:widowControl/>
              <w:jc w:val="center"/>
              <w:textAlignment w:val="center"/>
              <w:rPr>
                <w:rFonts w:hint="default" w:ascii="Times New Roman" w:hAnsi="Times New Roman" w:cs="Times New Roman"/>
                <w:snapToGrid w:val="0"/>
                <w:color w:val="auto"/>
                <w:kern w:val="21"/>
                <w:sz w:val="21"/>
                <w:szCs w:val="21"/>
              </w:rPr>
            </w:pPr>
            <w:r>
              <w:rPr>
                <w:rFonts w:hint="default" w:ascii="Times New Roman" w:hAnsi="Times New Roman" w:cs="Times New Roman"/>
                <w:color w:val="auto"/>
                <w:kern w:val="0"/>
                <w:sz w:val="21"/>
                <w:szCs w:val="21"/>
                <w:lang w:bidi="ar"/>
              </w:rPr>
              <w:t>+0.0001t/a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一般工业</w:t>
            </w:r>
          </w:p>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固体废物</w:t>
            </w:r>
          </w:p>
        </w:tc>
        <w:tc>
          <w:tcPr>
            <w:tcW w:w="1417" w:type="dxa"/>
            <w:vAlign w:val="center"/>
          </w:tcPr>
          <w:p>
            <w:pPr>
              <w:widowControl/>
              <w:jc w:val="center"/>
              <w:textAlignment w:val="center"/>
              <w:rPr>
                <w:snapToGrid w:val="0"/>
                <w:color w:val="auto"/>
                <w:kern w:val="21"/>
                <w:szCs w:val="21"/>
              </w:rPr>
            </w:pPr>
            <w:r>
              <w:rPr>
                <w:rFonts w:hint="eastAsia" w:ascii="宋体" w:hAnsi="宋体" w:cs="宋体"/>
                <w:color w:val="auto"/>
                <w:kern w:val="0"/>
                <w:sz w:val="22"/>
                <w:szCs w:val="22"/>
                <w:lang w:bidi="ar"/>
              </w:rPr>
              <w:t>无纺布边角料</w:t>
            </w:r>
          </w:p>
        </w:tc>
        <w:tc>
          <w:tcPr>
            <w:tcW w:w="1701" w:type="dxa"/>
            <w:vAlign w:val="center"/>
          </w:tcPr>
          <w:p>
            <w:pPr>
              <w:widowControl/>
              <w:jc w:val="center"/>
              <w:textAlignment w:val="center"/>
              <w:rPr>
                <w:snapToGrid w:val="0"/>
                <w:color w:val="auto"/>
                <w:kern w:val="21"/>
                <w:szCs w:val="21"/>
              </w:rPr>
            </w:pPr>
            <w:r>
              <w:rPr>
                <w:color w:val="auto"/>
                <w:kern w:val="0"/>
                <w:szCs w:val="21"/>
                <w:lang w:bidi="ar"/>
              </w:rPr>
              <w:t>0.070t/a</w:t>
            </w:r>
          </w:p>
        </w:tc>
        <w:tc>
          <w:tcPr>
            <w:tcW w:w="1276"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701"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559" w:type="dxa"/>
            <w:vAlign w:val="center"/>
          </w:tcPr>
          <w:p>
            <w:pPr>
              <w:adjustRightInd w:val="0"/>
              <w:snapToGrid w:val="0"/>
              <w:jc w:val="center"/>
              <w:rPr>
                <w:snapToGrid w:val="0"/>
                <w:color w:val="auto"/>
                <w:kern w:val="21"/>
                <w:szCs w:val="21"/>
              </w:rPr>
            </w:pPr>
            <w:r>
              <w:rPr>
                <w:rFonts w:hint="eastAsia"/>
                <w:snapToGrid w:val="0"/>
                <w:color w:val="auto"/>
                <w:kern w:val="21"/>
                <w:szCs w:val="21"/>
              </w:rPr>
              <w:t>0t/a</w:t>
            </w:r>
          </w:p>
        </w:tc>
        <w:tc>
          <w:tcPr>
            <w:tcW w:w="1761" w:type="dxa"/>
            <w:vAlign w:val="center"/>
          </w:tcPr>
          <w:p>
            <w:pPr>
              <w:pStyle w:val="33"/>
              <w:spacing w:beforeLines="0" w:afterLines="0" w:line="240" w:lineRule="auto"/>
              <w:rPr>
                <w:rFonts w:ascii="Times New Roman" w:hAnsi="Times New Roman" w:cs="Times New Roman"/>
                <w:snapToGrid w:val="0"/>
                <w:color w:val="auto"/>
                <w:kern w:val="21"/>
                <w:szCs w:val="21"/>
              </w:rPr>
            </w:pPr>
            <w:r>
              <w:rPr>
                <w:rFonts w:hint="eastAsia" w:ascii="Times New Roman" w:hAnsi="Times New Roman" w:cs="Times New Roman"/>
                <w:snapToGrid w:val="0"/>
                <w:color w:val="auto"/>
                <w:kern w:val="21"/>
                <w:szCs w:val="21"/>
              </w:rPr>
              <w:t>/</w:t>
            </w:r>
          </w:p>
        </w:tc>
        <w:tc>
          <w:tcPr>
            <w:tcW w:w="1959" w:type="dxa"/>
            <w:vAlign w:val="center"/>
          </w:tcPr>
          <w:p>
            <w:pPr>
              <w:widowControl/>
              <w:jc w:val="center"/>
              <w:textAlignment w:val="center"/>
              <w:rPr>
                <w:snapToGrid w:val="0"/>
                <w:color w:val="auto"/>
                <w:kern w:val="21"/>
                <w:szCs w:val="21"/>
              </w:rPr>
            </w:pPr>
            <w:r>
              <w:rPr>
                <w:color w:val="auto"/>
                <w:kern w:val="0"/>
                <w:szCs w:val="21"/>
                <w:lang w:bidi="ar"/>
              </w:rPr>
              <w:t>0.070t/a</w:t>
            </w:r>
          </w:p>
        </w:tc>
        <w:tc>
          <w:tcPr>
            <w:tcW w:w="826" w:type="dxa"/>
            <w:vAlign w:val="center"/>
          </w:tcPr>
          <w:p>
            <w:pPr>
              <w:adjustRightInd w:val="0"/>
              <w:snapToGrid w:val="0"/>
              <w:jc w:val="center"/>
              <w:rPr>
                <w:snapToGrid w:val="0"/>
                <w:color w:val="auto"/>
                <w:kern w:val="21"/>
                <w:szCs w:val="21"/>
              </w:rPr>
            </w:pPr>
            <w:r>
              <w:rPr>
                <w:rFonts w:hint="eastAsia"/>
                <w:snapToGrid w:val="0"/>
                <w:color w:val="auto"/>
                <w:kern w:val="21"/>
                <w:szCs w:val="21"/>
              </w:rPr>
              <w:t>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3"/>
              <w:spacing w:beforeLines="0" w:afterLines="0" w:line="240" w:lineRule="auto"/>
              <w:rPr>
                <w:rFonts w:hAnsi="宋体" w:cs="宋体"/>
                <w:snapToGrid w:val="0"/>
                <w:color w:val="auto"/>
                <w:kern w:val="21"/>
                <w:szCs w:val="21"/>
              </w:rPr>
            </w:pPr>
          </w:p>
        </w:tc>
        <w:tc>
          <w:tcPr>
            <w:tcW w:w="1417" w:type="dxa"/>
            <w:vAlign w:val="center"/>
          </w:tcPr>
          <w:p>
            <w:pPr>
              <w:widowControl/>
              <w:jc w:val="center"/>
              <w:textAlignment w:val="center"/>
              <w:rPr>
                <w:snapToGrid w:val="0"/>
                <w:color w:val="auto"/>
                <w:kern w:val="21"/>
                <w:szCs w:val="21"/>
              </w:rPr>
            </w:pPr>
            <w:r>
              <w:rPr>
                <w:rFonts w:hint="eastAsia" w:ascii="宋体" w:hAnsi="宋体" w:cs="宋体"/>
                <w:color w:val="auto"/>
                <w:kern w:val="0"/>
                <w:sz w:val="22"/>
                <w:szCs w:val="22"/>
                <w:lang w:bidi="ar"/>
              </w:rPr>
              <w:t>除尘器收集粉尘</w:t>
            </w:r>
          </w:p>
        </w:tc>
        <w:tc>
          <w:tcPr>
            <w:tcW w:w="1701" w:type="dxa"/>
            <w:vAlign w:val="center"/>
          </w:tcPr>
          <w:p>
            <w:pPr>
              <w:widowControl/>
              <w:jc w:val="center"/>
              <w:textAlignment w:val="center"/>
              <w:rPr>
                <w:snapToGrid w:val="0"/>
                <w:color w:val="auto"/>
                <w:kern w:val="21"/>
                <w:szCs w:val="21"/>
              </w:rPr>
            </w:pPr>
            <w:r>
              <w:rPr>
                <w:color w:val="auto"/>
                <w:kern w:val="0"/>
                <w:szCs w:val="21"/>
                <w:lang w:bidi="ar"/>
              </w:rPr>
              <w:t>0.490t/a</w:t>
            </w:r>
          </w:p>
        </w:tc>
        <w:tc>
          <w:tcPr>
            <w:tcW w:w="1276"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701"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559" w:type="dxa"/>
            <w:vAlign w:val="center"/>
          </w:tcPr>
          <w:p>
            <w:pPr>
              <w:adjustRightInd w:val="0"/>
              <w:snapToGrid w:val="0"/>
              <w:jc w:val="center"/>
              <w:rPr>
                <w:snapToGrid w:val="0"/>
                <w:color w:val="auto"/>
                <w:kern w:val="21"/>
                <w:szCs w:val="21"/>
              </w:rPr>
            </w:pPr>
            <w:r>
              <w:rPr>
                <w:rFonts w:hint="eastAsia"/>
                <w:snapToGrid w:val="0"/>
                <w:color w:val="auto"/>
                <w:kern w:val="21"/>
                <w:szCs w:val="21"/>
              </w:rPr>
              <w:t>0t/a</w:t>
            </w:r>
          </w:p>
        </w:tc>
        <w:tc>
          <w:tcPr>
            <w:tcW w:w="1761" w:type="dxa"/>
            <w:vAlign w:val="center"/>
          </w:tcPr>
          <w:p>
            <w:pPr>
              <w:pStyle w:val="33"/>
              <w:spacing w:beforeLines="0" w:afterLines="0" w:line="240" w:lineRule="auto"/>
              <w:rPr>
                <w:rFonts w:ascii="Times New Roman" w:hAnsi="Times New Roman" w:cs="Times New Roman"/>
                <w:snapToGrid w:val="0"/>
                <w:color w:val="auto"/>
                <w:kern w:val="21"/>
                <w:szCs w:val="21"/>
              </w:rPr>
            </w:pPr>
            <w:r>
              <w:rPr>
                <w:rFonts w:hint="eastAsia" w:ascii="Times New Roman" w:hAnsi="Times New Roman" w:cs="Times New Roman"/>
                <w:snapToGrid w:val="0"/>
                <w:color w:val="auto"/>
                <w:kern w:val="21"/>
                <w:szCs w:val="21"/>
              </w:rPr>
              <w:t>/</w:t>
            </w:r>
          </w:p>
        </w:tc>
        <w:tc>
          <w:tcPr>
            <w:tcW w:w="1959" w:type="dxa"/>
            <w:vAlign w:val="center"/>
          </w:tcPr>
          <w:p>
            <w:pPr>
              <w:widowControl/>
              <w:jc w:val="center"/>
              <w:textAlignment w:val="center"/>
              <w:rPr>
                <w:snapToGrid w:val="0"/>
                <w:color w:val="auto"/>
                <w:kern w:val="21"/>
                <w:szCs w:val="21"/>
              </w:rPr>
            </w:pPr>
            <w:r>
              <w:rPr>
                <w:color w:val="auto"/>
                <w:kern w:val="0"/>
                <w:szCs w:val="21"/>
                <w:lang w:bidi="ar"/>
              </w:rPr>
              <w:t>0.490t/a</w:t>
            </w:r>
          </w:p>
        </w:tc>
        <w:tc>
          <w:tcPr>
            <w:tcW w:w="826" w:type="dxa"/>
            <w:vAlign w:val="center"/>
          </w:tcPr>
          <w:p>
            <w:pPr>
              <w:adjustRightInd w:val="0"/>
              <w:snapToGrid w:val="0"/>
              <w:jc w:val="center"/>
              <w:rPr>
                <w:snapToGrid w:val="0"/>
                <w:color w:val="auto"/>
                <w:kern w:val="21"/>
                <w:szCs w:val="21"/>
              </w:rPr>
            </w:pPr>
            <w:r>
              <w:rPr>
                <w:rFonts w:hint="eastAsia"/>
                <w:snapToGrid w:val="0"/>
                <w:color w:val="auto"/>
                <w:kern w:val="21"/>
                <w:szCs w:val="21"/>
              </w:rPr>
              <w:t>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3"/>
              <w:spacing w:beforeLines="0" w:afterLines="0" w:line="240" w:lineRule="auto"/>
              <w:rPr>
                <w:rFonts w:hAnsi="宋体" w:cs="宋体"/>
                <w:snapToGrid w:val="0"/>
                <w:color w:val="auto"/>
                <w:kern w:val="21"/>
                <w:szCs w:val="21"/>
              </w:rPr>
            </w:pPr>
          </w:p>
        </w:tc>
        <w:tc>
          <w:tcPr>
            <w:tcW w:w="1417" w:type="dxa"/>
            <w:vAlign w:val="center"/>
          </w:tcPr>
          <w:p>
            <w:pPr>
              <w:pStyle w:val="33"/>
              <w:spacing w:beforeLines="0" w:afterLines="0" w:line="240" w:lineRule="auto"/>
              <w:rPr>
                <w:rFonts w:hint="eastAsia" w:ascii="Times New Roman" w:hAnsi="Times New Roman" w:cs="Times New Roman" w:eastAsiaTheme="minorEastAsia"/>
                <w:snapToGrid w:val="0"/>
                <w:color w:val="auto"/>
                <w:kern w:val="21"/>
                <w:szCs w:val="21"/>
                <w:lang w:eastAsia="zh-CN"/>
              </w:rPr>
            </w:pPr>
            <w:r>
              <w:rPr>
                <w:rFonts w:hint="eastAsia" w:ascii="Times New Roman" w:hAnsi="Times New Roman" w:cs="Times New Roman"/>
                <w:snapToGrid w:val="0"/>
                <w:color w:val="auto"/>
                <w:kern w:val="21"/>
                <w:szCs w:val="21"/>
                <w:lang w:eastAsia="zh-CN"/>
              </w:rPr>
              <w:t>废包装</w:t>
            </w:r>
          </w:p>
        </w:tc>
        <w:tc>
          <w:tcPr>
            <w:tcW w:w="1701" w:type="dxa"/>
            <w:vAlign w:val="center"/>
          </w:tcPr>
          <w:p>
            <w:pPr>
              <w:pStyle w:val="33"/>
              <w:spacing w:beforeLines="0" w:afterLines="0" w:line="240" w:lineRule="auto"/>
              <w:rPr>
                <w:rFonts w:hint="default" w:ascii="Times New Roman" w:hAnsi="Times New Roman" w:cs="Times New Roman" w:eastAsiaTheme="minorEastAsia"/>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0t/a</w:t>
            </w:r>
          </w:p>
        </w:tc>
        <w:tc>
          <w:tcPr>
            <w:tcW w:w="1276"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701"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559" w:type="dxa"/>
            <w:vAlign w:val="center"/>
          </w:tcPr>
          <w:p>
            <w:pPr>
              <w:adjustRightInd w:val="0"/>
              <w:snapToGrid w:val="0"/>
              <w:jc w:val="center"/>
              <w:rPr>
                <w:rFonts w:hint="default" w:eastAsia="宋体"/>
                <w:snapToGrid w:val="0"/>
                <w:color w:val="auto"/>
                <w:kern w:val="21"/>
                <w:szCs w:val="21"/>
                <w:lang w:val="en-US" w:eastAsia="zh-CN"/>
              </w:rPr>
            </w:pPr>
            <w:r>
              <w:rPr>
                <w:rFonts w:hint="eastAsia"/>
                <w:snapToGrid w:val="0"/>
                <w:color w:val="auto"/>
                <w:kern w:val="21"/>
                <w:szCs w:val="21"/>
                <w:lang w:val="en-US" w:eastAsia="zh-CN"/>
              </w:rPr>
              <w:t>0.24t/a</w:t>
            </w:r>
          </w:p>
        </w:tc>
        <w:tc>
          <w:tcPr>
            <w:tcW w:w="1761"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959" w:type="dxa"/>
            <w:vAlign w:val="center"/>
          </w:tcPr>
          <w:p>
            <w:pPr>
              <w:adjustRightInd w:val="0"/>
              <w:snapToGrid w:val="0"/>
              <w:jc w:val="center"/>
              <w:rPr>
                <w:rFonts w:hint="default" w:eastAsia="宋体"/>
                <w:snapToGrid w:val="0"/>
                <w:color w:val="auto"/>
                <w:kern w:val="21"/>
                <w:szCs w:val="21"/>
                <w:lang w:val="en-US" w:eastAsia="zh-CN"/>
              </w:rPr>
            </w:pPr>
            <w:r>
              <w:rPr>
                <w:rFonts w:hint="eastAsia"/>
                <w:snapToGrid w:val="0"/>
                <w:color w:val="auto"/>
                <w:kern w:val="21"/>
                <w:szCs w:val="21"/>
                <w:lang w:val="en-US" w:eastAsia="zh-CN"/>
              </w:rPr>
              <w:t>0.24t/a</w:t>
            </w:r>
          </w:p>
        </w:tc>
        <w:tc>
          <w:tcPr>
            <w:tcW w:w="826" w:type="dxa"/>
            <w:vAlign w:val="center"/>
          </w:tcPr>
          <w:p>
            <w:pPr>
              <w:pStyle w:val="33"/>
              <w:spacing w:beforeLines="0" w:afterLines="0" w:line="240" w:lineRule="auto"/>
              <w:rPr>
                <w:rFonts w:hint="default" w:ascii="Times New Roman" w:hAnsi="Times New Roman" w:cs="Times New Roman" w:eastAsiaTheme="minorEastAsia"/>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+0.24t/a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3"/>
              <w:spacing w:beforeLines="0" w:afterLines="0" w:line="240" w:lineRule="auto"/>
              <w:rPr>
                <w:rFonts w:hAnsi="宋体" w:cs="宋体"/>
                <w:snapToGrid w:val="0"/>
                <w:color w:val="auto"/>
                <w:kern w:val="21"/>
                <w:szCs w:val="21"/>
              </w:rPr>
            </w:pPr>
          </w:p>
        </w:tc>
        <w:tc>
          <w:tcPr>
            <w:tcW w:w="1417"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701"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276"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701"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559" w:type="dxa"/>
            <w:vAlign w:val="center"/>
          </w:tcPr>
          <w:p>
            <w:pPr>
              <w:adjustRightInd w:val="0"/>
              <w:snapToGrid w:val="0"/>
              <w:jc w:val="center"/>
              <w:rPr>
                <w:snapToGrid w:val="0"/>
                <w:color w:val="auto"/>
                <w:kern w:val="21"/>
                <w:szCs w:val="21"/>
              </w:rPr>
            </w:pPr>
          </w:p>
        </w:tc>
        <w:tc>
          <w:tcPr>
            <w:tcW w:w="1761"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959" w:type="dxa"/>
            <w:vAlign w:val="center"/>
          </w:tcPr>
          <w:p>
            <w:pPr>
              <w:adjustRightInd w:val="0"/>
              <w:snapToGrid w:val="0"/>
              <w:jc w:val="center"/>
              <w:rPr>
                <w:snapToGrid w:val="0"/>
                <w:color w:val="auto"/>
                <w:kern w:val="21"/>
                <w:szCs w:val="21"/>
              </w:rPr>
            </w:pPr>
          </w:p>
        </w:tc>
        <w:tc>
          <w:tcPr>
            <w:tcW w:w="826" w:type="dxa"/>
            <w:vAlign w:val="center"/>
          </w:tcPr>
          <w:p>
            <w:pPr>
              <w:pStyle w:val="33"/>
              <w:spacing w:beforeLines="0" w:afterLines="0" w:line="240" w:lineRule="auto"/>
              <w:rPr>
                <w:rFonts w:ascii="Times New Roman" w:hAnsi="Times New Roman" w:cs="Times New Roman"/>
                <w:snapToGrid w:val="0"/>
                <w:color w:val="auto"/>
                <w:kern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88" w:type="dxa"/>
            <w:vMerge w:val="restart"/>
            <w:vAlign w:val="center"/>
          </w:tcPr>
          <w:p>
            <w:pPr>
              <w:pStyle w:val="33"/>
              <w:spacing w:beforeLines="0" w:afterLines="0" w:line="240" w:lineRule="auto"/>
              <w:rPr>
                <w:rFonts w:hAnsi="宋体" w:cs="宋体"/>
                <w:snapToGrid w:val="0"/>
                <w:color w:val="auto"/>
                <w:kern w:val="21"/>
                <w:szCs w:val="21"/>
              </w:rPr>
            </w:pPr>
            <w:r>
              <w:rPr>
                <w:rFonts w:hint="eastAsia" w:hAnsi="宋体" w:cs="宋体"/>
                <w:snapToGrid w:val="0"/>
                <w:color w:val="auto"/>
                <w:kern w:val="21"/>
                <w:szCs w:val="21"/>
              </w:rPr>
              <w:t>危险废物</w:t>
            </w:r>
          </w:p>
        </w:tc>
        <w:tc>
          <w:tcPr>
            <w:tcW w:w="1417" w:type="dxa"/>
            <w:vAlign w:val="center"/>
          </w:tcPr>
          <w:p>
            <w:pPr>
              <w:widowControl/>
              <w:jc w:val="center"/>
              <w:textAlignment w:val="center"/>
              <w:rPr>
                <w:rFonts w:eastAsiaTheme="minorEastAsia"/>
                <w:snapToGrid w:val="0"/>
                <w:color w:val="auto"/>
                <w:kern w:val="21"/>
                <w:sz w:val="21"/>
                <w:szCs w:val="21"/>
              </w:rPr>
            </w:pPr>
            <w:r>
              <w:rPr>
                <w:rFonts w:hint="eastAsia"/>
                <w:color w:val="auto"/>
                <w:sz w:val="21"/>
                <w:szCs w:val="21"/>
              </w:rPr>
              <w:t>废胶粘剂桶</w:t>
            </w:r>
          </w:p>
        </w:tc>
        <w:tc>
          <w:tcPr>
            <w:tcW w:w="1701" w:type="dxa"/>
            <w:vAlign w:val="center"/>
          </w:tcPr>
          <w:p>
            <w:pPr>
              <w:widowControl/>
              <w:jc w:val="center"/>
              <w:textAlignment w:val="center"/>
              <w:rPr>
                <w:snapToGrid w:val="0"/>
                <w:color w:val="auto"/>
                <w:kern w:val="21"/>
                <w:szCs w:val="21"/>
              </w:rPr>
            </w:pPr>
            <w:r>
              <w:rPr>
                <w:color w:val="auto"/>
                <w:kern w:val="0"/>
                <w:szCs w:val="21"/>
                <w:lang w:bidi="ar"/>
              </w:rPr>
              <w:t>0.070t/a</w:t>
            </w:r>
          </w:p>
        </w:tc>
        <w:tc>
          <w:tcPr>
            <w:tcW w:w="1276"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701"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559" w:type="dxa"/>
            <w:vAlign w:val="center"/>
          </w:tcPr>
          <w:p>
            <w:pPr>
              <w:widowControl/>
              <w:jc w:val="center"/>
              <w:textAlignment w:val="center"/>
              <w:rPr>
                <w:snapToGrid w:val="0"/>
                <w:color w:val="auto"/>
                <w:kern w:val="21"/>
                <w:szCs w:val="21"/>
              </w:rPr>
            </w:pPr>
            <w:r>
              <w:rPr>
                <w:color w:val="auto"/>
                <w:kern w:val="0"/>
                <w:szCs w:val="21"/>
                <w:lang w:bidi="ar"/>
              </w:rPr>
              <w:t>0.</w:t>
            </w:r>
            <w:r>
              <w:rPr>
                <w:rFonts w:hint="eastAsia"/>
                <w:color w:val="auto"/>
                <w:kern w:val="0"/>
                <w:szCs w:val="21"/>
                <w:lang w:val="en-US" w:eastAsia="zh-CN" w:bidi="ar"/>
              </w:rPr>
              <w:t>88</w:t>
            </w:r>
            <w:r>
              <w:rPr>
                <w:color w:val="auto"/>
                <w:kern w:val="0"/>
                <w:szCs w:val="21"/>
                <w:lang w:bidi="ar"/>
              </w:rPr>
              <w:t>t/a</w:t>
            </w:r>
          </w:p>
        </w:tc>
        <w:tc>
          <w:tcPr>
            <w:tcW w:w="1761" w:type="dxa"/>
            <w:vAlign w:val="center"/>
          </w:tcPr>
          <w:p>
            <w:pPr>
              <w:pStyle w:val="33"/>
              <w:spacing w:beforeLines="0" w:afterLines="0" w:line="240" w:lineRule="auto"/>
              <w:rPr>
                <w:rFonts w:ascii="Times New Roman" w:hAnsi="Times New Roman" w:cs="Times New Roman"/>
                <w:snapToGrid w:val="0"/>
                <w:color w:val="auto"/>
                <w:kern w:val="21"/>
                <w:szCs w:val="21"/>
              </w:rPr>
            </w:pPr>
            <w:r>
              <w:rPr>
                <w:rFonts w:hint="eastAsia" w:ascii="Times New Roman" w:hAnsi="Times New Roman" w:cs="Times New Roman"/>
                <w:snapToGrid w:val="0"/>
                <w:color w:val="auto"/>
                <w:kern w:val="21"/>
                <w:szCs w:val="21"/>
              </w:rPr>
              <w:t>/</w:t>
            </w:r>
          </w:p>
        </w:tc>
        <w:tc>
          <w:tcPr>
            <w:tcW w:w="1959" w:type="dxa"/>
            <w:vAlign w:val="center"/>
          </w:tcPr>
          <w:p>
            <w:pPr>
              <w:widowControl/>
              <w:jc w:val="center"/>
              <w:textAlignment w:val="center"/>
              <w:rPr>
                <w:snapToGrid w:val="0"/>
                <w:color w:val="auto"/>
                <w:kern w:val="21"/>
                <w:szCs w:val="21"/>
              </w:rPr>
            </w:pPr>
            <w:r>
              <w:rPr>
                <w:color w:val="auto"/>
                <w:kern w:val="0"/>
                <w:szCs w:val="21"/>
                <w:lang w:bidi="ar"/>
              </w:rPr>
              <w:t>0.9</w:t>
            </w:r>
            <w:r>
              <w:rPr>
                <w:rFonts w:hint="eastAsia"/>
                <w:color w:val="auto"/>
                <w:kern w:val="0"/>
                <w:szCs w:val="21"/>
                <w:lang w:val="en-US" w:eastAsia="zh-CN" w:bidi="ar"/>
              </w:rPr>
              <w:t>48</w:t>
            </w:r>
            <w:r>
              <w:rPr>
                <w:color w:val="auto"/>
                <w:kern w:val="0"/>
                <w:szCs w:val="21"/>
                <w:lang w:bidi="ar"/>
              </w:rPr>
              <w:t>t/a</w:t>
            </w:r>
          </w:p>
        </w:tc>
        <w:tc>
          <w:tcPr>
            <w:tcW w:w="826" w:type="dxa"/>
            <w:vAlign w:val="center"/>
          </w:tcPr>
          <w:p>
            <w:pPr>
              <w:widowControl/>
              <w:jc w:val="center"/>
              <w:textAlignment w:val="center"/>
              <w:rPr>
                <w:snapToGrid w:val="0"/>
                <w:color w:val="auto"/>
                <w:kern w:val="21"/>
                <w:szCs w:val="21"/>
              </w:rPr>
            </w:pPr>
            <w:r>
              <w:rPr>
                <w:rFonts w:hint="eastAsia"/>
                <w:color w:val="auto"/>
                <w:kern w:val="0"/>
                <w:szCs w:val="21"/>
                <w:lang w:bidi="ar"/>
              </w:rPr>
              <w:t>+</w:t>
            </w:r>
            <w:r>
              <w:rPr>
                <w:color w:val="auto"/>
                <w:kern w:val="0"/>
                <w:szCs w:val="21"/>
                <w:lang w:bidi="ar"/>
              </w:rPr>
              <w:t>0.</w:t>
            </w:r>
            <w:r>
              <w:rPr>
                <w:rFonts w:hint="eastAsia"/>
                <w:color w:val="auto"/>
                <w:kern w:val="0"/>
                <w:szCs w:val="21"/>
                <w:lang w:val="en-US" w:eastAsia="zh-CN" w:bidi="ar"/>
              </w:rPr>
              <w:t>88</w:t>
            </w:r>
            <w:r>
              <w:rPr>
                <w:color w:val="auto"/>
                <w:kern w:val="0"/>
                <w:szCs w:val="21"/>
                <w:lang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3"/>
              <w:spacing w:beforeLines="0" w:afterLines="0" w:line="240" w:lineRule="auto"/>
              <w:rPr>
                <w:rFonts w:hAnsi="宋体" w:cs="宋体"/>
                <w:snapToGrid w:val="0"/>
                <w:color w:val="auto"/>
                <w:kern w:val="21"/>
                <w:szCs w:val="21"/>
              </w:rPr>
            </w:pPr>
          </w:p>
        </w:tc>
        <w:tc>
          <w:tcPr>
            <w:tcW w:w="1417" w:type="dxa"/>
            <w:vAlign w:val="center"/>
          </w:tcPr>
          <w:p>
            <w:pPr>
              <w:widowControl/>
              <w:jc w:val="center"/>
              <w:textAlignment w:val="center"/>
              <w:rPr>
                <w:snapToGrid w:val="0"/>
                <w:color w:val="auto"/>
                <w:kern w:val="21"/>
                <w:sz w:val="21"/>
                <w:szCs w:val="21"/>
              </w:rPr>
            </w:pPr>
            <w:r>
              <w:rPr>
                <w:rFonts w:hint="eastAsia" w:ascii="宋体" w:hAnsi="宋体" w:cs="宋体"/>
                <w:color w:val="auto"/>
                <w:kern w:val="0"/>
                <w:sz w:val="21"/>
                <w:szCs w:val="21"/>
                <w:lang w:bidi="ar"/>
              </w:rPr>
              <w:t>废活性炭</w:t>
            </w:r>
          </w:p>
        </w:tc>
        <w:tc>
          <w:tcPr>
            <w:tcW w:w="1701" w:type="dxa"/>
            <w:vAlign w:val="center"/>
          </w:tcPr>
          <w:p>
            <w:pPr>
              <w:widowControl/>
              <w:jc w:val="center"/>
              <w:textAlignment w:val="center"/>
              <w:rPr>
                <w:snapToGrid w:val="0"/>
                <w:color w:val="auto"/>
                <w:kern w:val="21"/>
                <w:szCs w:val="21"/>
              </w:rPr>
            </w:pPr>
            <w:r>
              <w:rPr>
                <w:color w:val="auto"/>
                <w:kern w:val="0"/>
                <w:szCs w:val="21"/>
                <w:lang w:bidi="ar"/>
              </w:rPr>
              <w:t>0.490t/a</w:t>
            </w:r>
          </w:p>
        </w:tc>
        <w:tc>
          <w:tcPr>
            <w:tcW w:w="1276"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701"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559" w:type="dxa"/>
            <w:vAlign w:val="center"/>
          </w:tcPr>
          <w:p>
            <w:pPr>
              <w:widowControl/>
              <w:jc w:val="center"/>
              <w:textAlignment w:val="center"/>
              <w:rPr>
                <w:snapToGrid w:val="0"/>
                <w:color w:val="auto"/>
                <w:kern w:val="21"/>
                <w:szCs w:val="21"/>
              </w:rPr>
            </w:pPr>
            <w:r>
              <w:rPr>
                <w:rFonts w:hint="eastAsia"/>
                <w:color w:val="auto"/>
                <w:kern w:val="0"/>
                <w:szCs w:val="21"/>
                <w:lang w:val="en-US" w:eastAsia="zh-CN" w:bidi="ar"/>
              </w:rPr>
              <w:t>0.793</w:t>
            </w:r>
            <w:r>
              <w:rPr>
                <w:color w:val="auto"/>
                <w:kern w:val="0"/>
                <w:szCs w:val="21"/>
                <w:lang w:bidi="ar"/>
              </w:rPr>
              <w:t>t/a</w:t>
            </w:r>
          </w:p>
        </w:tc>
        <w:tc>
          <w:tcPr>
            <w:tcW w:w="1761" w:type="dxa"/>
            <w:vAlign w:val="center"/>
          </w:tcPr>
          <w:p>
            <w:pPr>
              <w:pStyle w:val="33"/>
              <w:spacing w:beforeLines="0" w:afterLines="0" w:line="240" w:lineRule="auto"/>
              <w:rPr>
                <w:rFonts w:ascii="Times New Roman" w:hAnsi="Times New Roman" w:cs="Times New Roman"/>
                <w:snapToGrid w:val="0"/>
                <w:color w:val="auto"/>
                <w:kern w:val="21"/>
                <w:szCs w:val="21"/>
              </w:rPr>
            </w:pPr>
            <w:r>
              <w:rPr>
                <w:rFonts w:hint="eastAsia" w:ascii="Times New Roman" w:hAnsi="Times New Roman" w:cs="Times New Roman"/>
                <w:snapToGrid w:val="0"/>
                <w:color w:val="auto"/>
                <w:kern w:val="21"/>
                <w:szCs w:val="21"/>
              </w:rPr>
              <w:t>/</w:t>
            </w:r>
          </w:p>
        </w:tc>
        <w:tc>
          <w:tcPr>
            <w:tcW w:w="1959" w:type="dxa"/>
            <w:vAlign w:val="center"/>
          </w:tcPr>
          <w:p>
            <w:pPr>
              <w:widowControl/>
              <w:jc w:val="center"/>
              <w:textAlignment w:val="center"/>
              <w:rPr>
                <w:snapToGrid w:val="0"/>
                <w:color w:val="auto"/>
                <w:kern w:val="21"/>
                <w:szCs w:val="21"/>
              </w:rPr>
            </w:pPr>
            <w:r>
              <w:rPr>
                <w:rFonts w:hint="eastAsia"/>
                <w:color w:val="auto"/>
                <w:kern w:val="0"/>
                <w:szCs w:val="21"/>
                <w:lang w:val="en-US" w:eastAsia="zh-CN" w:bidi="ar"/>
              </w:rPr>
              <w:t>1.283</w:t>
            </w:r>
            <w:r>
              <w:rPr>
                <w:color w:val="auto"/>
                <w:kern w:val="0"/>
                <w:szCs w:val="21"/>
                <w:lang w:bidi="ar"/>
              </w:rPr>
              <w:t>t/a</w:t>
            </w:r>
          </w:p>
        </w:tc>
        <w:tc>
          <w:tcPr>
            <w:tcW w:w="826" w:type="dxa"/>
            <w:vAlign w:val="center"/>
          </w:tcPr>
          <w:p>
            <w:pPr>
              <w:widowControl/>
              <w:jc w:val="center"/>
              <w:textAlignment w:val="center"/>
              <w:rPr>
                <w:snapToGrid w:val="0"/>
                <w:color w:val="auto"/>
                <w:kern w:val="21"/>
                <w:szCs w:val="21"/>
              </w:rPr>
            </w:pPr>
            <w:r>
              <w:rPr>
                <w:rFonts w:hint="eastAsia"/>
                <w:color w:val="auto"/>
                <w:kern w:val="0"/>
                <w:szCs w:val="21"/>
                <w:lang w:bidi="ar"/>
              </w:rPr>
              <w:t>+</w:t>
            </w:r>
            <w:r>
              <w:rPr>
                <w:rFonts w:hint="eastAsia"/>
                <w:color w:val="auto"/>
                <w:kern w:val="0"/>
                <w:szCs w:val="21"/>
                <w:lang w:val="en-US" w:eastAsia="zh-CN" w:bidi="ar"/>
              </w:rPr>
              <w:t>0.793</w:t>
            </w:r>
            <w:r>
              <w:rPr>
                <w:color w:val="auto"/>
                <w:kern w:val="0"/>
                <w:szCs w:val="21"/>
                <w:lang w:bidi="ar"/>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3"/>
              <w:spacing w:beforeLines="0" w:afterLines="0" w:line="240" w:lineRule="auto"/>
              <w:rPr>
                <w:rFonts w:hAnsi="宋体" w:cs="宋体"/>
                <w:snapToGrid w:val="0"/>
                <w:color w:val="auto"/>
                <w:kern w:val="21"/>
                <w:szCs w:val="21"/>
              </w:rPr>
            </w:pPr>
          </w:p>
        </w:tc>
        <w:tc>
          <w:tcPr>
            <w:tcW w:w="1417" w:type="dxa"/>
            <w:vAlign w:val="center"/>
          </w:tcPr>
          <w:p>
            <w:pPr>
              <w:widowControl/>
              <w:jc w:val="center"/>
              <w:textAlignment w:val="center"/>
              <w:rPr>
                <w:color w:val="auto"/>
                <w:kern w:val="0"/>
                <w:sz w:val="21"/>
                <w:szCs w:val="21"/>
                <w:lang w:bidi="ar"/>
              </w:rPr>
            </w:pPr>
            <w:r>
              <w:rPr>
                <w:rFonts w:hint="eastAsia" w:ascii="宋体" w:hAnsi="宋体" w:cs="宋体"/>
                <w:color w:val="auto"/>
                <w:kern w:val="0"/>
                <w:sz w:val="21"/>
                <w:szCs w:val="21"/>
                <w:lang w:bidi="ar"/>
              </w:rPr>
              <w:t>废机油</w:t>
            </w:r>
          </w:p>
        </w:tc>
        <w:tc>
          <w:tcPr>
            <w:tcW w:w="1701" w:type="dxa"/>
            <w:vAlign w:val="center"/>
          </w:tcPr>
          <w:p>
            <w:pPr>
              <w:widowControl/>
              <w:jc w:val="center"/>
              <w:textAlignment w:val="center"/>
              <w:rPr>
                <w:snapToGrid w:val="0"/>
                <w:color w:val="auto"/>
                <w:kern w:val="21"/>
                <w:szCs w:val="21"/>
              </w:rPr>
            </w:pPr>
            <w:r>
              <w:rPr>
                <w:color w:val="auto"/>
                <w:kern w:val="0"/>
                <w:szCs w:val="21"/>
                <w:lang w:bidi="ar"/>
              </w:rPr>
              <w:t>0.050t/a</w:t>
            </w:r>
          </w:p>
        </w:tc>
        <w:tc>
          <w:tcPr>
            <w:tcW w:w="1276"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701"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559" w:type="dxa"/>
            <w:vAlign w:val="center"/>
          </w:tcPr>
          <w:p>
            <w:pPr>
              <w:widowControl/>
              <w:jc w:val="center"/>
              <w:textAlignment w:val="center"/>
              <w:rPr>
                <w:snapToGrid w:val="0"/>
                <w:color w:val="auto"/>
                <w:kern w:val="21"/>
                <w:szCs w:val="21"/>
              </w:rPr>
            </w:pPr>
            <w:r>
              <w:rPr>
                <w:color w:val="auto"/>
                <w:kern w:val="0"/>
                <w:szCs w:val="21"/>
                <w:lang w:bidi="ar"/>
              </w:rPr>
              <w:t>0.03t/a</w:t>
            </w:r>
          </w:p>
        </w:tc>
        <w:tc>
          <w:tcPr>
            <w:tcW w:w="1761" w:type="dxa"/>
            <w:vAlign w:val="center"/>
          </w:tcPr>
          <w:p>
            <w:pPr>
              <w:pStyle w:val="33"/>
              <w:spacing w:beforeLines="0" w:afterLines="0" w:line="240" w:lineRule="auto"/>
              <w:rPr>
                <w:rFonts w:ascii="Times New Roman" w:hAnsi="Times New Roman" w:cs="Times New Roman"/>
                <w:snapToGrid w:val="0"/>
                <w:color w:val="auto"/>
                <w:kern w:val="21"/>
                <w:szCs w:val="21"/>
              </w:rPr>
            </w:pPr>
            <w:r>
              <w:rPr>
                <w:rFonts w:hint="eastAsia" w:ascii="Times New Roman" w:hAnsi="Times New Roman" w:cs="Times New Roman"/>
                <w:snapToGrid w:val="0"/>
                <w:color w:val="auto"/>
                <w:kern w:val="21"/>
                <w:szCs w:val="21"/>
              </w:rPr>
              <w:t>/</w:t>
            </w:r>
          </w:p>
        </w:tc>
        <w:tc>
          <w:tcPr>
            <w:tcW w:w="1959" w:type="dxa"/>
            <w:vAlign w:val="center"/>
          </w:tcPr>
          <w:p>
            <w:pPr>
              <w:widowControl/>
              <w:jc w:val="center"/>
              <w:textAlignment w:val="center"/>
              <w:rPr>
                <w:snapToGrid w:val="0"/>
                <w:color w:val="auto"/>
                <w:kern w:val="21"/>
                <w:szCs w:val="21"/>
              </w:rPr>
            </w:pPr>
            <w:r>
              <w:rPr>
                <w:color w:val="auto"/>
                <w:kern w:val="0"/>
                <w:szCs w:val="21"/>
                <w:lang w:bidi="ar"/>
              </w:rPr>
              <w:t>0.080t/a</w:t>
            </w:r>
          </w:p>
        </w:tc>
        <w:tc>
          <w:tcPr>
            <w:tcW w:w="826" w:type="dxa"/>
            <w:vAlign w:val="center"/>
          </w:tcPr>
          <w:p>
            <w:pPr>
              <w:widowControl/>
              <w:jc w:val="center"/>
              <w:textAlignment w:val="center"/>
              <w:rPr>
                <w:snapToGrid w:val="0"/>
                <w:color w:val="auto"/>
                <w:kern w:val="21"/>
                <w:szCs w:val="21"/>
              </w:rPr>
            </w:pPr>
            <w:r>
              <w:rPr>
                <w:rFonts w:hint="eastAsia"/>
                <w:color w:val="auto"/>
                <w:kern w:val="0"/>
                <w:szCs w:val="21"/>
                <w:lang w:bidi="ar"/>
              </w:rPr>
              <w:t>+</w:t>
            </w:r>
            <w:r>
              <w:rPr>
                <w:color w:val="auto"/>
                <w:kern w:val="0"/>
                <w:szCs w:val="21"/>
                <w:lang w:bidi="ar"/>
              </w:rPr>
              <w:t>0.03t/a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3"/>
              <w:spacing w:beforeLines="0" w:afterLines="0" w:line="240" w:lineRule="auto"/>
              <w:rPr>
                <w:rFonts w:hAnsi="宋体" w:cs="宋体"/>
                <w:snapToGrid w:val="0"/>
                <w:color w:val="auto"/>
                <w:kern w:val="21"/>
                <w:szCs w:val="21"/>
              </w:rPr>
            </w:pPr>
          </w:p>
        </w:tc>
        <w:tc>
          <w:tcPr>
            <w:tcW w:w="1417" w:type="dxa"/>
            <w:vAlign w:val="center"/>
          </w:tcPr>
          <w:p>
            <w:pPr>
              <w:widowControl/>
              <w:jc w:val="center"/>
              <w:textAlignment w:val="center"/>
              <w:rPr>
                <w:snapToGrid w:val="0"/>
                <w:color w:val="auto"/>
                <w:kern w:val="21"/>
                <w:sz w:val="21"/>
                <w:szCs w:val="21"/>
              </w:rPr>
            </w:pPr>
            <w:r>
              <w:rPr>
                <w:rFonts w:hint="eastAsia"/>
                <w:color w:val="auto"/>
                <w:sz w:val="21"/>
                <w:szCs w:val="21"/>
              </w:rPr>
              <w:t>废弃的</w:t>
            </w:r>
            <w:r>
              <w:rPr>
                <w:color w:val="auto"/>
                <w:sz w:val="21"/>
                <w:szCs w:val="21"/>
              </w:rPr>
              <w:t>含油抹布、劳保用品</w:t>
            </w:r>
          </w:p>
        </w:tc>
        <w:tc>
          <w:tcPr>
            <w:tcW w:w="1701" w:type="dxa"/>
            <w:vAlign w:val="center"/>
          </w:tcPr>
          <w:p>
            <w:pPr>
              <w:widowControl/>
              <w:jc w:val="center"/>
              <w:textAlignment w:val="center"/>
              <w:rPr>
                <w:snapToGrid w:val="0"/>
                <w:color w:val="auto"/>
                <w:kern w:val="21"/>
                <w:szCs w:val="21"/>
              </w:rPr>
            </w:pPr>
            <w:r>
              <w:rPr>
                <w:color w:val="auto"/>
                <w:kern w:val="0"/>
                <w:szCs w:val="21"/>
                <w:lang w:bidi="ar"/>
              </w:rPr>
              <w:t>0.300t/a</w:t>
            </w:r>
          </w:p>
        </w:tc>
        <w:tc>
          <w:tcPr>
            <w:tcW w:w="1276"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701"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559" w:type="dxa"/>
            <w:vAlign w:val="center"/>
          </w:tcPr>
          <w:p>
            <w:pPr>
              <w:widowControl/>
              <w:jc w:val="center"/>
              <w:textAlignment w:val="center"/>
              <w:rPr>
                <w:snapToGrid w:val="0"/>
                <w:color w:val="auto"/>
                <w:kern w:val="21"/>
                <w:szCs w:val="21"/>
              </w:rPr>
            </w:pPr>
            <w:r>
              <w:rPr>
                <w:color w:val="auto"/>
                <w:kern w:val="0"/>
                <w:szCs w:val="21"/>
                <w:lang w:bidi="ar"/>
              </w:rPr>
              <w:t>0.03t/a</w:t>
            </w:r>
          </w:p>
        </w:tc>
        <w:tc>
          <w:tcPr>
            <w:tcW w:w="1761" w:type="dxa"/>
            <w:vAlign w:val="center"/>
          </w:tcPr>
          <w:p>
            <w:pPr>
              <w:pStyle w:val="33"/>
              <w:spacing w:beforeLines="0" w:afterLines="0" w:line="240" w:lineRule="auto"/>
              <w:rPr>
                <w:rFonts w:ascii="Times New Roman" w:hAnsi="Times New Roman" w:cs="Times New Roman"/>
                <w:snapToGrid w:val="0"/>
                <w:color w:val="auto"/>
                <w:kern w:val="21"/>
                <w:szCs w:val="21"/>
              </w:rPr>
            </w:pPr>
            <w:r>
              <w:rPr>
                <w:rFonts w:hint="eastAsia" w:ascii="Times New Roman" w:hAnsi="Times New Roman" w:cs="Times New Roman"/>
                <w:snapToGrid w:val="0"/>
                <w:color w:val="auto"/>
                <w:kern w:val="21"/>
                <w:szCs w:val="21"/>
              </w:rPr>
              <w:t>/</w:t>
            </w:r>
          </w:p>
        </w:tc>
        <w:tc>
          <w:tcPr>
            <w:tcW w:w="1959" w:type="dxa"/>
            <w:vAlign w:val="center"/>
          </w:tcPr>
          <w:p>
            <w:pPr>
              <w:widowControl/>
              <w:jc w:val="center"/>
              <w:textAlignment w:val="center"/>
              <w:rPr>
                <w:snapToGrid w:val="0"/>
                <w:color w:val="auto"/>
                <w:kern w:val="21"/>
                <w:szCs w:val="21"/>
              </w:rPr>
            </w:pPr>
            <w:r>
              <w:rPr>
                <w:color w:val="auto"/>
                <w:kern w:val="0"/>
                <w:szCs w:val="21"/>
                <w:lang w:bidi="ar"/>
              </w:rPr>
              <w:t>0.330t/a</w:t>
            </w:r>
          </w:p>
        </w:tc>
        <w:tc>
          <w:tcPr>
            <w:tcW w:w="826" w:type="dxa"/>
            <w:vAlign w:val="center"/>
          </w:tcPr>
          <w:p>
            <w:pPr>
              <w:widowControl/>
              <w:jc w:val="center"/>
              <w:textAlignment w:val="center"/>
              <w:rPr>
                <w:rFonts w:hint="default" w:ascii="Times New Roman" w:hAnsi="Times New Roman" w:cs="Times New Roman"/>
                <w:snapToGrid w:val="0"/>
                <w:color w:val="auto"/>
                <w:kern w:val="21"/>
                <w:szCs w:val="21"/>
              </w:rPr>
            </w:pPr>
            <w:r>
              <w:rPr>
                <w:rFonts w:hint="default" w:ascii="Times New Roman" w:hAnsi="Times New Roman" w:cs="Times New Roman"/>
                <w:color w:val="auto"/>
                <w:kern w:val="0"/>
                <w:szCs w:val="21"/>
                <w:lang w:bidi="ar"/>
              </w:rPr>
              <w:t>+0.03t/a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3"/>
              <w:spacing w:beforeLines="0" w:afterLines="0" w:line="240" w:lineRule="auto"/>
              <w:rPr>
                <w:rFonts w:hAnsi="宋体" w:cs="宋体"/>
                <w:snapToGrid w:val="0"/>
                <w:color w:val="auto"/>
                <w:kern w:val="21"/>
                <w:szCs w:val="21"/>
              </w:rPr>
            </w:pPr>
          </w:p>
        </w:tc>
        <w:tc>
          <w:tcPr>
            <w:tcW w:w="1417" w:type="dxa"/>
            <w:vAlign w:val="center"/>
          </w:tcPr>
          <w:p>
            <w:pPr>
              <w:pStyle w:val="33"/>
              <w:spacing w:beforeLines="0" w:afterLines="0" w:line="240" w:lineRule="auto"/>
              <w:rPr>
                <w:rFonts w:hint="default" w:ascii="Times New Roman" w:hAnsi="Times New Roman" w:cs="Times New Roman" w:eastAsiaTheme="minorEastAsia"/>
                <w:snapToGrid w:val="0"/>
                <w:color w:val="auto"/>
                <w:kern w:val="21"/>
                <w:szCs w:val="21"/>
                <w:lang w:val="en-US" w:eastAsia="zh-CN"/>
              </w:rPr>
            </w:pPr>
            <w:r>
              <w:rPr>
                <w:rFonts w:hint="eastAsia" w:ascii="Times New Roman" w:hAnsi="Times New Roman" w:cs="Times New Roman"/>
                <w:snapToGrid w:val="0"/>
                <w:color w:val="auto"/>
                <w:kern w:val="21"/>
                <w:szCs w:val="21"/>
                <w:lang w:eastAsia="zh-CN"/>
              </w:rPr>
              <w:t>废</w:t>
            </w:r>
            <w:r>
              <w:rPr>
                <w:rFonts w:hint="eastAsia" w:ascii="Times New Roman" w:hAnsi="Times New Roman" w:cs="Times New Roman"/>
                <w:snapToGrid w:val="0"/>
                <w:color w:val="auto"/>
                <w:kern w:val="21"/>
                <w:szCs w:val="21"/>
                <w:lang w:val="en-US" w:eastAsia="zh-CN"/>
              </w:rPr>
              <w:t>UV灯管</w:t>
            </w:r>
          </w:p>
        </w:tc>
        <w:tc>
          <w:tcPr>
            <w:tcW w:w="1701" w:type="dxa"/>
            <w:vAlign w:val="center"/>
          </w:tcPr>
          <w:p>
            <w:pPr>
              <w:pStyle w:val="33"/>
              <w:spacing w:beforeLines="0" w:afterLines="0" w:line="240" w:lineRule="auto"/>
              <w:rPr>
                <w:rFonts w:hint="default" w:ascii="Times New Roman" w:hAnsi="Times New Roman" w:cs="Times New Roman" w:eastAsiaTheme="minorEastAsia"/>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0t/a</w:t>
            </w:r>
          </w:p>
        </w:tc>
        <w:tc>
          <w:tcPr>
            <w:tcW w:w="1276"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701"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559" w:type="dxa"/>
            <w:vAlign w:val="center"/>
          </w:tcPr>
          <w:p>
            <w:pPr>
              <w:adjustRightInd w:val="0"/>
              <w:snapToGrid w:val="0"/>
              <w:jc w:val="center"/>
              <w:rPr>
                <w:snapToGrid w:val="0"/>
                <w:color w:val="auto"/>
                <w:kern w:val="21"/>
                <w:szCs w:val="21"/>
              </w:rPr>
            </w:pPr>
            <w:r>
              <w:rPr>
                <w:color w:val="auto"/>
                <w:kern w:val="0"/>
                <w:szCs w:val="21"/>
                <w:lang w:bidi="ar"/>
              </w:rPr>
              <w:t>0.03t/a</w:t>
            </w:r>
          </w:p>
        </w:tc>
        <w:tc>
          <w:tcPr>
            <w:tcW w:w="1761" w:type="dxa"/>
            <w:vAlign w:val="center"/>
          </w:tcPr>
          <w:p>
            <w:pPr>
              <w:pStyle w:val="33"/>
              <w:spacing w:beforeLines="0" w:afterLines="0" w:line="240" w:lineRule="auto"/>
              <w:rPr>
                <w:rFonts w:hint="eastAsia" w:ascii="Times New Roman" w:hAnsi="Times New Roman" w:cs="Times New Roman" w:eastAsiaTheme="minorEastAsia"/>
                <w:snapToGrid w:val="0"/>
                <w:color w:val="auto"/>
                <w:kern w:val="21"/>
                <w:szCs w:val="21"/>
                <w:lang w:val="en-US" w:eastAsia="zh-CN"/>
              </w:rPr>
            </w:pPr>
            <w:r>
              <w:rPr>
                <w:rFonts w:hint="eastAsia" w:ascii="Times New Roman" w:hAnsi="Times New Roman" w:cs="Times New Roman"/>
                <w:snapToGrid w:val="0"/>
                <w:color w:val="auto"/>
                <w:kern w:val="21"/>
                <w:szCs w:val="21"/>
                <w:lang w:val="en-US" w:eastAsia="zh-CN"/>
              </w:rPr>
              <w:t>/</w:t>
            </w:r>
          </w:p>
        </w:tc>
        <w:tc>
          <w:tcPr>
            <w:tcW w:w="1959" w:type="dxa"/>
            <w:vAlign w:val="center"/>
          </w:tcPr>
          <w:p>
            <w:pPr>
              <w:adjustRightInd w:val="0"/>
              <w:snapToGrid w:val="0"/>
              <w:jc w:val="center"/>
              <w:rPr>
                <w:snapToGrid w:val="0"/>
                <w:color w:val="auto"/>
                <w:kern w:val="21"/>
                <w:szCs w:val="21"/>
              </w:rPr>
            </w:pPr>
            <w:r>
              <w:rPr>
                <w:color w:val="auto"/>
                <w:kern w:val="0"/>
                <w:szCs w:val="21"/>
                <w:lang w:bidi="ar"/>
              </w:rPr>
              <w:t>0.03t/a</w:t>
            </w:r>
          </w:p>
        </w:tc>
        <w:tc>
          <w:tcPr>
            <w:tcW w:w="826" w:type="dxa"/>
            <w:vAlign w:val="center"/>
          </w:tcPr>
          <w:p>
            <w:pPr>
              <w:pStyle w:val="33"/>
              <w:spacing w:beforeLines="0" w:afterLines="0" w:line="240" w:lineRule="auto"/>
              <w:rPr>
                <w:rFonts w:hint="default" w:ascii="Times New Roman" w:hAnsi="Times New Roman" w:cs="Times New Roman"/>
                <w:snapToGrid w:val="0"/>
                <w:color w:val="auto"/>
                <w:kern w:val="21"/>
                <w:szCs w:val="21"/>
              </w:rPr>
            </w:pPr>
            <w:r>
              <w:rPr>
                <w:rFonts w:hint="default" w:ascii="Times New Roman" w:hAnsi="Times New Roman" w:cs="Times New Roman"/>
                <w:color w:val="auto"/>
                <w:kern w:val="0"/>
                <w:szCs w:val="21"/>
                <w:lang w:val="en-US" w:eastAsia="zh-CN" w:bidi="ar"/>
              </w:rPr>
              <w:t>+</w:t>
            </w:r>
            <w:r>
              <w:rPr>
                <w:rFonts w:hint="default" w:ascii="Times New Roman" w:hAnsi="Times New Roman" w:cs="Times New Roman"/>
                <w:color w:val="auto"/>
                <w:kern w:val="0"/>
                <w:szCs w:val="21"/>
                <w:lang w:bidi="ar"/>
              </w:rPr>
              <w:t>0.03t/a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33"/>
              <w:spacing w:beforeLines="0" w:afterLines="0" w:line="240" w:lineRule="auto"/>
              <w:rPr>
                <w:rFonts w:hAnsi="宋体" w:cs="宋体"/>
                <w:snapToGrid w:val="0"/>
                <w:color w:val="auto"/>
                <w:kern w:val="21"/>
                <w:szCs w:val="21"/>
              </w:rPr>
            </w:pPr>
          </w:p>
        </w:tc>
        <w:tc>
          <w:tcPr>
            <w:tcW w:w="1417"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701"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276"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701"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559" w:type="dxa"/>
            <w:vAlign w:val="center"/>
          </w:tcPr>
          <w:p>
            <w:pPr>
              <w:adjustRightInd w:val="0"/>
              <w:snapToGrid w:val="0"/>
              <w:jc w:val="center"/>
              <w:rPr>
                <w:snapToGrid w:val="0"/>
                <w:color w:val="auto"/>
                <w:kern w:val="21"/>
                <w:szCs w:val="21"/>
              </w:rPr>
            </w:pPr>
          </w:p>
        </w:tc>
        <w:tc>
          <w:tcPr>
            <w:tcW w:w="1761" w:type="dxa"/>
            <w:vAlign w:val="center"/>
          </w:tcPr>
          <w:p>
            <w:pPr>
              <w:pStyle w:val="33"/>
              <w:spacing w:beforeLines="0" w:afterLines="0" w:line="240" w:lineRule="auto"/>
              <w:rPr>
                <w:rFonts w:ascii="Times New Roman" w:hAnsi="Times New Roman" w:cs="Times New Roman"/>
                <w:snapToGrid w:val="0"/>
                <w:color w:val="auto"/>
                <w:kern w:val="21"/>
                <w:szCs w:val="21"/>
              </w:rPr>
            </w:pPr>
          </w:p>
        </w:tc>
        <w:tc>
          <w:tcPr>
            <w:tcW w:w="1959" w:type="dxa"/>
            <w:vAlign w:val="center"/>
          </w:tcPr>
          <w:p>
            <w:pPr>
              <w:adjustRightInd w:val="0"/>
              <w:snapToGrid w:val="0"/>
              <w:jc w:val="center"/>
              <w:rPr>
                <w:snapToGrid w:val="0"/>
                <w:color w:val="auto"/>
                <w:kern w:val="21"/>
                <w:szCs w:val="21"/>
              </w:rPr>
            </w:pPr>
          </w:p>
        </w:tc>
        <w:tc>
          <w:tcPr>
            <w:tcW w:w="826" w:type="dxa"/>
            <w:vAlign w:val="center"/>
          </w:tcPr>
          <w:p>
            <w:pPr>
              <w:pStyle w:val="33"/>
              <w:spacing w:beforeLines="0" w:afterLines="0" w:line="240" w:lineRule="auto"/>
              <w:rPr>
                <w:rFonts w:ascii="Times New Roman" w:hAnsi="Times New Roman" w:cs="Times New Roman"/>
                <w:snapToGrid w:val="0"/>
                <w:color w:val="auto"/>
                <w:kern w:val="21"/>
                <w:szCs w:val="21"/>
              </w:rPr>
            </w:pPr>
          </w:p>
        </w:tc>
      </w:tr>
    </w:tbl>
    <w:p>
      <w:pPr>
        <w:pStyle w:val="33"/>
        <w:spacing w:before="192" w:beforeLines="80" w:after="24"/>
        <w:jc w:val="left"/>
        <w:rPr>
          <w:rFonts w:hAnsi="宋体"/>
          <w:snapToGrid w:val="0"/>
          <w:color w:val="auto"/>
          <w:spacing w:val="-6"/>
          <w:kern w:val="21"/>
          <w:szCs w:val="21"/>
        </w:rPr>
      </w:pPr>
      <w:r>
        <w:rPr>
          <w:rFonts w:hAnsi="宋体"/>
          <w:snapToGrid w:val="0"/>
          <w:color w:val="auto"/>
          <w:kern w:val="21"/>
          <w:szCs w:val="21"/>
        </w:rPr>
        <w:t>注：</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3 \* GB3 \* MERGEFORMAT </w:instrText>
      </w:r>
      <w:r>
        <w:rPr>
          <w:rFonts w:hAnsi="宋体"/>
          <w:snapToGrid w:val="0"/>
          <w:color w:val="auto"/>
          <w:spacing w:val="-6"/>
          <w:kern w:val="21"/>
          <w:szCs w:val="21"/>
        </w:rPr>
        <w:fldChar w:fldCharType="separate"/>
      </w:r>
      <w:r>
        <w:rPr>
          <w:rFonts w:hint="eastAsia" w:hAnsi="宋体"/>
          <w:color w:val="auto"/>
          <w:szCs w:val="21"/>
        </w:rPr>
        <w:t>③</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Pr>
          <w:rFonts w:hAnsi="宋体"/>
          <w:snapToGrid w:val="0"/>
          <w:color w:val="auto"/>
          <w:spacing w:val="-6"/>
          <w:kern w:val="21"/>
          <w:szCs w:val="21"/>
        </w:rPr>
        <w:fldChar w:fldCharType="separate"/>
      </w:r>
      <w:r>
        <w:rPr>
          <w:rFonts w:hint="eastAsia" w:hAnsi="宋体"/>
          <w:color w:val="auto"/>
          <w:szCs w:val="21"/>
        </w:rPr>
        <w:t>④</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5 \* GB3 \* MERGEFORMAT </w:instrText>
      </w:r>
      <w:r>
        <w:rPr>
          <w:rFonts w:hAnsi="宋体"/>
          <w:snapToGrid w:val="0"/>
          <w:color w:val="auto"/>
          <w:spacing w:val="-16"/>
          <w:kern w:val="21"/>
          <w:szCs w:val="21"/>
        </w:rPr>
        <w:fldChar w:fldCharType="separate"/>
      </w:r>
      <w:r>
        <w:rPr>
          <w:rFonts w:hint="eastAsia" w:hAnsi="宋体"/>
          <w:color w:val="auto"/>
          <w:szCs w:val="21"/>
        </w:rPr>
        <w:t>⑤</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Pr>
          <w:rFonts w:hAnsi="宋体"/>
          <w:snapToGrid w:val="0"/>
          <w:color w:val="auto"/>
          <w:spacing w:val="-6"/>
          <w:kern w:val="21"/>
          <w:szCs w:val="21"/>
        </w:rPr>
        <w:fldChar w:fldCharType="separate"/>
      </w:r>
      <w:r>
        <w:rPr>
          <w:rFonts w:hint="eastAsia" w:hAnsi="宋体"/>
          <w:color w:val="auto"/>
          <w:szCs w:val="21"/>
        </w:rPr>
        <w:t>⑦</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p>
    <w:p>
      <w:pPr>
        <w:tabs>
          <w:tab w:val="left" w:pos="8498"/>
        </w:tabs>
        <w:rPr>
          <w:rFonts w:hint="eastAsia"/>
          <w:color w:val="auto"/>
        </w:rPr>
      </w:pPr>
      <w:r>
        <w:rPr>
          <w:rFonts w:hint="eastAsia"/>
          <w:color w:val="auto"/>
        </w:rPr>
        <w:tab/>
      </w:r>
    </w:p>
    <w:p>
      <w:pPr>
        <w:pStyle w:val="2"/>
        <w:rPr>
          <w:rFonts w:hint="eastAsia"/>
          <w:color w:val="auto"/>
        </w:rPr>
      </w:pPr>
    </w:p>
    <w:p>
      <w:pPr>
        <w:pStyle w:val="3"/>
        <w:rPr>
          <w:rFonts w:hint="eastAsia"/>
          <w:color w:val="auto"/>
        </w:rPr>
      </w:pPr>
    </w:p>
    <w:p>
      <w:pPr>
        <w:rPr>
          <w:rFonts w:hint="eastAsia"/>
          <w:color w:val="auto"/>
        </w:rPr>
      </w:pPr>
    </w:p>
    <w:p>
      <w:pPr>
        <w:pStyle w:val="2"/>
        <w:rPr>
          <w:rFonts w:hint="eastAsia"/>
          <w:color w:val="auto"/>
        </w:rPr>
      </w:pPr>
    </w:p>
    <w:p>
      <w:pPr>
        <w:pStyle w:val="3"/>
        <w:rPr>
          <w:rFonts w:hint="eastAsia"/>
          <w:color w:val="auto"/>
        </w:rPr>
      </w:pPr>
    </w:p>
    <w:p>
      <w:pPr>
        <w:rPr>
          <w:rFonts w:hint="eastAsia"/>
          <w:color w:val="auto"/>
        </w:rPr>
      </w:pPr>
    </w:p>
    <w:p>
      <w:pPr>
        <w:pStyle w:val="2"/>
        <w:rPr>
          <w:rFonts w:hint="eastAsia"/>
          <w:color w:val="auto"/>
        </w:rPr>
      </w:pPr>
    </w:p>
    <w:p>
      <w:pPr>
        <w:pStyle w:val="3"/>
        <w:rPr>
          <w:rFonts w:hint="eastAsia"/>
          <w:color w:val="auto"/>
        </w:rPr>
      </w:pPr>
    </w:p>
    <w:p>
      <w:pPr>
        <w:rPr>
          <w:rFonts w:hint="eastAsia"/>
          <w:color w:val="auto"/>
        </w:rPr>
      </w:pPr>
    </w:p>
    <w:p>
      <w:pPr>
        <w:pStyle w:val="2"/>
        <w:rPr>
          <w:rFonts w:hint="eastAsia"/>
          <w:color w:val="auto"/>
        </w:rPr>
      </w:pPr>
    </w:p>
    <w:p>
      <w:pPr>
        <w:pStyle w:val="3"/>
        <w:sectPr>
          <w:footerReference r:id="rId4" w:type="default"/>
          <w:pgSz w:w="16838" w:h="11905" w:orient="landscape"/>
          <w:pgMar w:top="1531" w:right="1701" w:bottom="1531" w:left="2126" w:header="851" w:footer="850" w:gutter="0"/>
          <w:pgBorders>
            <w:top w:val="none" w:sz="0" w:space="0"/>
            <w:left w:val="none" w:sz="0" w:space="0"/>
            <w:bottom w:val="none" w:sz="0" w:space="0"/>
            <w:right w:val="none" w:sz="0" w:space="0"/>
          </w:pgBorders>
          <w:cols w:space="0" w:num="1"/>
          <w:docGrid w:linePitch="312" w:charSpace="0"/>
        </w:sectPr>
      </w:pPr>
    </w:p>
    <w:p>
      <w:pPr>
        <w:rPr>
          <w:rFonts w:hint="eastAsia" w:eastAsia="宋体"/>
          <w:lang w:eastAsia="zh-CN"/>
        </w:rPr>
      </w:pPr>
      <w:bookmarkStart w:id="5" w:name="_GoBack"/>
      <w:r>
        <w:rPr>
          <w:rFonts w:hint="eastAsia" w:eastAsia="宋体"/>
          <w:lang w:eastAsia="zh-CN"/>
        </w:rPr>
        <w:drawing>
          <wp:inline distT="0" distB="0" distL="114300" distR="114300">
            <wp:extent cx="5534025" cy="7639050"/>
            <wp:effectExtent l="0" t="0" r="9525" b="0"/>
            <wp:docPr id="4" name="图片 4"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3"/>
                    <pic:cNvPicPr>
                      <a:picLocks noChangeAspect="1"/>
                    </pic:cNvPicPr>
                  </pic:nvPicPr>
                  <pic:blipFill>
                    <a:blip r:embed="rId24"/>
                    <a:stretch>
                      <a:fillRect/>
                    </a:stretch>
                  </pic:blipFill>
                  <pic:spPr>
                    <a:xfrm>
                      <a:off x="0" y="0"/>
                      <a:ext cx="5534025" cy="7639050"/>
                    </a:xfrm>
                    <a:prstGeom prst="rect">
                      <a:avLst/>
                    </a:prstGeom>
                  </pic:spPr>
                </pic:pic>
              </a:graphicData>
            </a:graphic>
          </wp:inline>
        </w:drawing>
      </w:r>
      <w:bookmarkEnd w:id="5"/>
    </w:p>
    <w:sectPr>
      <w:pgSz w:w="11905" w:h="16838"/>
      <w:pgMar w:top="1701" w:right="1531" w:bottom="2126" w:left="1531" w:header="851" w:footer="850" w:gutter="0"/>
      <w:paperSrc/>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utch801 Rm BT">
    <w:panose1 w:val="02020603060505020304"/>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STSong-Light">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PMingLiU">
    <w:panose1 w:val="02020500000000000000"/>
    <w:charset w:val="88"/>
    <w:family w:val="roman"/>
    <w:pitch w:val="default"/>
    <w:sig w:usb0="A00002FF" w:usb1="28CFFCFA" w:usb2="00000016" w:usb3="00000000" w:csb0="00100001" w:csb1="00000000"/>
  </w:font>
  <w:font w:name="Helvetica">
    <w:altName w:val="Arial"/>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16" w:usb3="00000000" w:csb0="0004000F" w:csb1="00000000"/>
  </w:font>
  <w:font w:name="FZFangSong-Z02">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25"/>
        <w:rFonts w:ascii="宋体" w:hAnsi="宋体"/>
        <w:sz w:val="28"/>
        <w:szCs w:val="28"/>
      </w:rPr>
    </w:pPr>
    <w:r>
      <w:rPr>
        <w:rStyle w:val="25"/>
        <w:rFonts w:hint="eastAsia" w:ascii="宋体" w:hAnsi="宋体"/>
        <w:sz w:val="28"/>
        <w:szCs w:val="28"/>
      </w:rPr>
      <w:t>—</w:t>
    </w:r>
    <w:r>
      <w:rPr>
        <w:rStyle w:val="25"/>
        <w:rFonts w:hint="eastAsia" w:ascii="宋体" w:hAnsi="宋体"/>
        <w:sz w:val="20"/>
      </w:rPr>
      <w:t xml:space="preserve">  </w:t>
    </w:r>
    <w:r>
      <w:rPr>
        <w:rStyle w:val="25"/>
        <w:rFonts w:ascii="宋体" w:hAnsi="宋体"/>
        <w:sz w:val="26"/>
        <w:szCs w:val="26"/>
      </w:rPr>
      <w:fldChar w:fldCharType="begin"/>
    </w:r>
    <w:r>
      <w:rPr>
        <w:rStyle w:val="25"/>
        <w:rFonts w:ascii="宋体" w:hAnsi="宋体"/>
        <w:sz w:val="26"/>
        <w:szCs w:val="26"/>
      </w:rPr>
      <w:instrText xml:space="preserve">PAGE  </w:instrText>
    </w:r>
    <w:r>
      <w:rPr>
        <w:rStyle w:val="25"/>
        <w:rFonts w:ascii="宋体" w:hAnsi="宋体"/>
        <w:sz w:val="26"/>
        <w:szCs w:val="26"/>
      </w:rPr>
      <w:fldChar w:fldCharType="separate"/>
    </w:r>
    <w:r>
      <w:rPr>
        <w:rStyle w:val="25"/>
        <w:rFonts w:ascii="宋体" w:hAnsi="宋体"/>
        <w:sz w:val="26"/>
        <w:szCs w:val="26"/>
      </w:rPr>
      <w:t>73</w:t>
    </w:r>
    <w:r>
      <w:rPr>
        <w:rStyle w:val="25"/>
        <w:rFonts w:ascii="宋体" w:hAnsi="宋体"/>
        <w:sz w:val="26"/>
        <w:szCs w:val="26"/>
      </w:rPr>
      <w:fldChar w:fldCharType="end"/>
    </w:r>
    <w:r>
      <w:rPr>
        <w:rStyle w:val="25"/>
        <w:rFonts w:hint="eastAsia" w:ascii="宋体" w:hAnsi="宋体"/>
        <w:sz w:val="20"/>
      </w:rPr>
      <w:t xml:space="preserve">  </w:t>
    </w:r>
    <w:r>
      <w:rPr>
        <w:rStyle w:val="25"/>
        <w:rFonts w:hint="eastAsia" w:ascii="宋体" w:hAnsi="宋体"/>
        <w:sz w:val="28"/>
        <w:szCs w:val="28"/>
      </w:rPr>
      <w:t>—</w:t>
    </w:r>
  </w:p>
  <w:p>
    <w:pPr>
      <w:pStyle w:val="17"/>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outside" w:y="1"/>
      <w:rPr>
        <w:rStyle w:val="25"/>
        <w:rFonts w:ascii="宋体" w:hAnsi="宋体"/>
        <w:sz w:val="28"/>
        <w:szCs w:val="28"/>
      </w:rPr>
    </w:pPr>
    <w:r>
      <w:rPr>
        <w:rStyle w:val="25"/>
        <w:rFonts w:hint="eastAsia" w:ascii="宋体" w:hAnsi="宋体"/>
        <w:sz w:val="28"/>
        <w:szCs w:val="28"/>
      </w:rPr>
      <w:t>—</w:t>
    </w:r>
    <w:r>
      <w:rPr>
        <w:rStyle w:val="25"/>
        <w:rFonts w:hint="eastAsia" w:ascii="宋体" w:hAnsi="宋体"/>
        <w:sz w:val="20"/>
      </w:rPr>
      <w:t xml:space="preserve">  </w:t>
    </w:r>
    <w:r>
      <w:rPr>
        <w:rStyle w:val="25"/>
        <w:rFonts w:ascii="宋体" w:hAnsi="宋体"/>
        <w:sz w:val="26"/>
        <w:szCs w:val="26"/>
      </w:rPr>
      <w:fldChar w:fldCharType="begin"/>
    </w:r>
    <w:r>
      <w:rPr>
        <w:rStyle w:val="25"/>
        <w:rFonts w:ascii="宋体" w:hAnsi="宋体"/>
        <w:sz w:val="26"/>
        <w:szCs w:val="26"/>
      </w:rPr>
      <w:instrText xml:space="preserve">PAGE  </w:instrText>
    </w:r>
    <w:r>
      <w:rPr>
        <w:rStyle w:val="25"/>
        <w:rFonts w:ascii="宋体" w:hAnsi="宋体"/>
        <w:sz w:val="26"/>
        <w:szCs w:val="26"/>
      </w:rPr>
      <w:fldChar w:fldCharType="separate"/>
    </w:r>
    <w:r>
      <w:rPr>
        <w:rStyle w:val="25"/>
        <w:rFonts w:ascii="宋体" w:hAnsi="宋体"/>
        <w:sz w:val="26"/>
        <w:szCs w:val="26"/>
      </w:rPr>
      <w:t>75</w:t>
    </w:r>
    <w:r>
      <w:rPr>
        <w:rStyle w:val="25"/>
        <w:rFonts w:ascii="宋体" w:hAnsi="宋体"/>
        <w:sz w:val="26"/>
        <w:szCs w:val="26"/>
      </w:rPr>
      <w:fldChar w:fldCharType="end"/>
    </w:r>
    <w:r>
      <w:rPr>
        <w:rStyle w:val="25"/>
        <w:rFonts w:hint="eastAsia" w:ascii="宋体" w:hAnsi="宋体"/>
        <w:sz w:val="20"/>
      </w:rPr>
      <w:t xml:space="preserve">  </w:t>
    </w:r>
    <w:r>
      <w:rPr>
        <w:rStyle w:val="25"/>
        <w:rFonts w:hint="eastAsia" w:ascii="宋体" w:hAnsi="宋体"/>
        <w:sz w:val="28"/>
        <w:szCs w:val="28"/>
      </w:rPr>
      <w:t>—</w:t>
    </w:r>
  </w:p>
  <w:p>
    <w:pPr>
      <w:pStyle w:val="17"/>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EE279D"/>
    <w:multiLevelType w:val="multilevel"/>
    <w:tmpl w:val="39EE279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2NGQ4NjE1ZWE5YTk0YWVlZWMzYTNlODE2N2I1MjgifQ=="/>
  </w:docVars>
  <w:rsids>
    <w:rsidRoot w:val="00977E03"/>
    <w:rsid w:val="000127FF"/>
    <w:rsid w:val="000265D1"/>
    <w:rsid w:val="000424CF"/>
    <w:rsid w:val="00052A18"/>
    <w:rsid w:val="00053F57"/>
    <w:rsid w:val="00087917"/>
    <w:rsid w:val="0009075B"/>
    <w:rsid w:val="000D24D4"/>
    <w:rsid w:val="0010406F"/>
    <w:rsid w:val="00112A94"/>
    <w:rsid w:val="00121915"/>
    <w:rsid w:val="00131743"/>
    <w:rsid w:val="00140A50"/>
    <w:rsid w:val="00144995"/>
    <w:rsid w:val="00145C7E"/>
    <w:rsid w:val="001474EF"/>
    <w:rsid w:val="00155DD1"/>
    <w:rsid w:val="001570FF"/>
    <w:rsid w:val="00160407"/>
    <w:rsid w:val="00160EE8"/>
    <w:rsid w:val="001672F3"/>
    <w:rsid w:val="0017078E"/>
    <w:rsid w:val="00176E25"/>
    <w:rsid w:val="00177F50"/>
    <w:rsid w:val="00186AF4"/>
    <w:rsid w:val="001963E2"/>
    <w:rsid w:val="001C487E"/>
    <w:rsid w:val="001C5126"/>
    <w:rsid w:val="001D66AC"/>
    <w:rsid w:val="001E51E6"/>
    <w:rsid w:val="00201AA0"/>
    <w:rsid w:val="00210D6B"/>
    <w:rsid w:val="00215930"/>
    <w:rsid w:val="0022028F"/>
    <w:rsid w:val="002226FD"/>
    <w:rsid w:val="00227CCB"/>
    <w:rsid w:val="0023598D"/>
    <w:rsid w:val="00241371"/>
    <w:rsid w:val="00275DFE"/>
    <w:rsid w:val="002A1EB6"/>
    <w:rsid w:val="002B21C2"/>
    <w:rsid w:val="002B77B7"/>
    <w:rsid w:val="002D6E30"/>
    <w:rsid w:val="00300A7D"/>
    <w:rsid w:val="00300D55"/>
    <w:rsid w:val="00310739"/>
    <w:rsid w:val="003377B9"/>
    <w:rsid w:val="00353BB9"/>
    <w:rsid w:val="00363C02"/>
    <w:rsid w:val="00377911"/>
    <w:rsid w:val="003A2781"/>
    <w:rsid w:val="003B2709"/>
    <w:rsid w:val="003B643A"/>
    <w:rsid w:val="003C449B"/>
    <w:rsid w:val="003F249F"/>
    <w:rsid w:val="003F6AFF"/>
    <w:rsid w:val="00407F66"/>
    <w:rsid w:val="0041451E"/>
    <w:rsid w:val="00465472"/>
    <w:rsid w:val="004817B8"/>
    <w:rsid w:val="00494FFB"/>
    <w:rsid w:val="004B2D8D"/>
    <w:rsid w:val="004C0647"/>
    <w:rsid w:val="004C252A"/>
    <w:rsid w:val="004F17D8"/>
    <w:rsid w:val="004F7AA6"/>
    <w:rsid w:val="00517AB8"/>
    <w:rsid w:val="0054032D"/>
    <w:rsid w:val="00542C27"/>
    <w:rsid w:val="005447CD"/>
    <w:rsid w:val="00561E99"/>
    <w:rsid w:val="005748DA"/>
    <w:rsid w:val="005949B9"/>
    <w:rsid w:val="005A08C5"/>
    <w:rsid w:val="005A3643"/>
    <w:rsid w:val="005B55B0"/>
    <w:rsid w:val="005C2D16"/>
    <w:rsid w:val="005C74EA"/>
    <w:rsid w:val="005D247B"/>
    <w:rsid w:val="005D563A"/>
    <w:rsid w:val="005F65CD"/>
    <w:rsid w:val="00617418"/>
    <w:rsid w:val="00652DE1"/>
    <w:rsid w:val="006655C1"/>
    <w:rsid w:val="006702BD"/>
    <w:rsid w:val="006910FD"/>
    <w:rsid w:val="00695632"/>
    <w:rsid w:val="006B27F3"/>
    <w:rsid w:val="006B773E"/>
    <w:rsid w:val="006C0ABD"/>
    <w:rsid w:val="006C3AE9"/>
    <w:rsid w:val="006C721F"/>
    <w:rsid w:val="006E5FD8"/>
    <w:rsid w:val="006F4FC1"/>
    <w:rsid w:val="007009F3"/>
    <w:rsid w:val="007141FE"/>
    <w:rsid w:val="0071653C"/>
    <w:rsid w:val="007204B7"/>
    <w:rsid w:val="00742AC5"/>
    <w:rsid w:val="0074340E"/>
    <w:rsid w:val="0075101B"/>
    <w:rsid w:val="00776648"/>
    <w:rsid w:val="007867CA"/>
    <w:rsid w:val="00795D14"/>
    <w:rsid w:val="007B6DF1"/>
    <w:rsid w:val="007C2561"/>
    <w:rsid w:val="007C5C8C"/>
    <w:rsid w:val="007E2EF7"/>
    <w:rsid w:val="007E3E72"/>
    <w:rsid w:val="007E5882"/>
    <w:rsid w:val="007F6098"/>
    <w:rsid w:val="008241AE"/>
    <w:rsid w:val="00832C32"/>
    <w:rsid w:val="008469BE"/>
    <w:rsid w:val="0087167F"/>
    <w:rsid w:val="00874938"/>
    <w:rsid w:val="00877EBC"/>
    <w:rsid w:val="008969E9"/>
    <w:rsid w:val="008B20B9"/>
    <w:rsid w:val="008B32D6"/>
    <w:rsid w:val="008B79FC"/>
    <w:rsid w:val="008D07CA"/>
    <w:rsid w:val="0092134B"/>
    <w:rsid w:val="0094413C"/>
    <w:rsid w:val="009510B3"/>
    <w:rsid w:val="00953D9C"/>
    <w:rsid w:val="009545F5"/>
    <w:rsid w:val="00955FE8"/>
    <w:rsid w:val="00972C35"/>
    <w:rsid w:val="00977B96"/>
    <w:rsid w:val="00977E03"/>
    <w:rsid w:val="00997D30"/>
    <w:rsid w:val="009A0628"/>
    <w:rsid w:val="009A54D2"/>
    <w:rsid w:val="009C3076"/>
    <w:rsid w:val="009E28C5"/>
    <w:rsid w:val="009F2AC7"/>
    <w:rsid w:val="00A0439B"/>
    <w:rsid w:val="00A10D5D"/>
    <w:rsid w:val="00A1590E"/>
    <w:rsid w:val="00A274AE"/>
    <w:rsid w:val="00A30546"/>
    <w:rsid w:val="00A3470B"/>
    <w:rsid w:val="00A376DD"/>
    <w:rsid w:val="00A663D5"/>
    <w:rsid w:val="00A70C27"/>
    <w:rsid w:val="00A82B34"/>
    <w:rsid w:val="00A95627"/>
    <w:rsid w:val="00AB0466"/>
    <w:rsid w:val="00AB6AF4"/>
    <w:rsid w:val="00AC2B4D"/>
    <w:rsid w:val="00AC424C"/>
    <w:rsid w:val="00AD558A"/>
    <w:rsid w:val="00AF1AE2"/>
    <w:rsid w:val="00AF56E2"/>
    <w:rsid w:val="00B00CB3"/>
    <w:rsid w:val="00B1741D"/>
    <w:rsid w:val="00B33FBC"/>
    <w:rsid w:val="00B401F2"/>
    <w:rsid w:val="00B415D5"/>
    <w:rsid w:val="00B46EE0"/>
    <w:rsid w:val="00B6164F"/>
    <w:rsid w:val="00B73698"/>
    <w:rsid w:val="00B7416B"/>
    <w:rsid w:val="00B907D4"/>
    <w:rsid w:val="00BA2570"/>
    <w:rsid w:val="00BB73B0"/>
    <w:rsid w:val="00BD7336"/>
    <w:rsid w:val="00BD7682"/>
    <w:rsid w:val="00BF0E19"/>
    <w:rsid w:val="00BF706B"/>
    <w:rsid w:val="00C101D5"/>
    <w:rsid w:val="00C148E8"/>
    <w:rsid w:val="00C1559B"/>
    <w:rsid w:val="00C1778E"/>
    <w:rsid w:val="00C25254"/>
    <w:rsid w:val="00C472DA"/>
    <w:rsid w:val="00C51469"/>
    <w:rsid w:val="00C53F8F"/>
    <w:rsid w:val="00C84172"/>
    <w:rsid w:val="00C86C39"/>
    <w:rsid w:val="00C92404"/>
    <w:rsid w:val="00C9260A"/>
    <w:rsid w:val="00C93969"/>
    <w:rsid w:val="00CC025C"/>
    <w:rsid w:val="00CC04AE"/>
    <w:rsid w:val="00CD79DA"/>
    <w:rsid w:val="00CE3B28"/>
    <w:rsid w:val="00D05A9D"/>
    <w:rsid w:val="00D062CF"/>
    <w:rsid w:val="00D20B4D"/>
    <w:rsid w:val="00D20EA1"/>
    <w:rsid w:val="00D27025"/>
    <w:rsid w:val="00D31261"/>
    <w:rsid w:val="00D3302D"/>
    <w:rsid w:val="00D35E31"/>
    <w:rsid w:val="00D74414"/>
    <w:rsid w:val="00DA2608"/>
    <w:rsid w:val="00DA3F83"/>
    <w:rsid w:val="00DB6F4D"/>
    <w:rsid w:val="00DB6F56"/>
    <w:rsid w:val="00DE0524"/>
    <w:rsid w:val="00E042B7"/>
    <w:rsid w:val="00E1527E"/>
    <w:rsid w:val="00E3424C"/>
    <w:rsid w:val="00E375AC"/>
    <w:rsid w:val="00E645F8"/>
    <w:rsid w:val="00E667B8"/>
    <w:rsid w:val="00E67B82"/>
    <w:rsid w:val="00E77531"/>
    <w:rsid w:val="00E80370"/>
    <w:rsid w:val="00EB45A9"/>
    <w:rsid w:val="00EB5C0D"/>
    <w:rsid w:val="00EC4205"/>
    <w:rsid w:val="00EC491D"/>
    <w:rsid w:val="00F13CC0"/>
    <w:rsid w:val="00F145A0"/>
    <w:rsid w:val="00F44B13"/>
    <w:rsid w:val="00F46362"/>
    <w:rsid w:val="00F523FB"/>
    <w:rsid w:val="00F55858"/>
    <w:rsid w:val="00F9465D"/>
    <w:rsid w:val="00F95B9E"/>
    <w:rsid w:val="00FA3EB3"/>
    <w:rsid w:val="00FB3B7E"/>
    <w:rsid w:val="00FC1CEE"/>
    <w:rsid w:val="00FE333F"/>
    <w:rsid w:val="01001B5E"/>
    <w:rsid w:val="010158D6"/>
    <w:rsid w:val="0102626F"/>
    <w:rsid w:val="01060E2A"/>
    <w:rsid w:val="01073249"/>
    <w:rsid w:val="010C5839"/>
    <w:rsid w:val="010D14DD"/>
    <w:rsid w:val="010D15CF"/>
    <w:rsid w:val="011323AD"/>
    <w:rsid w:val="01154EDD"/>
    <w:rsid w:val="0116312F"/>
    <w:rsid w:val="01192C1F"/>
    <w:rsid w:val="01197A7B"/>
    <w:rsid w:val="011B1617"/>
    <w:rsid w:val="011D2710"/>
    <w:rsid w:val="011E142C"/>
    <w:rsid w:val="011F03D2"/>
    <w:rsid w:val="011F19B5"/>
    <w:rsid w:val="0121451C"/>
    <w:rsid w:val="012B30DF"/>
    <w:rsid w:val="012C6F3F"/>
    <w:rsid w:val="012E3330"/>
    <w:rsid w:val="01303AC5"/>
    <w:rsid w:val="0131755D"/>
    <w:rsid w:val="01323154"/>
    <w:rsid w:val="01345FC1"/>
    <w:rsid w:val="01353714"/>
    <w:rsid w:val="01392555"/>
    <w:rsid w:val="013D273F"/>
    <w:rsid w:val="013D34D7"/>
    <w:rsid w:val="01445AC1"/>
    <w:rsid w:val="014761D6"/>
    <w:rsid w:val="014A09E3"/>
    <w:rsid w:val="014F03EF"/>
    <w:rsid w:val="01502D77"/>
    <w:rsid w:val="01530C91"/>
    <w:rsid w:val="01540904"/>
    <w:rsid w:val="01570ABA"/>
    <w:rsid w:val="0158059A"/>
    <w:rsid w:val="0159126E"/>
    <w:rsid w:val="01595F6F"/>
    <w:rsid w:val="01596802"/>
    <w:rsid w:val="015B6D94"/>
    <w:rsid w:val="015D3048"/>
    <w:rsid w:val="015D6893"/>
    <w:rsid w:val="0160084E"/>
    <w:rsid w:val="01603381"/>
    <w:rsid w:val="01633E9B"/>
    <w:rsid w:val="01665433"/>
    <w:rsid w:val="0169114C"/>
    <w:rsid w:val="016E1DA5"/>
    <w:rsid w:val="016E4C93"/>
    <w:rsid w:val="017004E1"/>
    <w:rsid w:val="01704B02"/>
    <w:rsid w:val="017067C7"/>
    <w:rsid w:val="01743955"/>
    <w:rsid w:val="01745E33"/>
    <w:rsid w:val="017574CE"/>
    <w:rsid w:val="01764A86"/>
    <w:rsid w:val="017E47D6"/>
    <w:rsid w:val="017E6F43"/>
    <w:rsid w:val="01852791"/>
    <w:rsid w:val="018670B5"/>
    <w:rsid w:val="01887B85"/>
    <w:rsid w:val="01897B27"/>
    <w:rsid w:val="018A58CB"/>
    <w:rsid w:val="018B6595"/>
    <w:rsid w:val="018C519F"/>
    <w:rsid w:val="018E587F"/>
    <w:rsid w:val="018F4AEC"/>
    <w:rsid w:val="019201E5"/>
    <w:rsid w:val="019802FD"/>
    <w:rsid w:val="01987D13"/>
    <w:rsid w:val="01991A93"/>
    <w:rsid w:val="019F1377"/>
    <w:rsid w:val="01A16431"/>
    <w:rsid w:val="01A177DB"/>
    <w:rsid w:val="01A5014C"/>
    <w:rsid w:val="01A5725D"/>
    <w:rsid w:val="01A62EED"/>
    <w:rsid w:val="01A64AB5"/>
    <w:rsid w:val="01A65787"/>
    <w:rsid w:val="01AE108D"/>
    <w:rsid w:val="01B106FD"/>
    <w:rsid w:val="01B110AA"/>
    <w:rsid w:val="01B131C5"/>
    <w:rsid w:val="01B233CF"/>
    <w:rsid w:val="01B3567C"/>
    <w:rsid w:val="01B91D0C"/>
    <w:rsid w:val="01BA3B84"/>
    <w:rsid w:val="01BE5948"/>
    <w:rsid w:val="01BE6F06"/>
    <w:rsid w:val="01C255E3"/>
    <w:rsid w:val="01C51F30"/>
    <w:rsid w:val="01C70A85"/>
    <w:rsid w:val="01C86854"/>
    <w:rsid w:val="01C901A1"/>
    <w:rsid w:val="01CA3F1A"/>
    <w:rsid w:val="01D20F74"/>
    <w:rsid w:val="01D35D3E"/>
    <w:rsid w:val="01D54D98"/>
    <w:rsid w:val="01D65F78"/>
    <w:rsid w:val="01D83349"/>
    <w:rsid w:val="01D93979"/>
    <w:rsid w:val="01D97E6C"/>
    <w:rsid w:val="01D97ECF"/>
    <w:rsid w:val="01DB5C21"/>
    <w:rsid w:val="01E14B55"/>
    <w:rsid w:val="01E34BBB"/>
    <w:rsid w:val="01E66FA5"/>
    <w:rsid w:val="01EC2A34"/>
    <w:rsid w:val="01ED3E3E"/>
    <w:rsid w:val="01EF13EE"/>
    <w:rsid w:val="01F064AE"/>
    <w:rsid w:val="01F5094A"/>
    <w:rsid w:val="01F62035"/>
    <w:rsid w:val="01F639A4"/>
    <w:rsid w:val="01F903F0"/>
    <w:rsid w:val="01FE0D50"/>
    <w:rsid w:val="01FE6B9D"/>
    <w:rsid w:val="020613B0"/>
    <w:rsid w:val="020641D3"/>
    <w:rsid w:val="0207749B"/>
    <w:rsid w:val="02081421"/>
    <w:rsid w:val="020A65E5"/>
    <w:rsid w:val="020E02AA"/>
    <w:rsid w:val="020E7C52"/>
    <w:rsid w:val="02106E84"/>
    <w:rsid w:val="02124B9D"/>
    <w:rsid w:val="02165FAF"/>
    <w:rsid w:val="02174E36"/>
    <w:rsid w:val="02182B2B"/>
    <w:rsid w:val="02182ED7"/>
    <w:rsid w:val="02190B83"/>
    <w:rsid w:val="021D70DF"/>
    <w:rsid w:val="021E0508"/>
    <w:rsid w:val="02201D8C"/>
    <w:rsid w:val="02210FD9"/>
    <w:rsid w:val="02215CF1"/>
    <w:rsid w:val="02284DF1"/>
    <w:rsid w:val="022E4624"/>
    <w:rsid w:val="02303268"/>
    <w:rsid w:val="023043CB"/>
    <w:rsid w:val="023B4AC0"/>
    <w:rsid w:val="023C4E17"/>
    <w:rsid w:val="023C5DDE"/>
    <w:rsid w:val="023D66C9"/>
    <w:rsid w:val="023E49AC"/>
    <w:rsid w:val="02412442"/>
    <w:rsid w:val="0244793D"/>
    <w:rsid w:val="0246488E"/>
    <w:rsid w:val="024A62FC"/>
    <w:rsid w:val="024C2191"/>
    <w:rsid w:val="024C5C84"/>
    <w:rsid w:val="025209BE"/>
    <w:rsid w:val="025309A8"/>
    <w:rsid w:val="02587B03"/>
    <w:rsid w:val="025A34EF"/>
    <w:rsid w:val="025B0339"/>
    <w:rsid w:val="025B3071"/>
    <w:rsid w:val="025D1D07"/>
    <w:rsid w:val="025E7A82"/>
    <w:rsid w:val="025F162D"/>
    <w:rsid w:val="025F28B4"/>
    <w:rsid w:val="02615596"/>
    <w:rsid w:val="02630F0A"/>
    <w:rsid w:val="02633407"/>
    <w:rsid w:val="02634E30"/>
    <w:rsid w:val="02651F3F"/>
    <w:rsid w:val="026808D9"/>
    <w:rsid w:val="02693733"/>
    <w:rsid w:val="026954E1"/>
    <w:rsid w:val="026B3007"/>
    <w:rsid w:val="026D5E59"/>
    <w:rsid w:val="02704AC1"/>
    <w:rsid w:val="0272414C"/>
    <w:rsid w:val="027305BC"/>
    <w:rsid w:val="027345B1"/>
    <w:rsid w:val="0274303B"/>
    <w:rsid w:val="02796A96"/>
    <w:rsid w:val="02805142"/>
    <w:rsid w:val="0281407C"/>
    <w:rsid w:val="02845468"/>
    <w:rsid w:val="02847286"/>
    <w:rsid w:val="02851F43"/>
    <w:rsid w:val="028A7051"/>
    <w:rsid w:val="028D3AB7"/>
    <w:rsid w:val="029276F9"/>
    <w:rsid w:val="02965AD4"/>
    <w:rsid w:val="02980D52"/>
    <w:rsid w:val="02985749"/>
    <w:rsid w:val="029B7962"/>
    <w:rsid w:val="029D4678"/>
    <w:rsid w:val="029D4FFC"/>
    <w:rsid w:val="029E2C2B"/>
    <w:rsid w:val="02A52EF7"/>
    <w:rsid w:val="02A64F67"/>
    <w:rsid w:val="02A73612"/>
    <w:rsid w:val="02AD51D0"/>
    <w:rsid w:val="02B02AE1"/>
    <w:rsid w:val="02B1614B"/>
    <w:rsid w:val="02B2530B"/>
    <w:rsid w:val="02B27B62"/>
    <w:rsid w:val="02B3536B"/>
    <w:rsid w:val="02B41386"/>
    <w:rsid w:val="02B43518"/>
    <w:rsid w:val="02B63CEC"/>
    <w:rsid w:val="02B71AB9"/>
    <w:rsid w:val="02B8794B"/>
    <w:rsid w:val="02BB3C8E"/>
    <w:rsid w:val="02BD3EAA"/>
    <w:rsid w:val="02BE582C"/>
    <w:rsid w:val="02C263CB"/>
    <w:rsid w:val="02C34D0A"/>
    <w:rsid w:val="02C600A3"/>
    <w:rsid w:val="02C93668"/>
    <w:rsid w:val="02CD1F13"/>
    <w:rsid w:val="02CE18A8"/>
    <w:rsid w:val="02CE7F12"/>
    <w:rsid w:val="02D16FF4"/>
    <w:rsid w:val="02D51726"/>
    <w:rsid w:val="02D74B40"/>
    <w:rsid w:val="02DA0A8D"/>
    <w:rsid w:val="02DA63DE"/>
    <w:rsid w:val="02DB5B66"/>
    <w:rsid w:val="02E132C9"/>
    <w:rsid w:val="02E41083"/>
    <w:rsid w:val="02E7231E"/>
    <w:rsid w:val="02E77997"/>
    <w:rsid w:val="02E9680F"/>
    <w:rsid w:val="02EB05EB"/>
    <w:rsid w:val="02F01BAB"/>
    <w:rsid w:val="02F254D6"/>
    <w:rsid w:val="02F73FA3"/>
    <w:rsid w:val="02FB42E5"/>
    <w:rsid w:val="02FC7879"/>
    <w:rsid w:val="02FD696E"/>
    <w:rsid w:val="03031826"/>
    <w:rsid w:val="03061AA4"/>
    <w:rsid w:val="030767A4"/>
    <w:rsid w:val="03087B13"/>
    <w:rsid w:val="030A5E3B"/>
    <w:rsid w:val="030B1CBC"/>
    <w:rsid w:val="030D6477"/>
    <w:rsid w:val="03152FC7"/>
    <w:rsid w:val="03156342"/>
    <w:rsid w:val="031B3161"/>
    <w:rsid w:val="031C1307"/>
    <w:rsid w:val="031C4D90"/>
    <w:rsid w:val="031C69F7"/>
    <w:rsid w:val="031D0A78"/>
    <w:rsid w:val="031D363B"/>
    <w:rsid w:val="031D4685"/>
    <w:rsid w:val="032334E2"/>
    <w:rsid w:val="032338E1"/>
    <w:rsid w:val="032436C0"/>
    <w:rsid w:val="03260206"/>
    <w:rsid w:val="0329196F"/>
    <w:rsid w:val="032B1785"/>
    <w:rsid w:val="032E431D"/>
    <w:rsid w:val="03337F28"/>
    <w:rsid w:val="033459BE"/>
    <w:rsid w:val="0335136A"/>
    <w:rsid w:val="0338201E"/>
    <w:rsid w:val="03394EB3"/>
    <w:rsid w:val="03396795"/>
    <w:rsid w:val="033A20ED"/>
    <w:rsid w:val="033A5D7A"/>
    <w:rsid w:val="033F6241"/>
    <w:rsid w:val="034C72DC"/>
    <w:rsid w:val="03575298"/>
    <w:rsid w:val="035D37EA"/>
    <w:rsid w:val="035D3805"/>
    <w:rsid w:val="035E4919"/>
    <w:rsid w:val="035F40DD"/>
    <w:rsid w:val="03600692"/>
    <w:rsid w:val="036065CE"/>
    <w:rsid w:val="036208AE"/>
    <w:rsid w:val="03631DDE"/>
    <w:rsid w:val="0366407D"/>
    <w:rsid w:val="03666154"/>
    <w:rsid w:val="03666545"/>
    <w:rsid w:val="03684072"/>
    <w:rsid w:val="036B3B50"/>
    <w:rsid w:val="036D3D8A"/>
    <w:rsid w:val="036F144C"/>
    <w:rsid w:val="03716088"/>
    <w:rsid w:val="037311A0"/>
    <w:rsid w:val="03742EBD"/>
    <w:rsid w:val="037D2425"/>
    <w:rsid w:val="037E320E"/>
    <w:rsid w:val="037F7F11"/>
    <w:rsid w:val="03801F42"/>
    <w:rsid w:val="0382074F"/>
    <w:rsid w:val="03863656"/>
    <w:rsid w:val="03870A85"/>
    <w:rsid w:val="038B3147"/>
    <w:rsid w:val="038F541B"/>
    <w:rsid w:val="03905168"/>
    <w:rsid w:val="0392242A"/>
    <w:rsid w:val="039B498A"/>
    <w:rsid w:val="039F575D"/>
    <w:rsid w:val="03A130AB"/>
    <w:rsid w:val="03A21746"/>
    <w:rsid w:val="03A34436"/>
    <w:rsid w:val="03A367D0"/>
    <w:rsid w:val="03A50106"/>
    <w:rsid w:val="03A75EC1"/>
    <w:rsid w:val="03AB0F0D"/>
    <w:rsid w:val="03AB7E08"/>
    <w:rsid w:val="03B035B6"/>
    <w:rsid w:val="03B56DD7"/>
    <w:rsid w:val="03B60C6F"/>
    <w:rsid w:val="03B64B42"/>
    <w:rsid w:val="03B70050"/>
    <w:rsid w:val="03B73640"/>
    <w:rsid w:val="03B822A1"/>
    <w:rsid w:val="03B86720"/>
    <w:rsid w:val="03BB3962"/>
    <w:rsid w:val="03BB45AA"/>
    <w:rsid w:val="03BD25E1"/>
    <w:rsid w:val="03C052BE"/>
    <w:rsid w:val="03C32C99"/>
    <w:rsid w:val="03C36DE4"/>
    <w:rsid w:val="03CA5B4E"/>
    <w:rsid w:val="03CA5CA6"/>
    <w:rsid w:val="03CA7BBF"/>
    <w:rsid w:val="03CC315E"/>
    <w:rsid w:val="03D206E0"/>
    <w:rsid w:val="03D34F82"/>
    <w:rsid w:val="03D472D2"/>
    <w:rsid w:val="03D833EB"/>
    <w:rsid w:val="03DB6F36"/>
    <w:rsid w:val="03DC49BA"/>
    <w:rsid w:val="03E33417"/>
    <w:rsid w:val="03E77F2F"/>
    <w:rsid w:val="03EA1708"/>
    <w:rsid w:val="03EC038B"/>
    <w:rsid w:val="03EC4131"/>
    <w:rsid w:val="03F102C6"/>
    <w:rsid w:val="03F16FBE"/>
    <w:rsid w:val="03F35818"/>
    <w:rsid w:val="03F564E5"/>
    <w:rsid w:val="03F5754F"/>
    <w:rsid w:val="03F617F9"/>
    <w:rsid w:val="03F86877"/>
    <w:rsid w:val="03FA6D38"/>
    <w:rsid w:val="03FE0E12"/>
    <w:rsid w:val="03FE6A50"/>
    <w:rsid w:val="03FE7EAB"/>
    <w:rsid w:val="03FF60FC"/>
    <w:rsid w:val="040A684F"/>
    <w:rsid w:val="040E5464"/>
    <w:rsid w:val="0410296E"/>
    <w:rsid w:val="0414147C"/>
    <w:rsid w:val="04164770"/>
    <w:rsid w:val="041865FA"/>
    <w:rsid w:val="041978F4"/>
    <w:rsid w:val="041A21CD"/>
    <w:rsid w:val="041C3746"/>
    <w:rsid w:val="04216436"/>
    <w:rsid w:val="04234F35"/>
    <w:rsid w:val="04254036"/>
    <w:rsid w:val="04280C6D"/>
    <w:rsid w:val="04281941"/>
    <w:rsid w:val="042A6139"/>
    <w:rsid w:val="042D6944"/>
    <w:rsid w:val="042E45E0"/>
    <w:rsid w:val="04341EFF"/>
    <w:rsid w:val="043568B3"/>
    <w:rsid w:val="04357CBA"/>
    <w:rsid w:val="043716B8"/>
    <w:rsid w:val="04383D69"/>
    <w:rsid w:val="043D484D"/>
    <w:rsid w:val="043E39D3"/>
    <w:rsid w:val="044174E3"/>
    <w:rsid w:val="04424815"/>
    <w:rsid w:val="04424E42"/>
    <w:rsid w:val="04426AA0"/>
    <w:rsid w:val="04433B6A"/>
    <w:rsid w:val="044361BB"/>
    <w:rsid w:val="04461A3E"/>
    <w:rsid w:val="0450138F"/>
    <w:rsid w:val="04550588"/>
    <w:rsid w:val="04551206"/>
    <w:rsid w:val="045C6055"/>
    <w:rsid w:val="045F1ABA"/>
    <w:rsid w:val="04602913"/>
    <w:rsid w:val="04610B65"/>
    <w:rsid w:val="04650F8D"/>
    <w:rsid w:val="04661AE1"/>
    <w:rsid w:val="046806CA"/>
    <w:rsid w:val="04697384"/>
    <w:rsid w:val="046B0481"/>
    <w:rsid w:val="046D6E02"/>
    <w:rsid w:val="046E593A"/>
    <w:rsid w:val="046F4218"/>
    <w:rsid w:val="047339B1"/>
    <w:rsid w:val="047348B2"/>
    <w:rsid w:val="04741F3D"/>
    <w:rsid w:val="0476591D"/>
    <w:rsid w:val="04770F17"/>
    <w:rsid w:val="04787E66"/>
    <w:rsid w:val="047A363B"/>
    <w:rsid w:val="047A5783"/>
    <w:rsid w:val="047D4A10"/>
    <w:rsid w:val="047D5A67"/>
    <w:rsid w:val="047D69D4"/>
    <w:rsid w:val="047F0FEB"/>
    <w:rsid w:val="047F1403"/>
    <w:rsid w:val="047F4CE4"/>
    <w:rsid w:val="048036AA"/>
    <w:rsid w:val="0481143B"/>
    <w:rsid w:val="04836628"/>
    <w:rsid w:val="048527A3"/>
    <w:rsid w:val="048554A5"/>
    <w:rsid w:val="04863F3B"/>
    <w:rsid w:val="04865419"/>
    <w:rsid w:val="048760F2"/>
    <w:rsid w:val="04895346"/>
    <w:rsid w:val="048A0644"/>
    <w:rsid w:val="048C0E7B"/>
    <w:rsid w:val="048C0E81"/>
    <w:rsid w:val="048E122E"/>
    <w:rsid w:val="048F54C5"/>
    <w:rsid w:val="0492553E"/>
    <w:rsid w:val="04930063"/>
    <w:rsid w:val="049A0157"/>
    <w:rsid w:val="049B09CB"/>
    <w:rsid w:val="049F343C"/>
    <w:rsid w:val="04A17F99"/>
    <w:rsid w:val="04A30870"/>
    <w:rsid w:val="04A322EA"/>
    <w:rsid w:val="04A4119D"/>
    <w:rsid w:val="04AB280B"/>
    <w:rsid w:val="04AE367F"/>
    <w:rsid w:val="04AF0924"/>
    <w:rsid w:val="04B213C1"/>
    <w:rsid w:val="04B2652D"/>
    <w:rsid w:val="04B74C29"/>
    <w:rsid w:val="04B90581"/>
    <w:rsid w:val="04BA0275"/>
    <w:rsid w:val="04BF588C"/>
    <w:rsid w:val="04C20FEE"/>
    <w:rsid w:val="04C335CE"/>
    <w:rsid w:val="04C37105"/>
    <w:rsid w:val="04C71395"/>
    <w:rsid w:val="04CC3644"/>
    <w:rsid w:val="04CC673B"/>
    <w:rsid w:val="04CE0531"/>
    <w:rsid w:val="04D3046A"/>
    <w:rsid w:val="04D8493E"/>
    <w:rsid w:val="04DE21B6"/>
    <w:rsid w:val="04DF1A8A"/>
    <w:rsid w:val="04E246A7"/>
    <w:rsid w:val="04E30817"/>
    <w:rsid w:val="04E35A1E"/>
    <w:rsid w:val="04E71501"/>
    <w:rsid w:val="04EA62D3"/>
    <w:rsid w:val="04F253A2"/>
    <w:rsid w:val="04F27145"/>
    <w:rsid w:val="04F33787"/>
    <w:rsid w:val="04F356EB"/>
    <w:rsid w:val="04F41F5F"/>
    <w:rsid w:val="04F85480"/>
    <w:rsid w:val="04FA260D"/>
    <w:rsid w:val="04FA4B16"/>
    <w:rsid w:val="04FE4A35"/>
    <w:rsid w:val="04FF037E"/>
    <w:rsid w:val="04FF402F"/>
    <w:rsid w:val="04FF4E20"/>
    <w:rsid w:val="05002D34"/>
    <w:rsid w:val="050559BE"/>
    <w:rsid w:val="0509354C"/>
    <w:rsid w:val="050A784F"/>
    <w:rsid w:val="050E34C0"/>
    <w:rsid w:val="05101605"/>
    <w:rsid w:val="05103563"/>
    <w:rsid w:val="05145BD8"/>
    <w:rsid w:val="051536FE"/>
    <w:rsid w:val="05170B2B"/>
    <w:rsid w:val="051756C8"/>
    <w:rsid w:val="05175BAE"/>
    <w:rsid w:val="051832F6"/>
    <w:rsid w:val="05197775"/>
    <w:rsid w:val="052072B4"/>
    <w:rsid w:val="05220784"/>
    <w:rsid w:val="052222BA"/>
    <w:rsid w:val="05241615"/>
    <w:rsid w:val="05281683"/>
    <w:rsid w:val="052828AA"/>
    <w:rsid w:val="052A2D8E"/>
    <w:rsid w:val="052C3149"/>
    <w:rsid w:val="052E0CB5"/>
    <w:rsid w:val="05300538"/>
    <w:rsid w:val="05314926"/>
    <w:rsid w:val="05354B32"/>
    <w:rsid w:val="05355B4E"/>
    <w:rsid w:val="053578FC"/>
    <w:rsid w:val="05393118"/>
    <w:rsid w:val="053B2B03"/>
    <w:rsid w:val="053D69B3"/>
    <w:rsid w:val="053E7F1C"/>
    <w:rsid w:val="05461FA7"/>
    <w:rsid w:val="05473177"/>
    <w:rsid w:val="054D10EA"/>
    <w:rsid w:val="05500BDA"/>
    <w:rsid w:val="05523DF1"/>
    <w:rsid w:val="05535F6E"/>
    <w:rsid w:val="05542BD3"/>
    <w:rsid w:val="05552F56"/>
    <w:rsid w:val="055819F1"/>
    <w:rsid w:val="0559183C"/>
    <w:rsid w:val="05602B35"/>
    <w:rsid w:val="05633B7C"/>
    <w:rsid w:val="0564768A"/>
    <w:rsid w:val="05673CE6"/>
    <w:rsid w:val="056921F6"/>
    <w:rsid w:val="05693447"/>
    <w:rsid w:val="05696E27"/>
    <w:rsid w:val="05697625"/>
    <w:rsid w:val="056A1C9B"/>
    <w:rsid w:val="056A2978"/>
    <w:rsid w:val="056C0594"/>
    <w:rsid w:val="05734C3B"/>
    <w:rsid w:val="05736C75"/>
    <w:rsid w:val="0574561C"/>
    <w:rsid w:val="05760640"/>
    <w:rsid w:val="057655CE"/>
    <w:rsid w:val="057B76E5"/>
    <w:rsid w:val="057C7141"/>
    <w:rsid w:val="0583212D"/>
    <w:rsid w:val="0587143D"/>
    <w:rsid w:val="058A5E9A"/>
    <w:rsid w:val="058D497E"/>
    <w:rsid w:val="05905EE5"/>
    <w:rsid w:val="05913944"/>
    <w:rsid w:val="059211F2"/>
    <w:rsid w:val="05955D14"/>
    <w:rsid w:val="05967A84"/>
    <w:rsid w:val="05992A5E"/>
    <w:rsid w:val="059C16CD"/>
    <w:rsid w:val="059C6752"/>
    <w:rsid w:val="059F7988"/>
    <w:rsid w:val="05A05042"/>
    <w:rsid w:val="05A277CA"/>
    <w:rsid w:val="05A33817"/>
    <w:rsid w:val="05A54AFA"/>
    <w:rsid w:val="05A71CE9"/>
    <w:rsid w:val="05A81688"/>
    <w:rsid w:val="05AC09DA"/>
    <w:rsid w:val="05AD6BC7"/>
    <w:rsid w:val="05B00031"/>
    <w:rsid w:val="05B34ED2"/>
    <w:rsid w:val="05BE584E"/>
    <w:rsid w:val="05C0366A"/>
    <w:rsid w:val="05C173E2"/>
    <w:rsid w:val="05C20F94"/>
    <w:rsid w:val="05C649F8"/>
    <w:rsid w:val="05C81319"/>
    <w:rsid w:val="05C869C2"/>
    <w:rsid w:val="05C95532"/>
    <w:rsid w:val="05CD5D86"/>
    <w:rsid w:val="05CE68E2"/>
    <w:rsid w:val="05D15899"/>
    <w:rsid w:val="05D3433F"/>
    <w:rsid w:val="05D47115"/>
    <w:rsid w:val="05D516AC"/>
    <w:rsid w:val="05D62E8D"/>
    <w:rsid w:val="05D712DB"/>
    <w:rsid w:val="05D84E57"/>
    <w:rsid w:val="05DA7CAB"/>
    <w:rsid w:val="05DF3BB2"/>
    <w:rsid w:val="05E219F3"/>
    <w:rsid w:val="05E76E48"/>
    <w:rsid w:val="05E84622"/>
    <w:rsid w:val="05EB3AA1"/>
    <w:rsid w:val="05EC62FD"/>
    <w:rsid w:val="05EE671F"/>
    <w:rsid w:val="05F136F8"/>
    <w:rsid w:val="05F55C8B"/>
    <w:rsid w:val="05F64619"/>
    <w:rsid w:val="05F77EA2"/>
    <w:rsid w:val="05F82349"/>
    <w:rsid w:val="05F9301F"/>
    <w:rsid w:val="05FE4192"/>
    <w:rsid w:val="06005C70"/>
    <w:rsid w:val="060151F7"/>
    <w:rsid w:val="06082661"/>
    <w:rsid w:val="060C6517"/>
    <w:rsid w:val="06113568"/>
    <w:rsid w:val="061225E7"/>
    <w:rsid w:val="06141C07"/>
    <w:rsid w:val="06152587"/>
    <w:rsid w:val="06160A0D"/>
    <w:rsid w:val="061623F8"/>
    <w:rsid w:val="06165B5E"/>
    <w:rsid w:val="06174092"/>
    <w:rsid w:val="06176F90"/>
    <w:rsid w:val="061834A6"/>
    <w:rsid w:val="06192760"/>
    <w:rsid w:val="061C4276"/>
    <w:rsid w:val="061C4949"/>
    <w:rsid w:val="061C7C3F"/>
    <w:rsid w:val="061E1D01"/>
    <w:rsid w:val="061E65E2"/>
    <w:rsid w:val="061F2A86"/>
    <w:rsid w:val="062033A8"/>
    <w:rsid w:val="06221990"/>
    <w:rsid w:val="062260D2"/>
    <w:rsid w:val="062416F2"/>
    <w:rsid w:val="06252F37"/>
    <w:rsid w:val="06280480"/>
    <w:rsid w:val="062B7FF3"/>
    <w:rsid w:val="062D5D09"/>
    <w:rsid w:val="063056C9"/>
    <w:rsid w:val="06305B70"/>
    <w:rsid w:val="06307BAD"/>
    <w:rsid w:val="06310D3B"/>
    <w:rsid w:val="06313D3D"/>
    <w:rsid w:val="063278FE"/>
    <w:rsid w:val="063B03A4"/>
    <w:rsid w:val="063E0187"/>
    <w:rsid w:val="063E4A97"/>
    <w:rsid w:val="063E4B7A"/>
    <w:rsid w:val="06422AFA"/>
    <w:rsid w:val="0643264F"/>
    <w:rsid w:val="06440C74"/>
    <w:rsid w:val="06451DC1"/>
    <w:rsid w:val="06471FDD"/>
    <w:rsid w:val="06487227"/>
    <w:rsid w:val="064C3B87"/>
    <w:rsid w:val="064D79F0"/>
    <w:rsid w:val="064E336B"/>
    <w:rsid w:val="064E339A"/>
    <w:rsid w:val="065459EA"/>
    <w:rsid w:val="06563FCE"/>
    <w:rsid w:val="0657693E"/>
    <w:rsid w:val="06597B5B"/>
    <w:rsid w:val="065B1B52"/>
    <w:rsid w:val="06614F34"/>
    <w:rsid w:val="06620BC5"/>
    <w:rsid w:val="066351C2"/>
    <w:rsid w:val="06636BA2"/>
    <w:rsid w:val="066A2618"/>
    <w:rsid w:val="06730C77"/>
    <w:rsid w:val="0673214D"/>
    <w:rsid w:val="06736E71"/>
    <w:rsid w:val="06742A00"/>
    <w:rsid w:val="06744454"/>
    <w:rsid w:val="06761103"/>
    <w:rsid w:val="06782774"/>
    <w:rsid w:val="067A18FB"/>
    <w:rsid w:val="06840B3B"/>
    <w:rsid w:val="06845027"/>
    <w:rsid w:val="06855868"/>
    <w:rsid w:val="06881FA3"/>
    <w:rsid w:val="0688544D"/>
    <w:rsid w:val="068965FB"/>
    <w:rsid w:val="068B335D"/>
    <w:rsid w:val="068C7959"/>
    <w:rsid w:val="068E39BB"/>
    <w:rsid w:val="068F00D3"/>
    <w:rsid w:val="068F04FE"/>
    <w:rsid w:val="069201F3"/>
    <w:rsid w:val="069640E1"/>
    <w:rsid w:val="0698241C"/>
    <w:rsid w:val="069D357D"/>
    <w:rsid w:val="069D7E4F"/>
    <w:rsid w:val="069E1C5E"/>
    <w:rsid w:val="06A12682"/>
    <w:rsid w:val="06A16199"/>
    <w:rsid w:val="06A3129E"/>
    <w:rsid w:val="06A63218"/>
    <w:rsid w:val="06A83353"/>
    <w:rsid w:val="06A905A2"/>
    <w:rsid w:val="06AA5117"/>
    <w:rsid w:val="06AD17BE"/>
    <w:rsid w:val="06B27F6D"/>
    <w:rsid w:val="06B372F3"/>
    <w:rsid w:val="06B760A1"/>
    <w:rsid w:val="06B76BBA"/>
    <w:rsid w:val="06B807E5"/>
    <w:rsid w:val="06BD0B7D"/>
    <w:rsid w:val="06C12428"/>
    <w:rsid w:val="06C17C18"/>
    <w:rsid w:val="06C66412"/>
    <w:rsid w:val="06C679A8"/>
    <w:rsid w:val="06C67E1B"/>
    <w:rsid w:val="06C87E09"/>
    <w:rsid w:val="06CC6433"/>
    <w:rsid w:val="06CE0F63"/>
    <w:rsid w:val="06CF629A"/>
    <w:rsid w:val="06D22F7F"/>
    <w:rsid w:val="06D320F2"/>
    <w:rsid w:val="06D3721C"/>
    <w:rsid w:val="06D77A1A"/>
    <w:rsid w:val="06DA4BFF"/>
    <w:rsid w:val="06DB53DF"/>
    <w:rsid w:val="06DC22A9"/>
    <w:rsid w:val="06DD024B"/>
    <w:rsid w:val="06DD524B"/>
    <w:rsid w:val="06DD703D"/>
    <w:rsid w:val="06DF3EED"/>
    <w:rsid w:val="06DF3FC3"/>
    <w:rsid w:val="06E10675"/>
    <w:rsid w:val="06E12414"/>
    <w:rsid w:val="06E26A30"/>
    <w:rsid w:val="06E560A4"/>
    <w:rsid w:val="06E836AB"/>
    <w:rsid w:val="06EE3D19"/>
    <w:rsid w:val="06F02D57"/>
    <w:rsid w:val="06F279E6"/>
    <w:rsid w:val="06F7755F"/>
    <w:rsid w:val="06F80F48"/>
    <w:rsid w:val="06F833F8"/>
    <w:rsid w:val="06F965AD"/>
    <w:rsid w:val="06FC4A1F"/>
    <w:rsid w:val="06FF26BE"/>
    <w:rsid w:val="07013BF5"/>
    <w:rsid w:val="070331C5"/>
    <w:rsid w:val="07034156"/>
    <w:rsid w:val="07084B7F"/>
    <w:rsid w:val="07087B1C"/>
    <w:rsid w:val="070954E4"/>
    <w:rsid w:val="070B10A0"/>
    <w:rsid w:val="070C0E43"/>
    <w:rsid w:val="070D34D2"/>
    <w:rsid w:val="070F6A6A"/>
    <w:rsid w:val="07102341"/>
    <w:rsid w:val="071023CF"/>
    <w:rsid w:val="071068A6"/>
    <w:rsid w:val="07111EE2"/>
    <w:rsid w:val="0714550A"/>
    <w:rsid w:val="07161F9A"/>
    <w:rsid w:val="07185C21"/>
    <w:rsid w:val="07195727"/>
    <w:rsid w:val="071F67D6"/>
    <w:rsid w:val="071F711A"/>
    <w:rsid w:val="072128A1"/>
    <w:rsid w:val="072151A3"/>
    <w:rsid w:val="07224C2D"/>
    <w:rsid w:val="072440CC"/>
    <w:rsid w:val="07254E89"/>
    <w:rsid w:val="07260E80"/>
    <w:rsid w:val="07292552"/>
    <w:rsid w:val="072C5B52"/>
    <w:rsid w:val="07311BDC"/>
    <w:rsid w:val="07320597"/>
    <w:rsid w:val="073626C5"/>
    <w:rsid w:val="07387B4D"/>
    <w:rsid w:val="073929DD"/>
    <w:rsid w:val="07395A73"/>
    <w:rsid w:val="073A31B0"/>
    <w:rsid w:val="073C1416"/>
    <w:rsid w:val="073C31C4"/>
    <w:rsid w:val="073D386F"/>
    <w:rsid w:val="073D65C0"/>
    <w:rsid w:val="073F2CB4"/>
    <w:rsid w:val="07401123"/>
    <w:rsid w:val="0742206A"/>
    <w:rsid w:val="07427063"/>
    <w:rsid w:val="07451CD9"/>
    <w:rsid w:val="0746501A"/>
    <w:rsid w:val="07476504"/>
    <w:rsid w:val="074770E5"/>
    <w:rsid w:val="074A55A2"/>
    <w:rsid w:val="074C5F08"/>
    <w:rsid w:val="074F39CB"/>
    <w:rsid w:val="074F5025"/>
    <w:rsid w:val="075075A0"/>
    <w:rsid w:val="075077D4"/>
    <w:rsid w:val="07520576"/>
    <w:rsid w:val="07522CAC"/>
    <w:rsid w:val="075517C9"/>
    <w:rsid w:val="075524D7"/>
    <w:rsid w:val="0756113E"/>
    <w:rsid w:val="07564F88"/>
    <w:rsid w:val="075836E5"/>
    <w:rsid w:val="075A5E7B"/>
    <w:rsid w:val="075C1AB8"/>
    <w:rsid w:val="075E55AA"/>
    <w:rsid w:val="075F4B88"/>
    <w:rsid w:val="076170CE"/>
    <w:rsid w:val="07653BBC"/>
    <w:rsid w:val="07676B80"/>
    <w:rsid w:val="076C536F"/>
    <w:rsid w:val="07737DF0"/>
    <w:rsid w:val="07746E01"/>
    <w:rsid w:val="077A1F3E"/>
    <w:rsid w:val="078069CC"/>
    <w:rsid w:val="0781151E"/>
    <w:rsid w:val="078235DA"/>
    <w:rsid w:val="07837045"/>
    <w:rsid w:val="078608E3"/>
    <w:rsid w:val="07884FDE"/>
    <w:rsid w:val="07886409"/>
    <w:rsid w:val="0789761E"/>
    <w:rsid w:val="07912B3A"/>
    <w:rsid w:val="079137D0"/>
    <w:rsid w:val="07927288"/>
    <w:rsid w:val="07927587"/>
    <w:rsid w:val="0794580D"/>
    <w:rsid w:val="07970828"/>
    <w:rsid w:val="07982785"/>
    <w:rsid w:val="07984850"/>
    <w:rsid w:val="07987FF3"/>
    <w:rsid w:val="079B032A"/>
    <w:rsid w:val="079B1CE5"/>
    <w:rsid w:val="079B387D"/>
    <w:rsid w:val="07A2637E"/>
    <w:rsid w:val="07A34FF1"/>
    <w:rsid w:val="07A4192E"/>
    <w:rsid w:val="07A93658"/>
    <w:rsid w:val="07A96CCC"/>
    <w:rsid w:val="07AA3D06"/>
    <w:rsid w:val="07AB1790"/>
    <w:rsid w:val="07AB7857"/>
    <w:rsid w:val="07AD75C2"/>
    <w:rsid w:val="07AF0300"/>
    <w:rsid w:val="07B02BEA"/>
    <w:rsid w:val="07B05CA7"/>
    <w:rsid w:val="07B074C4"/>
    <w:rsid w:val="07B11801"/>
    <w:rsid w:val="07B405F9"/>
    <w:rsid w:val="07B96946"/>
    <w:rsid w:val="07BD2BD5"/>
    <w:rsid w:val="07BD3670"/>
    <w:rsid w:val="07C633D1"/>
    <w:rsid w:val="07CC3861"/>
    <w:rsid w:val="07CE0146"/>
    <w:rsid w:val="07CF1577"/>
    <w:rsid w:val="07CF748E"/>
    <w:rsid w:val="07D83BB2"/>
    <w:rsid w:val="07D847CB"/>
    <w:rsid w:val="07DA6ACF"/>
    <w:rsid w:val="07E4004A"/>
    <w:rsid w:val="07E41D74"/>
    <w:rsid w:val="07E666C9"/>
    <w:rsid w:val="07E73B60"/>
    <w:rsid w:val="07E7448A"/>
    <w:rsid w:val="07E76EEF"/>
    <w:rsid w:val="07E8644B"/>
    <w:rsid w:val="07EA70C4"/>
    <w:rsid w:val="07EB4B04"/>
    <w:rsid w:val="07EC4BEA"/>
    <w:rsid w:val="07ED3E39"/>
    <w:rsid w:val="07ED7304"/>
    <w:rsid w:val="07F141A5"/>
    <w:rsid w:val="07F5423E"/>
    <w:rsid w:val="07F67F05"/>
    <w:rsid w:val="07F7047C"/>
    <w:rsid w:val="07F724DE"/>
    <w:rsid w:val="07F76A43"/>
    <w:rsid w:val="07FA4F94"/>
    <w:rsid w:val="07FB4E2D"/>
    <w:rsid w:val="0800381B"/>
    <w:rsid w:val="08024177"/>
    <w:rsid w:val="0802440D"/>
    <w:rsid w:val="080528C5"/>
    <w:rsid w:val="08071A24"/>
    <w:rsid w:val="080A0777"/>
    <w:rsid w:val="080A1757"/>
    <w:rsid w:val="080B34B4"/>
    <w:rsid w:val="080C528C"/>
    <w:rsid w:val="080F62C1"/>
    <w:rsid w:val="081015DC"/>
    <w:rsid w:val="08177C5E"/>
    <w:rsid w:val="081902EA"/>
    <w:rsid w:val="08197E58"/>
    <w:rsid w:val="081A6202"/>
    <w:rsid w:val="0821701F"/>
    <w:rsid w:val="08236132"/>
    <w:rsid w:val="08251EAA"/>
    <w:rsid w:val="08254F32"/>
    <w:rsid w:val="082E346B"/>
    <w:rsid w:val="08311986"/>
    <w:rsid w:val="08346584"/>
    <w:rsid w:val="08353433"/>
    <w:rsid w:val="08356CEC"/>
    <w:rsid w:val="08394ED9"/>
    <w:rsid w:val="083B1F2A"/>
    <w:rsid w:val="083B7FDB"/>
    <w:rsid w:val="083C3EE7"/>
    <w:rsid w:val="083F69E2"/>
    <w:rsid w:val="08420CAE"/>
    <w:rsid w:val="08421DE7"/>
    <w:rsid w:val="0843241C"/>
    <w:rsid w:val="08433389"/>
    <w:rsid w:val="08442704"/>
    <w:rsid w:val="08467692"/>
    <w:rsid w:val="08470D95"/>
    <w:rsid w:val="08475C81"/>
    <w:rsid w:val="08490E6F"/>
    <w:rsid w:val="084A0DE9"/>
    <w:rsid w:val="084A1910"/>
    <w:rsid w:val="084A4F1D"/>
    <w:rsid w:val="084B664B"/>
    <w:rsid w:val="084F3972"/>
    <w:rsid w:val="084F5179"/>
    <w:rsid w:val="085001FB"/>
    <w:rsid w:val="085065D7"/>
    <w:rsid w:val="08510E9D"/>
    <w:rsid w:val="08513636"/>
    <w:rsid w:val="08545B61"/>
    <w:rsid w:val="085656BD"/>
    <w:rsid w:val="085A617A"/>
    <w:rsid w:val="085C571A"/>
    <w:rsid w:val="085D06E7"/>
    <w:rsid w:val="08602445"/>
    <w:rsid w:val="08603AA8"/>
    <w:rsid w:val="08623466"/>
    <w:rsid w:val="086417A9"/>
    <w:rsid w:val="08652329"/>
    <w:rsid w:val="08666B03"/>
    <w:rsid w:val="08670714"/>
    <w:rsid w:val="086817EF"/>
    <w:rsid w:val="086A7947"/>
    <w:rsid w:val="086C395F"/>
    <w:rsid w:val="086D0371"/>
    <w:rsid w:val="087034D0"/>
    <w:rsid w:val="08703D50"/>
    <w:rsid w:val="0871251D"/>
    <w:rsid w:val="087368F3"/>
    <w:rsid w:val="08744139"/>
    <w:rsid w:val="08773148"/>
    <w:rsid w:val="0878022B"/>
    <w:rsid w:val="0878298C"/>
    <w:rsid w:val="087A5175"/>
    <w:rsid w:val="087C124C"/>
    <w:rsid w:val="087D3E5F"/>
    <w:rsid w:val="087D7F38"/>
    <w:rsid w:val="087E7753"/>
    <w:rsid w:val="08807E50"/>
    <w:rsid w:val="088262B8"/>
    <w:rsid w:val="088A4403"/>
    <w:rsid w:val="088C1F29"/>
    <w:rsid w:val="088E3EF3"/>
    <w:rsid w:val="088F2C16"/>
    <w:rsid w:val="08924EFA"/>
    <w:rsid w:val="08933CF9"/>
    <w:rsid w:val="0894033F"/>
    <w:rsid w:val="08971382"/>
    <w:rsid w:val="089716ED"/>
    <w:rsid w:val="0898267C"/>
    <w:rsid w:val="0899665E"/>
    <w:rsid w:val="089A1325"/>
    <w:rsid w:val="089A2898"/>
    <w:rsid w:val="089B03BE"/>
    <w:rsid w:val="089E7837"/>
    <w:rsid w:val="08A13C26"/>
    <w:rsid w:val="08A46F87"/>
    <w:rsid w:val="08A51783"/>
    <w:rsid w:val="08A73599"/>
    <w:rsid w:val="08A8475D"/>
    <w:rsid w:val="08AA5136"/>
    <w:rsid w:val="08AE00F1"/>
    <w:rsid w:val="08B1373D"/>
    <w:rsid w:val="08B2221F"/>
    <w:rsid w:val="08B25593"/>
    <w:rsid w:val="08B3415A"/>
    <w:rsid w:val="08B467CD"/>
    <w:rsid w:val="08B644EE"/>
    <w:rsid w:val="08B83F07"/>
    <w:rsid w:val="08BA6A96"/>
    <w:rsid w:val="08BE7367"/>
    <w:rsid w:val="08C01BD2"/>
    <w:rsid w:val="08C15A27"/>
    <w:rsid w:val="08C53872"/>
    <w:rsid w:val="08C6368D"/>
    <w:rsid w:val="08C711B3"/>
    <w:rsid w:val="08C93226"/>
    <w:rsid w:val="08CB3664"/>
    <w:rsid w:val="08D028DA"/>
    <w:rsid w:val="08D1201A"/>
    <w:rsid w:val="08D52190"/>
    <w:rsid w:val="08D97D39"/>
    <w:rsid w:val="08DE0809"/>
    <w:rsid w:val="08E04023"/>
    <w:rsid w:val="08E10F6D"/>
    <w:rsid w:val="08E50B6E"/>
    <w:rsid w:val="08E5157A"/>
    <w:rsid w:val="08E51639"/>
    <w:rsid w:val="08E754A8"/>
    <w:rsid w:val="08EF3E5C"/>
    <w:rsid w:val="08F16D50"/>
    <w:rsid w:val="08F17FDE"/>
    <w:rsid w:val="08F63846"/>
    <w:rsid w:val="08F64E23"/>
    <w:rsid w:val="08F7116A"/>
    <w:rsid w:val="08FA09EC"/>
    <w:rsid w:val="08FE0BC9"/>
    <w:rsid w:val="09000503"/>
    <w:rsid w:val="09012F5C"/>
    <w:rsid w:val="09044B9E"/>
    <w:rsid w:val="09044C08"/>
    <w:rsid w:val="09044E3A"/>
    <w:rsid w:val="09044F84"/>
    <w:rsid w:val="09054413"/>
    <w:rsid w:val="090632C9"/>
    <w:rsid w:val="090965BF"/>
    <w:rsid w:val="090975FF"/>
    <w:rsid w:val="090D2914"/>
    <w:rsid w:val="090F56A0"/>
    <w:rsid w:val="09107F64"/>
    <w:rsid w:val="09151097"/>
    <w:rsid w:val="09152278"/>
    <w:rsid w:val="09167A44"/>
    <w:rsid w:val="09186D75"/>
    <w:rsid w:val="091D32C8"/>
    <w:rsid w:val="091F16FC"/>
    <w:rsid w:val="09203CBD"/>
    <w:rsid w:val="0922463B"/>
    <w:rsid w:val="09224D96"/>
    <w:rsid w:val="0927147C"/>
    <w:rsid w:val="0927437C"/>
    <w:rsid w:val="092918A2"/>
    <w:rsid w:val="092B0DD0"/>
    <w:rsid w:val="092B5462"/>
    <w:rsid w:val="093111A8"/>
    <w:rsid w:val="093174B6"/>
    <w:rsid w:val="09341002"/>
    <w:rsid w:val="09353264"/>
    <w:rsid w:val="09385C0D"/>
    <w:rsid w:val="093926BE"/>
    <w:rsid w:val="093A62D9"/>
    <w:rsid w:val="093C4636"/>
    <w:rsid w:val="093F49D4"/>
    <w:rsid w:val="09422A34"/>
    <w:rsid w:val="094501B6"/>
    <w:rsid w:val="09450540"/>
    <w:rsid w:val="094734A9"/>
    <w:rsid w:val="094B411E"/>
    <w:rsid w:val="094D790A"/>
    <w:rsid w:val="094F6167"/>
    <w:rsid w:val="095047F4"/>
    <w:rsid w:val="095220F5"/>
    <w:rsid w:val="09531A1E"/>
    <w:rsid w:val="09537CA3"/>
    <w:rsid w:val="095567BF"/>
    <w:rsid w:val="09593526"/>
    <w:rsid w:val="095C516D"/>
    <w:rsid w:val="096076EF"/>
    <w:rsid w:val="09630EDC"/>
    <w:rsid w:val="0967021B"/>
    <w:rsid w:val="0967173A"/>
    <w:rsid w:val="09690DB9"/>
    <w:rsid w:val="096D23BA"/>
    <w:rsid w:val="096E17F2"/>
    <w:rsid w:val="096E729A"/>
    <w:rsid w:val="09701255"/>
    <w:rsid w:val="097204B5"/>
    <w:rsid w:val="09736298"/>
    <w:rsid w:val="09743E61"/>
    <w:rsid w:val="097529BD"/>
    <w:rsid w:val="09781759"/>
    <w:rsid w:val="097A1C29"/>
    <w:rsid w:val="097E47CA"/>
    <w:rsid w:val="097F0FD7"/>
    <w:rsid w:val="09836F5E"/>
    <w:rsid w:val="0986256D"/>
    <w:rsid w:val="098A46BA"/>
    <w:rsid w:val="098D41AA"/>
    <w:rsid w:val="098F0E7B"/>
    <w:rsid w:val="098F4F4A"/>
    <w:rsid w:val="098F7F23"/>
    <w:rsid w:val="09906FB0"/>
    <w:rsid w:val="09907686"/>
    <w:rsid w:val="09911CD2"/>
    <w:rsid w:val="099240FF"/>
    <w:rsid w:val="099566DE"/>
    <w:rsid w:val="099644DF"/>
    <w:rsid w:val="09971161"/>
    <w:rsid w:val="099E0166"/>
    <w:rsid w:val="099E6880"/>
    <w:rsid w:val="09A1625C"/>
    <w:rsid w:val="09A80FE4"/>
    <w:rsid w:val="09B1134A"/>
    <w:rsid w:val="09B252E2"/>
    <w:rsid w:val="09B2776D"/>
    <w:rsid w:val="09BA4874"/>
    <w:rsid w:val="09BD51F8"/>
    <w:rsid w:val="09C32F37"/>
    <w:rsid w:val="09C37BCC"/>
    <w:rsid w:val="09C4485B"/>
    <w:rsid w:val="09C556F2"/>
    <w:rsid w:val="09C60C24"/>
    <w:rsid w:val="09C620C2"/>
    <w:rsid w:val="09C64410"/>
    <w:rsid w:val="09C918CC"/>
    <w:rsid w:val="09C95A46"/>
    <w:rsid w:val="09CC7AFB"/>
    <w:rsid w:val="09CE2398"/>
    <w:rsid w:val="09D206F3"/>
    <w:rsid w:val="09D27E0F"/>
    <w:rsid w:val="09D34047"/>
    <w:rsid w:val="09D41DD9"/>
    <w:rsid w:val="09DE4E0C"/>
    <w:rsid w:val="09DF7BD8"/>
    <w:rsid w:val="09E2289D"/>
    <w:rsid w:val="09E244F6"/>
    <w:rsid w:val="09E54C55"/>
    <w:rsid w:val="09E638BB"/>
    <w:rsid w:val="09E71330"/>
    <w:rsid w:val="09EF09C1"/>
    <w:rsid w:val="09F204B1"/>
    <w:rsid w:val="09F2278D"/>
    <w:rsid w:val="09F27127"/>
    <w:rsid w:val="09F32BDD"/>
    <w:rsid w:val="09F87866"/>
    <w:rsid w:val="09FA4321"/>
    <w:rsid w:val="09FB5325"/>
    <w:rsid w:val="0A024058"/>
    <w:rsid w:val="0A034D00"/>
    <w:rsid w:val="0A051A16"/>
    <w:rsid w:val="0A065F37"/>
    <w:rsid w:val="0A097537"/>
    <w:rsid w:val="0A0975BB"/>
    <w:rsid w:val="0A0A62F1"/>
    <w:rsid w:val="0A104BB3"/>
    <w:rsid w:val="0A1421D6"/>
    <w:rsid w:val="0A1A11B3"/>
    <w:rsid w:val="0A1A4033"/>
    <w:rsid w:val="0A1A4AF7"/>
    <w:rsid w:val="0A2564A7"/>
    <w:rsid w:val="0A280EC9"/>
    <w:rsid w:val="0A296248"/>
    <w:rsid w:val="0A2C39C3"/>
    <w:rsid w:val="0A371FAF"/>
    <w:rsid w:val="0A374116"/>
    <w:rsid w:val="0A375EC4"/>
    <w:rsid w:val="0A387055"/>
    <w:rsid w:val="0A3D172D"/>
    <w:rsid w:val="0A3D1D90"/>
    <w:rsid w:val="0A3D7650"/>
    <w:rsid w:val="0A3F2C13"/>
    <w:rsid w:val="0A420EFA"/>
    <w:rsid w:val="0A470C3E"/>
    <w:rsid w:val="0A570314"/>
    <w:rsid w:val="0A5D524B"/>
    <w:rsid w:val="0A64315D"/>
    <w:rsid w:val="0A674CAE"/>
    <w:rsid w:val="0A677275"/>
    <w:rsid w:val="0A6B687D"/>
    <w:rsid w:val="0A6B77C1"/>
    <w:rsid w:val="0A6C4B30"/>
    <w:rsid w:val="0A717C31"/>
    <w:rsid w:val="0A7208C7"/>
    <w:rsid w:val="0A741A12"/>
    <w:rsid w:val="0A797E19"/>
    <w:rsid w:val="0A7C2A1D"/>
    <w:rsid w:val="0A7C7C34"/>
    <w:rsid w:val="0A7D421F"/>
    <w:rsid w:val="0A7D6200"/>
    <w:rsid w:val="0A807B5E"/>
    <w:rsid w:val="0A8455AD"/>
    <w:rsid w:val="0A894CF7"/>
    <w:rsid w:val="0A8A693C"/>
    <w:rsid w:val="0A90301C"/>
    <w:rsid w:val="0A9230DA"/>
    <w:rsid w:val="0A933E13"/>
    <w:rsid w:val="0A941C11"/>
    <w:rsid w:val="0A9758A8"/>
    <w:rsid w:val="0A9D0F2A"/>
    <w:rsid w:val="0AA20680"/>
    <w:rsid w:val="0AA74C7A"/>
    <w:rsid w:val="0AA90B70"/>
    <w:rsid w:val="0AAE0E6D"/>
    <w:rsid w:val="0AAF0E50"/>
    <w:rsid w:val="0AB1211B"/>
    <w:rsid w:val="0AB41A5A"/>
    <w:rsid w:val="0AB51452"/>
    <w:rsid w:val="0AB55001"/>
    <w:rsid w:val="0AB55CF1"/>
    <w:rsid w:val="0ABA4091"/>
    <w:rsid w:val="0ABD7054"/>
    <w:rsid w:val="0AC05EBA"/>
    <w:rsid w:val="0AC13905"/>
    <w:rsid w:val="0AC208BF"/>
    <w:rsid w:val="0AC9117C"/>
    <w:rsid w:val="0ACC2AB1"/>
    <w:rsid w:val="0ACD065D"/>
    <w:rsid w:val="0ACE45D1"/>
    <w:rsid w:val="0ACF434F"/>
    <w:rsid w:val="0AD025A1"/>
    <w:rsid w:val="0AD2620C"/>
    <w:rsid w:val="0AD27739"/>
    <w:rsid w:val="0AD3127A"/>
    <w:rsid w:val="0AD369A5"/>
    <w:rsid w:val="0AD80180"/>
    <w:rsid w:val="0ADA5929"/>
    <w:rsid w:val="0AE01D56"/>
    <w:rsid w:val="0AE0655C"/>
    <w:rsid w:val="0AE3196E"/>
    <w:rsid w:val="0AE61A60"/>
    <w:rsid w:val="0AE61DC4"/>
    <w:rsid w:val="0AE628DC"/>
    <w:rsid w:val="0AE677E3"/>
    <w:rsid w:val="0AEA4F73"/>
    <w:rsid w:val="0AEA649A"/>
    <w:rsid w:val="0AED75B7"/>
    <w:rsid w:val="0AF0055B"/>
    <w:rsid w:val="0AF02C43"/>
    <w:rsid w:val="0AF13236"/>
    <w:rsid w:val="0AF20E87"/>
    <w:rsid w:val="0AF5030F"/>
    <w:rsid w:val="0AF66B30"/>
    <w:rsid w:val="0AF85654"/>
    <w:rsid w:val="0AFD07FE"/>
    <w:rsid w:val="0AFE7C27"/>
    <w:rsid w:val="0AFF3C4B"/>
    <w:rsid w:val="0B0449A8"/>
    <w:rsid w:val="0B044DB2"/>
    <w:rsid w:val="0B0A0096"/>
    <w:rsid w:val="0B0A04B5"/>
    <w:rsid w:val="0B0B10F0"/>
    <w:rsid w:val="0B0B2533"/>
    <w:rsid w:val="0B0B6A44"/>
    <w:rsid w:val="0B0E5E84"/>
    <w:rsid w:val="0B116BFF"/>
    <w:rsid w:val="0B17629A"/>
    <w:rsid w:val="0B1B0149"/>
    <w:rsid w:val="0B1B17B8"/>
    <w:rsid w:val="0B1E71F8"/>
    <w:rsid w:val="0B1F292F"/>
    <w:rsid w:val="0B1F4290"/>
    <w:rsid w:val="0B1F5DA0"/>
    <w:rsid w:val="0B225B1A"/>
    <w:rsid w:val="0B225FBF"/>
    <w:rsid w:val="0B254E68"/>
    <w:rsid w:val="0B2567B2"/>
    <w:rsid w:val="0B2677E3"/>
    <w:rsid w:val="0B291CB1"/>
    <w:rsid w:val="0B335FB4"/>
    <w:rsid w:val="0B3500DF"/>
    <w:rsid w:val="0B3531E8"/>
    <w:rsid w:val="0B3643CE"/>
    <w:rsid w:val="0B381EF4"/>
    <w:rsid w:val="0B3A43AE"/>
    <w:rsid w:val="0B3A7178"/>
    <w:rsid w:val="0B3C43D0"/>
    <w:rsid w:val="0B3E1348"/>
    <w:rsid w:val="0B4307C6"/>
    <w:rsid w:val="0B444D3D"/>
    <w:rsid w:val="0B474DB5"/>
    <w:rsid w:val="0B4B60CB"/>
    <w:rsid w:val="0B4D3088"/>
    <w:rsid w:val="0B4F57EA"/>
    <w:rsid w:val="0B5000E9"/>
    <w:rsid w:val="0B5164A0"/>
    <w:rsid w:val="0B56279A"/>
    <w:rsid w:val="0B5656BD"/>
    <w:rsid w:val="0B574A70"/>
    <w:rsid w:val="0B577EBA"/>
    <w:rsid w:val="0B5A53B2"/>
    <w:rsid w:val="0B5B4571"/>
    <w:rsid w:val="0B5C6392"/>
    <w:rsid w:val="0B5E6F89"/>
    <w:rsid w:val="0B6105B6"/>
    <w:rsid w:val="0B614AC5"/>
    <w:rsid w:val="0B633977"/>
    <w:rsid w:val="0B6568E7"/>
    <w:rsid w:val="0B670D6C"/>
    <w:rsid w:val="0B6727D9"/>
    <w:rsid w:val="0B6B48CC"/>
    <w:rsid w:val="0B6C175C"/>
    <w:rsid w:val="0B6D1773"/>
    <w:rsid w:val="0B6E48C2"/>
    <w:rsid w:val="0B717725"/>
    <w:rsid w:val="0B750D52"/>
    <w:rsid w:val="0B75212F"/>
    <w:rsid w:val="0B786937"/>
    <w:rsid w:val="0B7A3F02"/>
    <w:rsid w:val="0B7C652C"/>
    <w:rsid w:val="0B7C6869"/>
    <w:rsid w:val="0B7E3909"/>
    <w:rsid w:val="0B7F7B23"/>
    <w:rsid w:val="0B802BBC"/>
    <w:rsid w:val="0B896AF0"/>
    <w:rsid w:val="0B8B296C"/>
    <w:rsid w:val="0B8C0074"/>
    <w:rsid w:val="0B8D2240"/>
    <w:rsid w:val="0B8D39A4"/>
    <w:rsid w:val="0B8E1D75"/>
    <w:rsid w:val="0B8E4522"/>
    <w:rsid w:val="0B910614"/>
    <w:rsid w:val="0B9730BE"/>
    <w:rsid w:val="0B981705"/>
    <w:rsid w:val="0B9F3D21"/>
    <w:rsid w:val="0BA35693"/>
    <w:rsid w:val="0BA5102F"/>
    <w:rsid w:val="0BA551CB"/>
    <w:rsid w:val="0BAB0918"/>
    <w:rsid w:val="0BAE0408"/>
    <w:rsid w:val="0BAE36BB"/>
    <w:rsid w:val="0BAF2977"/>
    <w:rsid w:val="0BB02A75"/>
    <w:rsid w:val="0BB21B28"/>
    <w:rsid w:val="0BB27CE4"/>
    <w:rsid w:val="0BB377CC"/>
    <w:rsid w:val="0BB51797"/>
    <w:rsid w:val="0BB66FA4"/>
    <w:rsid w:val="0BB822E8"/>
    <w:rsid w:val="0BB8407B"/>
    <w:rsid w:val="0BB93035"/>
    <w:rsid w:val="0BB93BC5"/>
    <w:rsid w:val="0BB974D9"/>
    <w:rsid w:val="0BBB4DB8"/>
    <w:rsid w:val="0BBD20C9"/>
    <w:rsid w:val="0BBE5C61"/>
    <w:rsid w:val="0BC25F4A"/>
    <w:rsid w:val="0BC45631"/>
    <w:rsid w:val="0BC639A4"/>
    <w:rsid w:val="0BCA0551"/>
    <w:rsid w:val="0BCB4FA1"/>
    <w:rsid w:val="0BCC35DF"/>
    <w:rsid w:val="0BCD06E8"/>
    <w:rsid w:val="0BD059A0"/>
    <w:rsid w:val="0BD065D0"/>
    <w:rsid w:val="0BD46353"/>
    <w:rsid w:val="0BD96B65"/>
    <w:rsid w:val="0BDA55A2"/>
    <w:rsid w:val="0BDC31C7"/>
    <w:rsid w:val="0BDE0828"/>
    <w:rsid w:val="0BDE2288"/>
    <w:rsid w:val="0BDF6813"/>
    <w:rsid w:val="0BE42CF7"/>
    <w:rsid w:val="0BE43B3C"/>
    <w:rsid w:val="0BE462AE"/>
    <w:rsid w:val="0BE80B4C"/>
    <w:rsid w:val="0BEB3162"/>
    <w:rsid w:val="0BEE799F"/>
    <w:rsid w:val="0BF11F1E"/>
    <w:rsid w:val="0BFA514F"/>
    <w:rsid w:val="0BFB51F8"/>
    <w:rsid w:val="0BFF4717"/>
    <w:rsid w:val="0C006EB6"/>
    <w:rsid w:val="0C0419BA"/>
    <w:rsid w:val="0C063434"/>
    <w:rsid w:val="0C0C3C41"/>
    <w:rsid w:val="0C0D481B"/>
    <w:rsid w:val="0C0E70CD"/>
    <w:rsid w:val="0C0F3B2E"/>
    <w:rsid w:val="0C104D60"/>
    <w:rsid w:val="0C1053BE"/>
    <w:rsid w:val="0C1505EB"/>
    <w:rsid w:val="0C156450"/>
    <w:rsid w:val="0C177744"/>
    <w:rsid w:val="0C1D17D8"/>
    <w:rsid w:val="0C1F4E62"/>
    <w:rsid w:val="0C1F50CD"/>
    <w:rsid w:val="0C220E1D"/>
    <w:rsid w:val="0C2560C6"/>
    <w:rsid w:val="0C261D47"/>
    <w:rsid w:val="0C281EC0"/>
    <w:rsid w:val="0C2861F6"/>
    <w:rsid w:val="0C2C216E"/>
    <w:rsid w:val="0C2C5C40"/>
    <w:rsid w:val="0C3539E1"/>
    <w:rsid w:val="0C362024"/>
    <w:rsid w:val="0C3C77C2"/>
    <w:rsid w:val="0C3D49D2"/>
    <w:rsid w:val="0C3D7EA9"/>
    <w:rsid w:val="0C3E1674"/>
    <w:rsid w:val="0C3E20D8"/>
    <w:rsid w:val="0C421CC7"/>
    <w:rsid w:val="0C443312"/>
    <w:rsid w:val="0C450C30"/>
    <w:rsid w:val="0C464E86"/>
    <w:rsid w:val="0C46717F"/>
    <w:rsid w:val="0C481107"/>
    <w:rsid w:val="0C4843B9"/>
    <w:rsid w:val="0C4A4FFD"/>
    <w:rsid w:val="0C4C6A25"/>
    <w:rsid w:val="0C4D4EA5"/>
    <w:rsid w:val="0C4E180B"/>
    <w:rsid w:val="0C4E5A0A"/>
    <w:rsid w:val="0C545261"/>
    <w:rsid w:val="0C5845B6"/>
    <w:rsid w:val="0C5E7964"/>
    <w:rsid w:val="0C62487F"/>
    <w:rsid w:val="0C652D33"/>
    <w:rsid w:val="0C673F81"/>
    <w:rsid w:val="0C6C1BE9"/>
    <w:rsid w:val="0C6E28BA"/>
    <w:rsid w:val="0C6E39F9"/>
    <w:rsid w:val="0C707A56"/>
    <w:rsid w:val="0C7358DA"/>
    <w:rsid w:val="0C745436"/>
    <w:rsid w:val="0C760559"/>
    <w:rsid w:val="0C762CD4"/>
    <w:rsid w:val="0C764645"/>
    <w:rsid w:val="0C7755EE"/>
    <w:rsid w:val="0C7A3856"/>
    <w:rsid w:val="0C7B44BE"/>
    <w:rsid w:val="0C8029AB"/>
    <w:rsid w:val="0C80347F"/>
    <w:rsid w:val="0C83342C"/>
    <w:rsid w:val="0C867702"/>
    <w:rsid w:val="0C8A3EDB"/>
    <w:rsid w:val="0C91395E"/>
    <w:rsid w:val="0C95662C"/>
    <w:rsid w:val="0C9656ED"/>
    <w:rsid w:val="0C99352A"/>
    <w:rsid w:val="0C994C14"/>
    <w:rsid w:val="0C9A7209"/>
    <w:rsid w:val="0C9C0D79"/>
    <w:rsid w:val="0CA044B7"/>
    <w:rsid w:val="0CA05FA3"/>
    <w:rsid w:val="0CA14EEC"/>
    <w:rsid w:val="0CA37841"/>
    <w:rsid w:val="0CA82E20"/>
    <w:rsid w:val="0CA87801"/>
    <w:rsid w:val="0CA9511A"/>
    <w:rsid w:val="0CAD246E"/>
    <w:rsid w:val="0CAD7F79"/>
    <w:rsid w:val="0CB1678C"/>
    <w:rsid w:val="0CB83B56"/>
    <w:rsid w:val="0CBB6906"/>
    <w:rsid w:val="0CBD3506"/>
    <w:rsid w:val="0CBD7F89"/>
    <w:rsid w:val="0CBF2509"/>
    <w:rsid w:val="0CC04B14"/>
    <w:rsid w:val="0CC1182F"/>
    <w:rsid w:val="0CC14B1E"/>
    <w:rsid w:val="0CC2416B"/>
    <w:rsid w:val="0CC71781"/>
    <w:rsid w:val="0CC7558C"/>
    <w:rsid w:val="0CC96FFD"/>
    <w:rsid w:val="0CCB7F0D"/>
    <w:rsid w:val="0CCD573A"/>
    <w:rsid w:val="0CD21284"/>
    <w:rsid w:val="0CD25887"/>
    <w:rsid w:val="0CD508FF"/>
    <w:rsid w:val="0CDB213D"/>
    <w:rsid w:val="0CE02D0F"/>
    <w:rsid w:val="0CE50675"/>
    <w:rsid w:val="0CE6747F"/>
    <w:rsid w:val="0CE73BD2"/>
    <w:rsid w:val="0CF02C50"/>
    <w:rsid w:val="0CF76807"/>
    <w:rsid w:val="0CF76DEA"/>
    <w:rsid w:val="0CFD69E1"/>
    <w:rsid w:val="0CFF0F1B"/>
    <w:rsid w:val="0CFF4096"/>
    <w:rsid w:val="0D027ADD"/>
    <w:rsid w:val="0D03223B"/>
    <w:rsid w:val="0D035739"/>
    <w:rsid w:val="0D042468"/>
    <w:rsid w:val="0D0429D6"/>
    <w:rsid w:val="0D070F57"/>
    <w:rsid w:val="0D0E5EF1"/>
    <w:rsid w:val="0D0E6AD3"/>
    <w:rsid w:val="0D0E73B0"/>
    <w:rsid w:val="0D0F4ED6"/>
    <w:rsid w:val="0D114F1D"/>
    <w:rsid w:val="0D1263E5"/>
    <w:rsid w:val="0D127713"/>
    <w:rsid w:val="0D1427A7"/>
    <w:rsid w:val="0D15240A"/>
    <w:rsid w:val="0D197E9F"/>
    <w:rsid w:val="0D1C281C"/>
    <w:rsid w:val="0D2524CB"/>
    <w:rsid w:val="0D260288"/>
    <w:rsid w:val="0D291805"/>
    <w:rsid w:val="0D2C47B3"/>
    <w:rsid w:val="0D2C6F7F"/>
    <w:rsid w:val="0D2F6D0E"/>
    <w:rsid w:val="0D31666E"/>
    <w:rsid w:val="0D3535C7"/>
    <w:rsid w:val="0D377A85"/>
    <w:rsid w:val="0D39476D"/>
    <w:rsid w:val="0D394C97"/>
    <w:rsid w:val="0D3B3BDF"/>
    <w:rsid w:val="0D3B494C"/>
    <w:rsid w:val="0D3B7AD4"/>
    <w:rsid w:val="0D3D0D2D"/>
    <w:rsid w:val="0D3E03C1"/>
    <w:rsid w:val="0D412CC7"/>
    <w:rsid w:val="0D447276"/>
    <w:rsid w:val="0D473783"/>
    <w:rsid w:val="0D481E63"/>
    <w:rsid w:val="0D485133"/>
    <w:rsid w:val="0D4B0BF6"/>
    <w:rsid w:val="0D4C382C"/>
    <w:rsid w:val="0D524ACF"/>
    <w:rsid w:val="0D533DF8"/>
    <w:rsid w:val="0D5372D9"/>
    <w:rsid w:val="0D5530D3"/>
    <w:rsid w:val="0D553231"/>
    <w:rsid w:val="0D58062B"/>
    <w:rsid w:val="0D5A43A4"/>
    <w:rsid w:val="0D5C4A45"/>
    <w:rsid w:val="0D5D1372"/>
    <w:rsid w:val="0D5F5E5E"/>
    <w:rsid w:val="0D611A4C"/>
    <w:rsid w:val="0D6312A0"/>
    <w:rsid w:val="0D631898"/>
    <w:rsid w:val="0D6337CE"/>
    <w:rsid w:val="0D65084A"/>
    <w:rsid w:val="0D6561EC"/>
    <w:rsid w:val="0D696CDD"/>
    <w:rsid w:val="0D6A3A04"/>
    <w:rsid w:val="0D6A518B"/>
    <w:rsid w:val="0D6C6771"/>
    <w:rsid w:val="0D6D6F61"/>
    <w:rsid w:val="0D726F9B"/>
    <w:rsid w:val="0D746BCF"/>
    <w:rsid w:val="0D7511DD"/>
    <w:rsid w:val="0D75742F"/>
    <w:rsid w:val="0D790EFC"/>
    <w:rsid w:val="0D7B4CB6"/>
    <w:rsid w:val="0D7F02AE"/>
    <w:rsid w:val="0D7F21BF"/>
    <w:rsid w:val="0D7F2EEC"/>
    <w:rsid w:val="0D8238FA"/>
    <w:rsid w:val="0D8551F8"/>
    <w:rsid w:val="0D870F11"/>
    <w:rsid w:val="0D8B2920"/>
    <w:rsid w:val="0D8D22EF"/>
    <w:rsid w:val="0D8E3C96"/>
    <w:rsid w:val="0D956F40"/>
    <w:rsid w:val="0D984282"/>
    <w:rsid w:val="0D990806"/>
    <w:rsid w:val="0D9B13ED"/>
    <w:rsid w:val="0D9D0734"/>
    <w:rsid w:val="0D9E6986"/>
    <w:rsid w:val="0D9F2FA6"/>
    <w:rsid w:val="0DA20848"/>
    <w:rsid w:val="0DA315B8"/>
    <w:rsid w:val="0DA4606B"/>
    <w:rsid w:val="0DA8151C"/>
    <w:rsid w:val="0DB61183"/>
    <w:rsid w:val="0DB63468"/>
    <w:rsid w:val="0DB91DA2"/>
    <w:rsid w:val="0DB9633A"/>
    <w:rsid w:val="0DBA61E3"/>
    <w:rsid w:val="0DBC1345"/>
    <w:rsid w:val="0DBE1C7E"/>
    <w:rsid w:val="0DBF6666"/>
    <w:rsid w:val="0DC1143E"/>
    <w:rsid w:val="0DC12892"/>
    <w:rsid w:val="0DC4752C"/>
    <w:rsid w:val="0DC635E4"/>
    <w:rsid w:val="0DCA7910"/>
    <w:rsid w:val="0DCB0DFD"/>
    <w:rsid w:val="0DCC04F2"/>
    <w:rsid w:val="0DCC4E0D"/>
    <w:rsid w:val="0DCD1A67"/>
    <w:rsid w:val="0DD150E7"/>
    <w:rsid w:val="0DD16C7E"/>
    <w:rsid w:val="0DD30730"/>
    <w:rsid w:val="0DDD3A5F"/>
    <w:rsid w:val="0DDE5994"/>
    <w:rsid w:val="0DE13CE3"/>
    <w:rsid w:val="0DE2529F"/>
    <w:rsid w:val="0DE3753A"/>
    <w:rsid w:val="0DE819AF"/>
    <w:rsid w:val="0DEE2EA2"/>
    <w:rsid w:val="0DF11314"/>
    <w:rsid w:val="0DF12D6D"/>
    <w:rsid w:val="0DF713D9"/>
    <w:rsid w:val="0DF85173"/>
    <w:rsid w:val="0DFA24D2"/>
    <w:rsid w:val="0DFA2657"/>
    <w:rsid w:val="0E0112F0"/>
    <w:rsid w:val="0E037A23"/>
    <w:rsid w:val="0E040766"/>
    <w:rsid w:val="0E04215F"/>
    <w:rsid w:val="0E053C19"/>
    <w:rsid w:val="0E054AB3"/>
    <w:rsid w:val="0E061719"/>
    <w:rsid w:val="0E065060"/>
    <w:rsid w:val="0E086573"/>
    <w:rsid w:val="0E0D56C0"/>
    <w:rsid w:val="0E0E7BEA"/>
    <w:rsid w:val="0E10622A"/>
    <w:rsid w:val="0E1108FE"/>
    <w:rsid w:val="0E1903E0"/>
    <w:rsid w:val="0E1A1D89"/>
    <w:rsid w:val="0E1A239E"/>
    <w:rsid w:val="0E1E0299"/>
    <w:rsid w:val="0E205E18"/>
    <w:rsid w:val="0E210AFD"/>
    <w:rsid w:val="0E2C0A09"/>
    <w:rsid w:val="0E2C486C"/>
    <w:rsid w:val="0E2D3511"/>
    <w:rsid w:val="0E2D3866"/>
    <w:rsid w:val="0E2E4257"/>
    <w:rsid w:val="0E2F622F"/>
    <w:rsid w:val="0E320E7D"/>
    <w:rsid w:val="0E337959"/>
    <w:rsid w:val="0E375067"/>
    <w:rsid w:val="0E3825EC"/>
    <w:rsid w:val="0E383AA8"/>
    <w:rsid w:val="0E39220B"/>
    <w:rsid w:val="0E395649"/>
    <w:rsid w:val="0E3B5A87"/>
    <w:rsid w:val="0E3F3599"/>
    <w:rsid w:val="0E461A43"/>
    <w:rsid w:val="0E487986"/>
    <w:rsid w:val="0E4A4418"/>
    <w:rsid w:val="0E4B5567"/>
    <w:rsid w:val="0E4C4D39"/>
    <w:rsid w:val="0E5105B7"/>
    <w:rsid w:val="0E52158E"/>
    <w:rsid w:val="0E526B59"/>
    <w:rsid w:val="0E542A9E"/>
    <w:rsid w:val="0E5520C7"/>
    <w:rsid w:val="0E5B34E8"/>
    <w:rsid w:val="0E5C11CA"/>
    <w:rsid w:val="0E623E63"/>
    <w:rsid w:val="0E631103"/>
    <w:rsid w:val="0E641C80"/>
    <w:rsid w:val="0E6643C3"/>
    <w:rsid w:val="0E686877"/>
    <w:rsid w:val="0E686A3B"/>
    <w:rsid w:val="0E686F94"/>
    <w:rsid w:val="0E69078B"/>
    <w:rsid w:val="0E6D44C1"/>
    <w:rsid w:val="0E6D5EA0"/>
    <w:rsid w:val="0E6E2941"/>
    <w:rsid w:val="0E71409B"/>
    <w:rsid w:val="0E7223B2"/>
    <w:rsid w:val="0E736CD5"/>
    <w:rsid w:val="0E747962"/>
    <w:rsid w:val="0E785AD8"/>
    <w:rsid w:val="0E794CFD"/>
    <w:rsid w:val="0E7A7053"/>
    <w:rsid w:val="0E7B4839"/>
    <w:rsid w:val="0E7C60A3"/>
    <w:rsid w:val="0E7E091A"/>
    <w:rsid w:val="0E7E40C2"/>
    <w:rsid w:val="0E810FC3"/>
    <w:rsid w:val="0E824FE3"/>
    <w:rsid w:val="0E825A8F"/>
    <w:rsid w:val="0E8518F4"/>
    <w:rsid w:val="0E8573E1"/>
    <w:rsid w:val="0E8A5201"/>
    <w:rsid w:val="0E8C2C83"/>
    <w:rsid w:val="0E8D0253"/>
    <w:rsid w:val="0E8E1074"/>
    <w:rsid w:val="0E910299"/>
    <w:rsid w:val="0E91531B"/>
    <w:rsid w:val="0E9336DC"/>
    <w:rsid w:val="0E947D89"/>
    <w:rsid w:val="0E9829EF"/>
    <w:rsid w:val="0E9A14B7"/>
    <w:rsid w:val="0E9E7DBD"/>
    <w:rsid w:val="0E9F2E9D"/>
    <w:rsid w:val="0E9F4FBE"/>
    <w:rsid w:val="0EA42CE9"/>
    <w:rsid w:val="0EA43155"/>
    <w:rsid w:val="0EA60B71"/>
    <w:rsid w:val="0EA77ABC"/>
    <w:rsid w:val="0EAC44C3"/>
    <w:rsid w:val="0EAC5D4A"/>
    <w:rsid w:val="0EAF5DB9"/>
    <w:rsid w:val="0EB21234"/>
    <w:rsid w:val="0EB6726A"/>
    <w:rsid w:val="0EB7163B"/>
    <w:rsid w:val="0EB9789A"/>
    <w:rsid w:val="0EBF1C78"/>
    <w:rsid w:val="0EC266A4"/>
    <w:rsid w:val="0EC57F43"/>
    <w:rsid w:val="0EC95C85"/>
    <w:rsid w:val="0ECF28CA"/>
    <w:rsid w:val="0ED14B39"/>
    <w:rsid w:val="0ED32660"/>
    <w:rsid w:val="0ED41C44"/>
    <w:rsid w:val="0ED44016"/>
    <w:rsid w:val="0ED566F1"/>
    <w:rsid w:val="0EDA313D"/>
    <w:rsid w:val="0EDB7766"/>
    <w:rsid w:val="0EE40647"/>
    <w:rsid w:val="0EEA5241"/>
    <w:rsid w:val="0EEE649D"/>
    <w:rsid w:val="0EF50182"/>
    <w:rsid w:val="0EF778B1"/>
    <w:rsid w:val="0EF83315"/>
    <w:rsid w:val="0EF919AD"/>
    <w:rsid w:val="0EFC0D72"/>
    <w:rsid w:val="0EFD4949"/>
    <w:rsid w:val="0F036C49"/>
    <w:rsid w:val="0F052A35"/>
    <w:rsid w:val="0F091A0A"/>
    <w:rsid w:val="0F0A2C57"/>
    <w:rsid w:val="0F0D5C2E"/>
    <w:rsid w:val="0F0E4A64"/>
    <w:rsid w:val="0F0F3CF9"/>
    <w:rsid w:val="0F160269"/>
    <w:rsid w:val="0F161A7B"/>
    <w:rsid w:val="0F1B7B63"/>
    <w:rsid w:val="0F2574A4"/>
    <w:rsid w:val="0F26411F"/>
    <w:rsid w:val="0F276D10"/>
    <w:rsid w:val="0F2F0787"/>
    <w:rsid w:val="0F2F1860"/>
    <w:rsid w:val="0F335958"/>
    <w:rsid w:val="0F3375A2"/>
    <w:rsid w:val="0F37255A"/>
    <w:rsid w:val="0F3B0F68"/>
    <w:rsid w:val="0F3E0510"/>
    <w:rsid w:val="0F400451"/>
    <w:rsid w:val="0F415680"/>
    <w:rsid w:val="0F424FD6"/>
    <w:rsid w:val="0F4278BE"/>
    <w:rsid w:val="0F433073"/>
    <w:rsid w:val="0F484100"/>
    <w:rsid w:val="0F4B3FBB"/>
    <w:rsid w:val="0F4C0664"/>
    <w:rsid w:val="0F4C1806"/>
    <w:rsid w:val="0F4C1F1A"/>
    <w:rsid w:val="0F4F5A5E"/>
    <w:rsid w:val="0F5352F7"/>
    <w:rsid w:val="0F5E1165"/>
    <w:rsid w:val="0F607C6B"/>
    <w:rsid w:val="0F6232F4"/>
    <w:rsid w:val="0F6459AD"/>
    <w:rsid w:val="0F654906"/>
    <w:rsid w:val="0F6C6610"/>
    <w:rsid w:val="0F6D6A36"/>
    <w:rsid w:val="0F6E5F7B"/>
    <w:rsid w:val="0F6F3994"/>
    <w:rsid w:val="0F7010AD"/>
    <w:rsid w:val="0F73174D"/>
    <w:rsid w:val="0F733AC6"/>
    <w:rsid w:val="0F7620F7"/>
    <w:rsid w:val="0F7714B9"/>
    <w:rsid w:val="0F7B7385"/>
    <w:rsid w:val="0F7C1FFB"/>
    <w:rsid w:val="0F7C2CF7"/>
    <w:rsid w:val="0F7E716B"/>
    <w:rsid w:val="0F7F3D5A"/>
    <w:rsid w:val="0F7F4526"/>
    <w:rsid w:val="0F801386"/>
    <w:rsid w:val="0F8542B7"/>
    <w:rsid w:val="0F8751F8"/>
    <w:rsid w:val="0F8B3309"/>
    <w:rsid w:val="0F8C7160"/>
    <w:rsid w:val="0F8D0424"/>
    <w:rsid w:val="0F8D52E4"/>
    <w:rsid w:val="0F927BD4"/>
    <w:rsid w:val="0F973A36"/>
    <w:rsid w:val="0F977840"/>
    <w:rsid w:val="0F977C35"/>
    <w:rsid w:val="0F9965B5"/>
    <w:rsid w:val="0F9A3CA2"/>
    <w:rsid w:val="0F9B07BA"/>
    <w:rsid w:val="0F9B6917"/>
    <w:rsid w:val="0F9C3D0F"/>
    <w:rsid w:val="0F9D248D"/>
    <w:rsid w:val="0F9D4A1B"/>
    <w:rsid w:val="0FA013F3"/>
    <w:rsid w:val="0FA12699"/>
    <w:rsid w:val="0FA57681"/>
    <w:rsid w:val="0FA67A8D"/>
    <w:rsid w:val="0FA76140"/>
    <w:rsid w:val="0FA96790"/>
    <w:rsid w:val="0FA97864"/>
    <w:rsid w:val="0FAA6444"/>
    <w:rsid w:val="0FAC53A4"/>
    <w:rsid w:val="0FAC5FCE"/>
    <w:rsid w:val="0FAD0FCC"/>
    <w:rsid w:val="0FAD6092"/>
    <w:rsid w:val="0FAE4E7B"/>
    <w:rsid w:val="0FAF60DA"/>
    <w:rsid w:val="0FB00BF3"/>
    <w:rsid w:val="0FB03016"/>
    <w:rsid w:val="0FB30C37"/>
    <w:rsid w:val="0FB47DF7"/>
    <w:rsid w:val="0FB51D65"/>
    <w:rsid w:val="0FB85AFE"/>
    <w:rsid w:val="0FB92993"/>
    <w:rsid w:val="0FC505A6"/>
    <w:rsid w:val="0FC566B6"/>
    <w:rsid w:val="0FC92877"/>
    <w:rsid w:val="0FCA7A2B"/>
    <w:rsid w:val="0FCD4823"/>
    <w:rsid w:val="0FCF1F9E"/>
    <w:rsid w:val="0FCF2DD6"/>
    <w:rsid w:val="0FD25DBB"/>
    <w:rsid w:val="0FD868F1"/>
    <w:rsid w:val="0FD94DB4"/>
    <w:rsid w:val="0FDD12BC"/>
    <w:rsid w:val="0FE07DA9"/>
    <w:rsid w:val="0FE32D76"/>
    <w:rsid w:val="0FE4264A"/>
    <w:rsid w:val="0FE67956"/>
    <w:rsid w:val="0FE926C8"/>
    <w:rsid w:val="0FEB0DE6"/>
    <w:rsid w:val="0FED7751"/>
    <w:rsid w:val="0FF147E5"/>
    <w:rsid w:val="0FF271BF"/>
    <w:rsid w:val="0FF420EE"/>
    <w:rsid w:val="0FF54858"/>
    <w:rsid w:val="0FF7412C"/>
    <w:rsid w:val="0FFC0270"/>
    <w:rsid w:val="0FFC13CF"/>
    <w:rsid w:val="0FFF014F"/>
    <w:rsid w:val="100310AE"/>
    <w:rsid w:val="10051B30"/>
    <w:rsid w:val="10053430"/>
    <w:rsid w:val="10070F3C"/>
    <w:rsid w:val="10071649"/>
    <w:rsid w:val="10074901"/>
    <w:rsid w:val="10083EE3"/>
    <w:rsid w:val="10094338"/>
    <w:rsid w:val="100C0F46"/>
    <w:rsid w:val="1010321E"/>
    <w:rsid w:val="10162AC9"/>
    <w:rsid w:val="10164585"/>
    <w:rsid w:val="10192FA4"/>
    <w:rsid w:val="102122C3"/>
    <w:rsid w:val="1023276E"/>
    <w:rsid w:val="102766B2"/>
    <w:rsid w:val="10280789"/>
    <w:rsid w:val="10306153"/>
    <w:rsid w:val="1034712E"/>
    <w:rsid w:val="103565C0"/>
    <w:rsid w:val="1039779F"/>
    <w:rsid w:val="103A04BC"/>
    <w:rsid w:val="10443CCE"/>
    <w:rsid w:val="1046092A"/>
    <w:rsid w:val="10492F16"/>
    <w:rsid w:val="104A7030"/>
    <w:rsid w:val="104C2E0F"/>
    <w:rsid w:val="104F6B51"/>
    <w:rsid w:val="10503D01"/>
    <w:rsid w:val="10521CAA"/>
    <w:rsid w:val="105442F8"/>
    <w:rsid w:val="10551468"/>
    <w:rsid w:val="1055162D"/>
    <w:rsid w:val="10560798"/>
    <w:rsid w:val="1057106E"/>
    <w:rsid w:val="10596B94"/>
    <w:rsid w:val="10616E64"/>
    <w:rsid w:val="10642A04"/>
    <w:rsid w:val="10665746"/>
    <w:rsid w:val="106C5EE0"/>
    <w:rsid w:val="106F3254"/>
    <w:rsid w:val="10714AF1"/>
    <w:rsid w:val="1074088A"/>
    <w:rsid w:val="107664F1"/>
    <w:rsid w:val="1077421C"/>
    <w:rsid w:val="10787A72"/>
    <w:rsid w:val="108160C4"/>
    <w:rsid w:val="10832326"/>
    <w:rsid w:val="10833605"/>
    <w:rsid w:val="10861B7B"/>
    <w:rsid w:val="1088747A"/>
    <w:rsid w:val="108C06FC"/>
    <w:rsid w:val="108F255A"/>
    <w:rsid w:val="1093274B"/>
    <w:rsid w:val="10936B2D"/>
    <w:rsid w:val="10944070"/>
    <w:rsid w:val="10945C59"/>
    <w:rsid w:val="10954E1C"/>
    <w:rsid w:val="109C777D"/>
    <w:rsid w:val="109D6C5D"/>
    <w:rsid w:val="10A0243A"/>
    <w:rsid w:val="10A0643D"/>
    <w:rsid w:val="10A07CE0"/>
    <w:rsid w:val="10A17B3A"/>
    <w:rsid w:val="10A341D3"/>
    <w:rsid w:val="10A569F1"/>
    <w:rsid w:val="10B01C76"/>
    <w:rsid w:val="10B1175B"/>
    <w:rsid w:val="10B37A88"/>
    <w:rsid w:val="10B540E9"/>
    <w:rsid w:val="10B556E7"/>
    <w:rsid w:val="10B565D2"/>
    <w:rsid w:val="10B70866"/>
    <w:rsid w:val="10B97633"/>
    <w:rsid w:val="10BB33AB"/>
    <w:rsid w:val="10BD632E"/>
    <w:rsid w:val="10C02E59"/>
    <w:rsid w:val="10C35F3C"/>
    <w:rsid w:val="10C36704"/>
    <w:rsid w:val="10CB548C"/>
    <w:rsid w:val="10CB7FC1"/>
    <w:rsid w:val="10CD1330"/>
    <w:rsid w:val="10CD546A"/>
    <w:rsid w:val="10D343E0"/>
    <w:rsid w:val="10D36F9D"/>
    <w:rsid w:val="10D456D7"/>
    <w:rsid w:val="10D633F7"/>
    <w:rsid w:val="10D726AD"/>
    <w:rsid w:val="10D84C90"/>
    <w:rsid w:val="10D86053"/>
    <w:rsid w:val="10D91329"/>
    <w:rsid w:val="10D91D9A"/>
    <w:rsid w:val="10D95B1E"/>
    <w:rsid w:val="10D95F27"/>
    <w:rsid w:val="10DA0F83"/>
    <w:rsid w:val="10DD72DD"/>
    <w:rsid w:val="10E534EE"/>
    <w:rsid w:val="10E741A0"/>
    <w:rsid w:val="10EB702B"/>
    <w:rsid w:val="10EB73E2"/>
    <w:rsid w:val="10F22B45"/>
    <w:rsid w:val="10F246E4"/>
    <w:rsid w:val="10F34F3A"/>
    <w:rsid w:val="10F36FE9"/>
    <w:rsid w:val="10F863AD"/>
    <w:rsid w:val="10FC6CAB"/>
    <w:rsid w:val="10FF0663"/>
    <w:rsid w:val="10FF1B1E"/>
    <w:rsid w:val="110079F0"/>
    <w:rsid w:val="1106294C"/>
    <w:rsid w:val="11072530"/>
    <w:rsid w:val="110F1BF5"/>
    <w:rsid w:val="11144EB5"/>
    <w:rsid w:val="11146F5F"/>
    <w:rsid w:val="11162AD5"/>
    <w:rsid w:val="11180E59"/>
    <w:rsid w:val="11182FF7"/>
    <w:rsid w:val="111F7DDE"/>
    <w:rsid w:val="11203B56"/>
    <w:rsid w:val="11233620"/>
    <w:rsid w:val="112505E0"/>
    <w:rsid w:val="11253A74"/>
    <w:rsid w:val="11270A79"/>
    <w:rsid w:val="11286C4C"/>
    <w:rsid w:val="112C6AFF"/>
    <w:rsid w:val="112F5E54"/>
    <w:rsid w:val="11312ED4"/>
    <w:rsid w:val="11333889"/>
    <w:rsid w:val="11347746"/>
    <w:rsid w:val="11380DED"/>
    <w:rsid w:val="113B598B"/>
    <w:rsid w:val="113E2021"/>
    <w:rsid w:val="113F6686"/>
    <w:rsid w:val="1143662A"/>
    <w:rsid w:val="1145441B"/>
    <w:rsid w:val="114710E3"/>
    <w:rsid w:val="1148338F"/>
    <w:rsid w:val="114B5C83"/>
    <w:rsid w:val="114E06C3"/>
    <w:rsid w:val="114E7D12"/>
    <w:rsid w:val="114F72F7"/>
    <w:rsid w:val="11527A1F"/>
    <w:rsid w:val="11560282"/>
    <w:rsid w:val="11573E51"/>
    <w:rsid w:val="11592BC4"/>
    <w:rsid w:val="11596BFB"/>
    <w:rsid w:val="115E01DA"/>
    <w:rsid w:val="11603F53"/>
    <w:rsid w:val="11616084"/>
    <w:rsid w:val="11643A43"/>
    <w:rsid w:val="11652671"/>
    <w:rsid w:val="11714485"/>
    <w:rsid w:val="11714B72"/>
    <w:rsid w:val="117203DF"/>
    <w:rsid w:val="1173012A"/>
    <w:rsid w:val="11744BA1"/>
    <w:rsid w:val="11764921"/>
    <w:rsid w:val="11785740"/>
    <w:rsid w:val="11791358"/>
    <w:rsid w:val="117C030B"/>
    <w:rsid w:val="117C24C6"/>
    <w:rsid w:val="117D2CC9"/>
    <w:rsid w:val="117D4B05"/>
    <w:rsid w:val="117D68B3"/>
    <w:rsid w:val="117E43BE"/>
    <w:rsid w:val="1182352F"/>
    <w:rsid w:val="11885B1E"/>
    <w:rsid w:val="118C1FAA"/>
    <w:rsid w:val="118F143A"/>
    <w:rsid w:val="11905445"/>
    <w:rsid w:val="11907AF4"/>
    <w:rsid w:val="119111AD"/>
    <w:rsid w:val="1191235E"/>
    <w:rsid w:val="11912C8C"/>
    <w:rsid w:val="11970B06"/>
    <w:rsid w:val="119A52D3"/>
    <w:rsid w:val="119A6114"/>
    <w:rsid w:val="119D295C"/>
    <w:rsid w:val="11A10A3F"/>
    <w:rsid w:val="11A55A8B"/>
    <w:rsid w:val="11A6405B"/>
    <w:rsid w:val="11A64463"/>
    <w:rsid w:val="11A958FA"/>
    <w:rsid w:val="11A9772F"/>
    <w:rsid w:val="11AC7198"/>
    <w:rsid w:val="11B141AF"/>
    <w:rsid w:val="11B4417A"/>
    <w:rsid w:val="11B45ED9"/>
    <w:rsid w:val="11B8179E"/>
    <w:rsid w:val="11B85BDF"/>
    <w:rsid w:val="11B9386B"/>
    <w:rsid w:val="11B9536A"/>
    <w:rsid w:val="11BE206B"/>
    <w:rsid w:val="11BE255D"/>
    <w:rsid w:val="11BE50BF"/>
    <w:rsid w:val="11C0204D"/>
    <w:rsid w:val="11C04EF9"/>
    <w:rsid w:val="11C10E95"/>
    <w:rsid w:val="11C14A4A"/>
    <w:rsid w:val="11C22CB3"/>
    <w:rsid w:val="11C34224"/>
    <w:rsid w:val="11C40985"/>
    <w:rsid w:val="11C6025A"/>
    <w:rsid w:val="11C72224"/>
    <w:rsid w:val="11C82C16"/>
    <w:rsid w:val="11CC15E8"/>
    <w:rsid w:val="11CD1F8E"/>
    <w:rsid w:val="11CE2BF8"/>
    <w:rsid w:val="11D25072"/>
    <w:rsid w:val="11D46BEE"/>
    <w:rsid w:val="11D62B30"/>
    <w:rsid w:val="11D64215"/>
    <w:rsid w:val="11D81D3B"/>
    <w:rsid w:val="11DC42DA"/>
    <w:rsid w:val="11DD30EF"/>
    <w:rsid w:val="11DE3611"/>
    <w:rsid w:val="11DE69E6"/>
    <w:rsid w:val="11E4016C"/>
    <w:rsid w:val="11EB455B"/>
    <w:rsid w:val="11ED59FE"/>
    <w:rsid w:val="11EE1BF7"/>
    <w:rsid w:val="11EE3A92"/>
    <w:rsid w:val="11EE7A8F"/>
    <w:rsid w:val="11EF443E"/>
    <w:rsid w:val="11F06ED9"/>
    <w:rsid w:val="11F156DD"/>
    <w:rsid w:val="11F37C8B"/>
    <w:rsid w:val="11F879B4"/>
    <w:rsid w:val="11FA3B64"/>
    <w:rsid w:val="11FD5C0C"/>
    <w:rsid w:val="11FD5C45"/>
    <w:rsid w:val="12026137"/>
    <w:rsid w:val="1203054D"/>
    <w:rsid w:val="12096398"/>
    <w:rsid w:val="120C6161"/>
    <w:rsid w:val="120E1C01"/>
    <w:rsid w:val="12117DB8"/>
    <w:rsid w:val="121201B1"/>
    <w:rsid w:val="12143720"/>
    <w:rsid w:val="12150027"/>
    <w:rsid w:val="12150C80"/>
    <w:rsid w:val="121604EF"/>
    <w:rsid w:val="12161C0A"/>
    <w:rsid w:val="12196D1F"/>
    <w:rsid w:val="121A0E27"/>
    <w:rsid w:val="121D0000"/>
    <w:rsid w:val="121E5D7B"/>
    <w:rsid w:val="121F6837"/>
    <w:rsid w:val="122140D5"/>
    <w:rsid w:val="12237953"/>
    <w:rsid w:val="122429BE"/>
    <w:rsid w:val="12290296"/>
    <w:rsid w:val="122A3364"/>
    <w:rsid w:val="122A35F0"/>
    <w:rsid w:val="122C7AC7"/>
    <w:rsid w:val="122E6C54"/>
    <w:rsid w:val="123A0C48"/>
    <w:rsid w:val="123A4027"/>
    <w:rsid w:val="123C2DAE"/>
    <w:rsid w:val="123C7C3F"/>
    <w:rsid w:val="123E4294"/>
    <w:rsid w:val="123F7F5B"/>
    <w:rsid w:val="12405B40"/>
    <w:rsid w:val="12435D4E"/>
    <w:rsid w:val="12441194"/>
    <w:rsid w:val="12462458"/>
    <w:rsid w:val="12463148"/>
    <w:rsid w:val="124719D0"/>
    <w:rsid w:val="12484F46"/>
    <w:rsid w:val="124D097B"/>
    <w:rsid w:val="124D63DC"/>
    <w:rsid w:val="125067AE"/>
    <w:rsid w:val="12532B2B"/>
    <w:rsid w:val="12552EA6"/>
    <w:rsid w:val="125663E9"/>
    <w:rsid w:val="12573328"/>
    <w:rsid w:val="12574A3F"/>
    <w:rsid w:val="125940EF"/>
    <w:rsid w:val="125F078F"/>
    <w:rsid w:val="12736907"/>
    <w:rsid w:val="12750576"/>
    <w:rsid w:val="1275294E"/>
    <w:rsid w:val="127557DC"/>
    <w:rsid w:val="12764CFD"/>
    <w:rsid w:val="12802757"/>
    <w:rsid w:val="12857DF5"/>
    <w:rsid w:val="128819B3"/>
    <w:rsid w:val="12883ACE"/>
    <w:rsid w:val="128A572B"/>
    <w:rsid w:val="128B4FFF"/>
    <w:rsid w:val="128D18BA"/>
    <w:rsid w:val="128D40E6"/>
    <w:rsid w:val="128D521B"/>
    <w:rsid w:val="128D566F"/>
    <w:rsid w:val="128D73B3"/>
    <w:rsid w:val="128E318D"/>
    <w:rsid w:val="12955B87"/>
    <w:rsid w:val="12983AEE"/>
    <w:rsid w:val="129B16E6"/>
    <w:rsid w:val="12A0052E"/>
    <w:rsid w:val="12A435D1"/>
    <w:rsid w:val="12A45341"/>
    <w:rsid w:val="12A6008B"/>
    <w:rsid w:val="12A67F01"/>
    <w:rsid w:val="12A7615B"/>
    <w:rsid w:val="12A834CC"/>
    <w:rsid w:val="12A85A44"/>
    <w:rsid w:val="12AB56A1"/>
    <w:rsid w:val="12AB79D1"/>
    <w:rsid w:val="12AD7CE7"/>
    <w:rsid w:val="12B05109"/>
    <w:rsid w:val="12B114CA"/>
    <w:rsid w:val="12B604C9"/>
    <w:rsid w:val="12B624C0"/>
    <w:rsid w:val="12B93C1F"/>
    <w:rsid w:val="12B94E17"/>
    <w:rsid w:val="12BD3DE5"/>
    <w:rsid w:val="12C00F44"/>
    <w:rsid w:val="12C23D93"/>
    <w:rsid w:val="12C30C3D"/>
    <w:rsid w:val="12C37F04"/>
    <w:rsid w:val="12C53B58"/>
    <w:rsid w:val="12C53BCE"/>
    <w:rsid w:val="12C86253"/>
    <w:rsid w:val="12CA2825"/>
    <w:rsid w:val="12CD6386"/>
    <w:rsid w:val="12CD736E"/>
    <w:rsid w:val="12CE5F87"/>
    <w:rsid w:val="12CF0EF6"/>
    <w:rsid w:val="12D201DF"/>
    <w:rsid w:val="12D336DC"/>
    <w:rsid w:val="12D75A95"/>
    <w:rsid w:val="12D944AE"/>
    <w:rsid w:val="12DA26B1"/>
    <w:rsid w:val="12E15A3E"/>
    <w:rsid w:val="12E24B8D"/>
    <w:rsid w:val="12E510A2"/>
    <w:rsid w:val="12E82889"/>
    <w:rsid w:val="12ED611E"/>
    <w:rsid w:val="12F10346"/>
    <w:rsid w:val="12F13BDA"/>
    <w:rsid w:val="12F168FD"/>
    <w:rsid w:val="12F40504"/>
    <w:rsid w:val="12F43940"/>
    <w:rsid w:val="12FA14E1"/>
    <w:rsid w:val="12FA1BE1"/>
    <w:rsid w:val="12FD60C7"/>
    <w:rsid w:val="130152C1"/>
    <w:rsid w:val="13033665"/>
    <w:rsid w:val="13045244"/>
    <w:rsid w:val="13054693"/>
    <w:rsid w:val="13064306"/>
    <w:rsid w:val="13085A55"/>
    <w:rsid w:val="130A48EC"/>
    <w:rsid w:val="130C0321"/>
    <w:rsid w:val="130D063A"/>
    <w:rsid w:val="130E3DC3"/>
    <w:rsid w:val="130E5F8B"/>
    <w:rsid w:val="13132F28"/>
    <w:rsid w:val="13135720"/>
    <w:rsid w:val="13144FF5"/>
    <w:rsid w:val="13175F49"/>
    <w:rsid w:val="13182D37"/>
    <w:rsid w:val="131A636E"/>
    <w:rsid w:val="131D631C"/>
    <w:rsid w:val="131D7D56"/>
    <w:rsid w:val="13232472"/>
    <w:rsid w:val="13260177"/>
    <w:rsid w:val="13270770"/>
    <w:rsid w:val="132E5675"/>
    <w:rsid w:val="13307A8C"/>
    <w:rsid w:val="13333553"/>
    <w:rsid w:val="13345697"/>
    <w:rsid w:val="13363F67"/>
    <w:rsid w:val="13394A5B"/>
    <w:rsid w:val="133A2503"/>
    <w:rsid w:val="133A2520"/>
    <w:rsid w:val="133C3814"/>
    <w:rsid w:val="133E2C8E"/>
    <w:rsid w:val="13441D7E"/>
    <w:rsid w:val="1347360E"/>
    <w:rsid w:val="134751D6"/>
    <w:rsid w:val="13482EF0"/>
    <w:rsid w:val="134A4EBA"/>
    <w:rsid w:val="134A5393"/>
    <w:rsid w:val="134D114A"/>
    <w:rsid w:val="134F2A9B"/>
    <w:rsid w:val="134F7473"/>
    <w:rsid w:val="13510A26"/>
    <w:rsid w:val="13511DA5"/>
    <w:rsid w:val="13534A93"/>
    <w:rsid w:val="135360C6"/>
    <w:rsid w:val="13547AE7"/>
    <w:rsid w:val="13586FA8"/>
    <w:rsid w:val="135A0A2D"/>
    <w:rsid w:val="135B6ED0"/>
    <w:rsid w:val="135B774B"/>
    <w:rsid w:val="135D3CC0"/>
    <w:rsid w:val="13631807"/>
    <w:rsid w:val="13655850"/>
    <w:rsid w:val="13676A08"/>
    <w:rsid w:val="136B12D2"/>
    <w:rsid w:val="136B28C4"/>
    <w:rsid w:val="136B7A31"/>
    <w:rsid w:val="136E7F4E"/>
    <w:rsid w:val="13735B90"/>
    <w:rsid w:val="13757A9A"/>
    <w:rsid w:val="13791725"/>
    <w:rsid w:val="13797C0E"/>
    <w:rsid w:val="137B32C6"/>
    <w:rsid w:val="13813C8B"/>
    <w:rsid w:val="13865861"/>
    <w:rsid w:val="13887E17"/>
    <w:rsid w:val="138D5479"/>
    <w:rsid w:val="1391354B"/>
    <w:rsid w:val="1393060F"/>
    <w:rsid w:val="139323BD"/>
    <w:rsid w:val="13941508"/>
    <w:rsid w:val="13960100"/>
    <w:rsid w:val="13990B43"/>
    <w:rsid w:val="139917B9"/>
    <w:rsid w:val="139A16DC"/>
    <w:rsid w:val="139E2609"/>
    <w:rsid w:val="13A10F7E"/>
    <w:rsid w:val="13A17599"/>
    <w:rsid w:val="13A35B89"/>
    <w:rsid w:val="13A54AAB"/>
    <w:rsid w:val="13A64A2C"/>
    <w:rsid w:val="13AC4534"/>
    <w:rsid w:val="13AC5554"/>
    <w:rsid w:val="13AD62F5"/>
    <w:rsid w:val="13AE1AF6"/>
    <w:rsid w:val="13B10783"/>
    <w:rsid w:val="13B174FD"/>
    <w:rsid w:val="13B40F3C"/>
    <w:rsid w:val="13B41253"/>
    <w:rsid w:val="13B60A9A"/>
    <w:rsid w:val="13B7634D"/>
    <w:rsid w:val="13B87923"/>
    <w:rsid w:val="13B92469"/>
    <w:rsid w:val="13BA49DD"/>
    <w:rsid w:val="13BA5B9C"/>
    <w:rsid w:val="13BD38DE"/>
    <w:rsid w:val="13BF22AD"/>
    <w:rsid w:val="13C16FB5"/>
    <w:rsid w:val="13C52C06"/>
    <w:rsid w:val="13C709FC"/>
    <w:rsid w:val="13C95DDF"/>
    <w:rsid w:val="13CB1159"/>
    <w:rsid w:val="13CE3E4A"/>
    <w:rsid w:val="13D10E76"/>
    <w:rsid w:val="13D55115"/>
    <w:rsid w:val="13D626FD"/>
    <w:rsid w:val="13DA2891"/>
    <w:rsid w:val="13E03204"/>
    <w:rsid w:val="13E16DF6"/>
    <w:rsid w:val="13E408E3"/>
    <w:rsid w:val="13E470BD"/>
    <w:rsid w:val="13E764D3"/>
    <w:rsid w:val="13E76BAD"/>
    <w:rsid w:val="13E96481"/>
    <w:rsid w:val="13EA2EEA"/>
    <w:rsid w:val="13EB2FEF"/>
    <w:rsid w:val="13EC5CCF"/>
    <w:rsid w:val="13F069D5"/>
    <w:rsid w:val="13F51B73"/>
    <w:rsid w:val="13F5320C"/>
    <w:rsid w:val="13F73CF3"/>
    <w:rsid w:val="13FA243C"/>
    <w:rsid w:val="13FA2D6F"/>
    <w:rsid w:val="13FD244D"/>
    <w:rsid w:val="13FF46A1"/>
    <w:rsid w:val="14005579"/>
    <w:rsid w:val="14022AB9"/>
    <w:rsid w:val="14053AC6"/>
    <w:rsid w:val="14074B59"/>
    <w:rsid w:val="140F7791"/>
    <w:rsid w:val="141352AC"/>
    <w:rsid w:val="141675CC"/>
    <w:rsid w:val="14184CCE"/>
    <w:rsid w:val="1419029D"/>
    <w:rsid w:val="141A69DF"/>
    <w:rsid w:val="141D437D"/>
    <w:rsid w:val="141E388D"/>
    <w:rsid w:val="141F3BEC"/>
    <w:rsid w:val="14223333"/>
    <w:rsid w:val="14223741"/>
    <w:rsid w:val="14236B78"/>
    <w:rsid w:val="1424395D"/>
    <w:rsid w:val="142A1221"/>
    <w:rsid w:val="142D06FC"/>
    <w:rsid w:val="142D4720"/>
    <w:rsid w:val="143010DA"/>
    <w:rsid w:val="14305644"/>
    <w:rsid w:val="143105E6"/>
    <w:rsid w:val="1432420A"/>
    <w:rsid w:val="14332D38"/>
    <w:rsid w:val="14337768"/>
    <w:rsid w:val="143B19BD"/>
    <w:rsid w:val="143B3788"/>
    <w:rsid w:val="143F1DC3"/>
    <w:rsid w:val="14411777"/>
    <w:rsid w:val="14444E30"/>
    <w:rsid w:val="14463CEB"/>
    <w:rsid w:val="14487210"/>
    <w:rsid w:val="144E4536"/>
    <w:rsid w:val="14501818"/>
    <w:rsid w:val="14515320"/>
    <w:rsid w:val="14522412"/>
    <w:rsid w:val="145456AE"/>
    <w:rsid w:val="14564F85"/>
    <w:rsid w:val="1457192E"/>
    <w:rsid w:val="145A112D"/>
    <w:rsid w:val="145C15FA"/>
    <w:rsid w:val="145D2F4E"/>
    <w:rsid w:val="145D645F"/>
    <w:rsid w:val="145F04F1"/>
    <w:rsid w:val="14617862"/>
    <w:rsid w:val="14626A0F"/>
    <w:rsid w:val="14685286"/>
    <w:rsid w:val="146B2F00"/>
    <w:rsid w:val="146C2287"/>
    <w:rsid w:val="146E4BD8"/>
    <w:rsid w:val="146E5B22"/>
    <w:rsid w:val="14737FD8"/>
    <w:rsid w:val="1475188E"/>
    <w:rsid w:val="147541B9"/>
    <w:rsid w:val="14754E7C"/>
    <w:rsid w:val="14773050"/>
    <w:rsid w:val="14774840"/>
    <w:rsid w:val="147775D4"/>
    <w:rsid w:val="147C484D"/>
    <w:rsid w:val="147C72F5"/>
    <w:rsid w:val="147F019E"/>
    <w:rsid w:val="148019BE"/>
    <w:rsid w:val="1481784B"/>
    <w:rsid w:val="1487057A"/>
    <w:rsid w:val="148D1BB2"/>
    <w:rsid w:val="148E4E24"/>
    <w:rsid w:val="14906F08"/>
    <w:rsid w:val="149208D1"/>
    <w:rsid w:val="14951D9C"/>
    <w:rsid w:val="149634DA"/>
    <w:rsid w:val="149C34F4"/>
    <w:rsid w:val="149C35A5"/>
    <w:rsid w:val="149D27C0"/>
    <w:rsid w:val="149E0B67"/>
    <w:rsid w:val="149F0BA0"/>
    <w:rsid w:val="149F4D92"/>
    <w:rsid w:val="14A02886"/>
    <w:rsid w:val="14A20163"/>
    <w:rsid w:val="14A36843"/>
    <w:rsid w:val="14A449C1"/>
    <w:rsid w:val="14A62AA7"/>
    <w:rsid w:val="14A66120"/>
    <w:rsid w:val="14A800EA"/>
    <w:rsid w:val="14A83BE9"/>
    <w:rsid w:val="14AE3227"/>
    <w:rsid w:val="14AF3F89"/>
    <w:rsid w:val="14B051F1"/>
    <w:rsid w:val="14B22D17"/>
    <w:rsid w:val="14B24AC5"/>
    <w:rsid w:val="14B24FEB"/>
    <w:rsid w:val="14B33CC0"/>
    <w:rsid w:val="14B33CD1"/>
    <w:rsid w:val="14B40F43"/>
    <w:rsid w:val="14B62BB4"/>
    <w:rsid w:val="14BA4B8C"/>
    <w:rsid w:val="14BD2963"/>
    <w:rsid w:val="14BE2DBB"/>
    <w:rsid w:val="14C64A14"/>
    <w:rsid w:val="14C723B3"/>
    <w:rsid w:val="14CB1944"/>
    <w:rsid w:val="14CC3CF3"/>
    <w:rsid w:val="14CF34DC"/>
    <w:rsid w:val="14D137FF"/>
    <w:rsid w:val="14D7452C"/>
    <w:rsid w:val="14DA0F4C"/>
    <w:rsid w:val="14DA4DB7"/>
    <w:rsid w:val="14DC7B1F"/>
    <w:rsid w:val="14DD1AB6"/>
    <w:rsid w:val="14E0186E"/>
    <w:rsid w:val="14E01935"/>
    <w:rsid w:val="14E11B35"/>
    <w:rsid w:val="14E16560"/>
    <w:rsid w:val="14E23902"/>
    <w:rsid w:val="14E55B80"/>
    <w:rsid w:val="14E667B5"/>
    <w:rsid w:val="14E824F6"/>
    <w:rsid w:val="14E85945"/>
    <w:rsid w:val="14EB28C4"/>
    <w:rsid w:val="14EE2CD6"/>
    <w:rsid w:val="14EE5932"/>
    <w:rsid w:val="14EF0CB9"/>
    <w:rsid w:val="14F01339"/>
    <w:rsid w:val="14F14C6C"/>
    <w:rsid w:val="14F42874"/>
    <w:rsid w:val="14F6771E"/>
    <w:rsid w:val="14F85D63"/>
    <w:rsid w:val="14FE466D"/>
    <w:rsid w:val="15004F33"/>
    <w:rsid w:val="15035321"/>
    <w:rsid w:val="15070C74"/>
    <w:rsid w:val="150720A5"/>
    <w:rsid w:val="150742CC"/>
    <w:rsid w:val="150B0F4E"/>
    <w:rsid w:val="150C68CB"/>
    <w:rsid w:val="150E4052"/>
    <w:rsid w:val="150E7DB3"/>
    <w:rsid w:val="150F1F18"/>
    <w:rsid w:val="151107E9"/>
    <w:rsid w:val="15111718"/>
    <w:rsid w:val="151134EB"/>
    <w:rsid w:val="15194812"/>
    <w:rsid w:val="151B7F62"/>
    <w:rsid w:val="151E5BFA"/>
    <w:rsid w:val="151F48BA"/>
    <w:rsid w:val="151F6582"/>
    <w:rsid w:val="15204004"/>
    <w:rsid w:val="15243C83"/>
    <w:rsid w:val="152709CA"/>
    <w:rsid w:val="152810E0"/>
    <w:rsid w:val="1528122B"/>
    <w:rsid w:val="152C27D1"/>
    <w:rsid w:val="152D1B5C"/>
    <w:rsid w:val="152F442C"/>
    <w:rsid w:val="1530058B"/>
    <w:rsid w:val="15332768"/>
    <w:rsid w:val="153542FD"/>
    <w:rsid w:val="153F3306"/>
    <w:rsid w:val="154047C7"/>
    <w:rsid w:val="15406575"/>
    <w:rsid w:val="1542409B"/>
    <w:rsid w:val="154445A7"/>
    <w:rsid w:val="154D055B"/>
    <w:rsid w:val="15520056"/>
    <w:rsid w:val="15532C0C"/>
    <w:rsid w:val="15564769"/>
    <w:rsid w:val="15571295"/>
    <w:rsid w:val="155713D3"/>
    <w:rsid w:val="155A79F3"/>
    <w:rsid w:val="155B69E2"/>
    <w:rsid w:val="155D0ED5"/>
    <w:rsid w:val="15600CFF"/>
    <w:rsid w:val="15630852"/>
    <w:rsid w:val="15640D94"/>
    <w:rsid w:val="15652BA6"/>
    <w:rsid w:val="156631A1"/>
    <w:rsid w:val="156644BF"/>
    <w:rsid w:val="156649BE"/>
    <w:rsid w:val="15677D6D"/>
    <w:rsid w:val="156E154A"/>
    <w:rsid w:val="156E1E72"/>
    <w:rsid w:val="15710E36"/>
    <w:rsid w:val="15712BD2"/>
    <w:rsid w:val="1571672E"/>
    <w:rsid w:val="15783B7A"/>
    <w:rsid w:val="1579415B"/>
    <w:rsid w:val="157B6E07"/>
    <w:rsid w:val="157C224F"/>
    <w:rsid w:val="1582044D"/>
    <w:rsid w:val="15824529"/>
    <w:rsid w:val="158361F9"/>
    <w:rsid w:val="15885E17"/>
    <w:rsid w:val="158B190C"/>
    <w:rsid w:val="158C5B08"/>
    <w:rsid w:val="158F6504"/>
    <w:rsid w:val="15914CC3"/>
    <w:rsid w:val="1591737D"/>
    <w:rsid w:val="1594241D"/>
    <w:rsid w:val="15953ACD"/>
    <w:rsid w:val="15973CBB"/>
    <w:rsid w:val="159A15BB"/>
    <w:rsid w:val="159A594E"/>
    <w:rsid w:val="159B2FC6"/>
    <w:rsid w:val="159B47C0"/>
    <w:rsid w:val="15A053BA"/>
    <w:rsid w:val="15A10744"/>
    <w:rsid w:val="15A20FDE"/>
    <w:rsid w:val="15A33865"/>
    <w:rsid w:val="15A540D4"/>
    <w:rsid w:val="15A5462A"/>
    <w:rsid w:val="15A55E27"/>
    <w:rsid w:val="15A8618D"/>
    <w:rsid w:val="15A873CC"/>
    <w:rsid w:val="15AA54E5"/>
    <w:rsid w:val="15AB63F8"/>
    <w:rsid w:val="15AD54BA"/>
    <w:rsid w:val="15B00789"/>
    <w:rsid w:val="15B17473"/>
    <w:rsid w:val="15B25CFA"/>
    <w:rsid w:val="15B433AB"/>
    <w:rsid w:val="15B91E83"/>
    <w:rsid w:val="15B93562"/>
    <w:rsid w:val="15BD7BC5"/>
    <w:rsid w:val="15BF2D45"/>
    <w:rsid w:val="15C05A47"/>
    <w:rsid w:val="15C16120"/>
    <w:rsid w:val="15C31E85"/>
    <w:rsid w:val="15C70D95"/>
    <w:rsid w:val="15CA6179"/>
    <w:rsid w:val="15CC70C4"/>
    <w:rsid w:val="15D4540B"/>
    <w:rsid w:val="15D52DB7"/>
    <w:rsid w:val="15D62A35"/>
    <w:rsid w:val="15D91C92"/>
    <w:rsid w:val="15DA32CD"/>
    <w:rsid w:val="15E0299E"/>
    <w:rsid w:val="15E173E0"/>
    <w:rsid w:val="15E32BD1"/>
    <w:rsid w:val="15E4344E"/>
    <w:rsid w:val="15E72E94"/>
    <w:rsid w:val="15E90153"/>
    <w:rsid w:val="15EE4223"/>
    <w:rsid w:val="15F17A8E"/>
    <w:rsid w:val="15F23975"/>
    <w:rsid w:val="15F33726"/>
    <w:rsid w:val="15F56EE5"/>
    <w:rsid w:val="15F81323"/>
    <w:rsid w:val="15F85484"/>
    <w:rsid w:val="15FB7D21"/>
    <w:rsid w:val="15FD7C9B"/>
    <w:rsid w:val="15FF01DE"/>
    <w:rsid w:val="16032597"/>
    <w:rsid w:val="16054894"/>
    <w:rsid w:val="160624AC"/>
    <w:rsid w:val="160939A2"/>
    <w:rsid w:val="160C0EF3"/>
    <w:rsid w:val="160D7DE5"/>
    <w:rsid w:val="160F4592"/>
    <w:rsid w:val="161B0E9B"/>
    <w:rsid w:val="161B1AEA"/>
    <w:rsid w:val="161D4F06"/>
    <w:rsid w:val="161F50E8"/>
    <w:rsid w:val="16225C7A"/>
    <w:rsid w:val="16252D8C"/>
    <w:rsid w:val="162A09C4"/>
    <w:rsid w:val="162A0ACF"/>
    <w:rsid w:val="162B2DCF"/>
    <w:rsid w:val="162F6B8D"/>
    <w:rsid w:val="16327340"/>
    <w:rsid w:val="16347DEB"/>
    <w:rsid w:val="16355417"/>
    <w:rsid w:val="1638549E"/>
    <w:rsid w:val="163B1BD0"/>
    <w:rsid w:val="163B39F0"/>
    <w:rsid w:val="163C4F8E"/>
    <w:rsid w:val="163F682C"/>
    <w:rsid w:val="16464E0E"/>
    <w:rsid w:val="164C4E8A"/>
    <w:rsid w:val="164F0587"/>
    <w:rsid w:val="1651628C"/>
    <w:rsid w:val="16527B8A"/>
    <w:rsid w:val="16556050"/>
    <w:rsid w:val="16556630"/>
    <w:rsid w:val="1656195D"/>
    <w:rsid w:val="16573B76"/>
    <w:rsid w:val="165B4E1E"/>
    <w:rsid w:val="165D7392"/>
    <w:rsid w:val="166778AC"/>
    <w:rsid w:val="166874AC"/>
    <w:rsid w:val="16691AFB"/>
    <w:rsid w:val="166C5148"/>
    <w:rsid w:val="16710E2A"/>
    <w:rsid w:val="167122B2"/>
    <w:rsid w:val="16716B52"/>
    <w:rsid w:val="16760468"/>
    <w:rsid w:val="16792558"/>
    <w:rsid w:val="168358C5"/>
    <w:rsid w:val="1684002A"/>
    <w:rsid w:val="16862EA9"/>
    <w:rsid w:val="168856BA"/>
    <w:rsid w:val="168E230D"/>
    <w:rsid w:val="16907953"/>
    <w:rsid w:val="169227C3"/>
    <w:rsid w:val="16927A58"/>
    <w:rsid w:val="16944D8D"/>
    <w:rsid w:val="169C3162"/>
    <w:rsid w:val="169E3141"/>
    <w:rsid w:val="169E7575"/>
    <w:rsid w:val="169F45CB"/>
    <w:rsid w:val="16A029FF"/>
    <w:rsid w:val="16A14939"/>
    <w:rsid w:val="16A22DDF"/>
    <w:rsid w:val="16A231A0"/>
    <w:rsid w:val="16A5385F"/>
    <w:rsid w:val="16A74423"/>
    <w:rsid w:val="16A862B7"/>
    <w:rsid w:val="16A96E08"/>
    <w:rsid w:val="16AA0B06"/>
    <w:rsid w:val="16AC4287"/>
    <w:rsid w:val="16AE5760"/>
    <w:rsid w:val="16B11B51"/>
    <w:rsid w:val="16B354D6"/>
    <w:rsid w:val="16B64C75"/>
    <w:rsid w:val="16B801B8"/>
    <w:rsid w:val="16B965DF"/>
    <w:rsid w:val="16BA2B41"/>
    <w:rsid w:val="16C92D0C"/>
    <w:rsid w:val="16CB0C86"/>
    <w:rsid w:val="16CC0EE9"/>
    <w:rsid w:val="16CC5716"/>
    <w:rsid w:val="16CF0C36"/>
    <w:rsid w:val="16D17FCD"/>
    <w:rsid w:val="16D33D32"/>
    <w:rsid w:val="16D42FC1"/>
    <w:rsid w:val="16D44EAD"/>
    <w:rsid w:val="16D604E9"/>
    <w:rsid w:val="16D72B67"/>
    <w:rsid w:val="16DD4225"/>
    <w:rsid w:val="16DD7CCD"/>
    <w:rsid w:val="16DE1BA1"/>
    <w:rsid w:val="16DE675F"/>
    <w:rsid w:val="16DF3906"/>
    <w:rsid w:val="16E02EA6"/>
    <w:rsid w:val="16E366AD"/>
    <w:rsid w:val="16E40C2B"/>
    <w:rsid w:val="16E55626"/>
    <w:rsid w:val="16E938B9"/>
    <w:rsid w:val="16EA2C3C"/>
    <w:rsid w:val="16EB16E0"/>
    <w:rsid w:val="16EB3AE3"/>
    <w:rsid w:val="16F71978"/>
    <w:rsid w:val="16F77107"/>
    <w:rsid w:val="16F94C2D"/>
    <w:rsid w:val="17001223"/>
    <w:rsid w:val="17035963"/>
    <w:rsid w:val="170512F9"/>
    <w:rsid w:val="17062CF0"/>
    <w:rsid w:val="170D1C37"/>
    <w:rsid w:val="1710444A"/>
    <w:rsid w:val="17112D88"/>
    <w:rsid w:val="17164887"/>
    <w:rsid w:val="171A4BA4"/>
    <w:rsid w:val="171E3CC4"/>
    <w:rsid w:val="171F21BA"/>
    <w:rsid w:val="17233A58"/>
    <w:rsid w:val="17236B6E"/>
    <w:rsid w:val="172750CA"/>
    <w:rsid w:val="172A36BB"/>
    <w:rsid w:val="172B3A97"/>
    <w:rsid w:val="172B7A91"/>
    <w:rsid w:val="173139F9"/>
    <w:rsid w:val="173214BD"/>
    <w:rsid w:val="17361318"/>
    <w:rsid w:val="17365757"/>
    <w:rsid w:val="17366DF5"/>
    <w:rsid w:val="17395CE1"/>
    <w:rsid w:val="173C0FBE"/>
    <w:rsid w:val="17484E78"/>
    <w:rsid w:val="17485BB5"/>
    <w:rsid w:val="17491133"/>
    <w:rsid w:val="17492653"/>
    <w:rsid w:val="174A00CC"/>
    <w:rsid w:val="174A4D64"/>
    <w:rsid w:val="174B066F"/>
    <w:rsid w:val="174C6434"/>
    <w:rsid w:val="17510F09"/>
    <w:rsid w:val="17516A68"/>
    <w:rsid w:val="1753065D"/>
    <w:rsid w:val="175319F0"/>
    <w:rsid w:val="17534F96"/>
    <w:rsid w:val="17537C38"/>
    <w:rsid w:val="17547C89"/>
    <w:rsid w:val="175512FB"/>
    <w:rsid w:val="17580853"/>
    <w:rsid w:val="175B72BA"/>
    <w:rsid w:val="175D340E"/>
    <w:rsid w:val="175D6736"/>
    <w:rsid w:val="175E7C09"/>
    <w:rsid w:val="1761766E"/>
    <w:rsid w:val="176273F5"/>
    <w:rsid w:val="176B60C2"/>
    <w:rsid w:val="176C3109"/>
    <w:rsid w:val="17716EB9"/>
    <w:rsid w:val="17752F41"/>
    <w:rsid w:val="177568F1"/>
    <w:rsid w:val="17760A9D"/>
    <w:rsid w:val="17761610"/>
    <w:rsid w:val="177B2653"/>
    <w:rsid w:val="177C22F4"/>
    <w:rsid w:val="177D31A2"/>
    <w:rsid w:val="177E005E"/>
    <w:rsid w:val="178118A3"/>
    <w:rsid w:val="17812DA9"/>
    <w:rsid w:val="1787048B"/>
    <w:rsid w:val="17884926"/>
    <w:rsid w:val="17892455"/>
    <w:rsid w:val="178931AF"/>
    <w:rsid w:val="17894443"/>
    <w:rsid w:val="17911214"/>
    <w:rsid w:val="17923E2E"/>
    <w:rsid w:val="17984026"/>
    <w:rsid w:val="179C16EA"/>
    <w:rsid w:val="179D6EB9"/>
    <w:rsid w:val="179E210A"/>
    <w:rsid w:val="179F240A"/>
    <w:rsid w:val="17A038D0"/>
    <w:rsid w:val="17A04A6D"/>
    <w:rsid w:val="17A518D1"/>
    <w:rsid w:val="17A56B63"/>
    <w:rsid w:val="17A73375"/>
    <w:rsid w:val="17AB1154"/>
    <w:rsid w:val="17AB4E48"/>
    <w:rsid w:val="17AB5B57"/>
    <w:rsid w:val="17AC48A1"/>
    <w:rsid w:val="17AD77C6"/>
    <w:rsid w:val="17B172B6"/>
    <w:rsid w:val="17B62B1E"/>
    <w:rsid w:val="17B80644"/>
    <w:rsid w:val="17B863DB"/>
    <w:rsid w:val="17BA50B0"/>
    <w:rsid w:val="17BC010D"/>
    <w:rsid w:val="17BC1520"/>
    <w:rsid w:val="17BC2031"/>
    <w:rsid w:val="17BD2C4C"/>
    <w:rsid w:val="17BD3EAD"/>
    <w:rsid w:val="17BE5517"/>
    <w:rsid w:val="17C0439E"/>
    <w:rsid w:val="17C14C07"/>
    <w:rsid w:val="17C31ECC"/>
    <w:rsid w:val="17C37864"/>
    <w:rsid w:val="17C74D2B"/>
    <w:rsid w:val="17CA65CA"/>
    <w:rsid w:val="17CB6EEE"/>
    <w:rsid w:val="17CF37B2"/>
    <w:rsid w:val="17D02F97"/>
    <w:rsid w:val="17D25606"/>
    <w:rsid w:val="17D41D8D"/>
    <w:rsid w:val="17D42FA4"/>
    <w:rsid w:val="17D80CE7"/>
    <w:rsid w:val="17DD2552"/>
    <w:rsid w:val="17DD6237"/>
    <w:rsid w:val="17E32B65"/>
    <w:rsid w:val="17E5069C"/>
    <w:rsid w:val="17EA645F"/>
    <w:rsid w:val="17EA75FE"/>
    <w:rsid w:val="17EC02EE"/>
    <w:rsid w:val="17ED5969"/>
    <w:rsid w:val="17EF76E0"/>
    <w:rsid w:val="17F61C73"/>
    <w:rsid w:val="17F67EE0"/>
    <w:rsid w:val="17FD0599"/>
    <w:rsid w:val="18020665"/>
    <w:rsid w:val="18032921"/>
    <w:rsid w:val="18036821"/>
    <w:rsid w:val="18037F78"/>
    <w:rsid w:val="180469AD"/>
    <w:rsid w:val="1806208F"/>
    <w:rsid w:val="180841A7"/>
    <w:rsid w:val="180B5BD0"/>
    <w:rsid w:val="180E4708"/>
    <w:rsid w:val="180F609F"/>
    <w:rsid w:val="1810194F"/>
    <w:rsid w:val="18115F57"/>
    <w:rsid w:val="1812425C"/>
    <w:rsid w:val="18157652"/>
    <w:rsid w:val="18186732"/>
    <w:rsid w:val="181E1769"/>
    <w:rsid w:val="181F1BA8"/>
    <w:rsid w:val="181F2A8C"/>
    <w:rsid w:val="181F42DC"/>
    <w:rsid w:val="182106EB"/>
    <w:rsid w:val="182107EE"/>
    <w:rsid w:val="18237463"/>
    <w:rsid w:val="18273A1C"/>
    <w:rsid w:val="182932F0"/>
    <w:rsid w:val="182A7068"/>
    <w:rsid w:val="182A79BD"/>
    <w:rsid w:val="182B03A9"/>
    <w:rsid w:val="182E139A"/>
    <w:rsid w:val="18313813"/>
    <w:rsid w:val="18325244"/>
    <w:rsid w:val="18327E5D"/>
    <w:rsid w:val="18353FBD"/>
    <w:rsid w:val="18360EED"/>
    <w:rsid w:val="183904B5"/>
    <w:rsid w:val="183A334C"/>
    <w:rsid w:val="183C741A"/>
    <w:rsid w:val="183E5008"/>
    <w:rsid w:val="183F7EBD"/>
    <w:rsid w:val="18424965"/>
    <w:rsid w:val="18436E37"/>
    <w:rsid w:val="18450C27"/>
    <w:rsid w:val="1845125E"/>
    <w:rsid w:val="18484BF2"/>
    <w:rsid w:val="1849606F"/>
    <w:rsid w:val="184C3928"/>
    <w:rsid w:val="184C5231"/>
    <w:rsid w:val="184E71FB"/>
    <w:rsid w:val="184F4218"/>
    <w:rsid w:val="185179DA"/>
    <w:rsid w:val="18530048"/>
    <w:rsid w:val="18574301"/>
    <w:rsid w:val="185909D8"/>
    <w:rsid w:val="185C5C23"/>
    <w:rsid w:val="185C66B6"/>
    <w:rsid w:val="185C72A1"/>
    <w:rsid w:val="185C766D"/>
    <w:rsid w:val="18635698"/>
    <w:rsid w:val="18644553"/>
    <w:rsid w:val="18645DFB"/>
    <w:rsid w:val="18690202"/>
    <w:rsid w:val="186A1692"/>
    <w:rsid w:val="18703FEB"/>
    <w:rsid w:val="187320D8"/>
    <w:rsid w:val="187335D3"/>
    <w:rsid w:val="1873518C"/>
    <w:rsid w:val="18735DEA"/>
    <w:rsid w:val="1876405C"/>
    <w:rsid w:val="1878533B"/>
    <w:rsid w:val="18787DD4"/>
    <w:rsid w:val="187B4B1A"/>
    <w:rsid w:val="187E3370"/>
    <w:rsid w:val="18812916"/>
    <w:rsid w:val="18814D8E"/>
    <w:rsid w:val="1883582B"/>
    <w:rsid w:val="1885338A"/>
    <w:rsid w:val="18856B65"/>
    <w:rsid w:val="188600A6"/>
    <w:rsid w:val="188672E5"/>
    <w:rsid w:val="18891FE1"/>
    <w:rsid w:val="188A1003"/>
    <w:rsid w:val="188C616C"/>
    <w:rsid w:val="188E75F7"/>
    <w:rsid w:val="18900AC7"/>
    <w:rsid w:val="189A0259"/>
    <w:rsid w:val="189A07A3"/>
    <w:rsid w:val="189A7F5A"/>
    <w:rsid w:val="189D6309"/>
    <w:rsid w:val="189F0E66"/>
    <w:rsid w:val="189F2F32"/>
    <w:rsid w:val="18A233F9"/>
    <w:rsid w:val="18A40BC9"/>
    <w:rsid w:val="18A4404A"/>
    <w:rsid w:val="18A46E1B"/>
    <w:rsid w:val="18AA1D66"/>
    <w:rsid w:val="18AC7845"/>
    <w:rsid w:val="18AD1688"/>
    <w:rsid w:val="18AD5CD7"/>
    <w:rsid w:val="18B15653"/>
    <w:rsid w:val="18B2778A"/>
    <w:rsid w:val="18B31AE0"/>
    <w:rsid w:val="18B85AF0"/>
    <w:rsid w:val="18B96041"/>
    <w:rsid w:val="18BB6F56"/>
    <w:rsid w:val="18BC4D98"/>
    <w:rsid w:val="18BD448F"/>
    <w:rsid w:val="18BF0AFC"/>
    <w:rsid w:val="18C17990"/>
    <w:rsid w:val="18C43019"/>
    <w:rsid w:val="18C53255"/>
    <w:rsid w:val="18D22414"/>
    <w:rsid w:val="18D92991"/>
    <w:rsid w:val="18DD0A0A"/>
    <w:rsid w:val="18DF3DF9"/>
    <w:rsid w:val="18DF69CF"/>
    <w:rsid w:val="18E11E1D"/>
    <w:rsid w:val="18E2154F"/>
    <w:rsid w:val="18E60586"/>
    <w:rsid w:val="18E61FB0"/>
    <w:rsid w:val="18E6320F"/>
    <w:rsid w:val="18E76BBE"/>
    <w:rsid w:val="18ED18AD"/>
    <w:rsid w:val="18F04A41"/>
    <w:rsid w:val="18F07E0F"/>
    <w:rsid w:val="18F22749"/>
    <w:rsid w:val="18F343C3"/>
    <w:rsid w:val="18F425D2"/>
    <w:rsid w:val="18F90F15"/>
    <w:rsid w:val="18FD1551"/>
    <w:rsid w:val="18FD7C58"/>
    <w:rsid w:val="18FF1FE6"/>
    <w:rsid w:val="18FF22A3"/>
    <w:rsid w:val="190052B7"/>
    <w:rsid w:val="190478B9"/>
    <w:rsid w:val="19093825"/>
    <w:rsid w:val="190B4A31"/>
    <w:rsid w:val="190B6E9A"/>
    <w:rsid w:val="191044B0"/>
    <w:rsid w:val="19157D18"/>
    <w:rsid w:val="19180EE3"/>
    <w:rsid w:val="191A00EC"/>
    <w:rsid w:val="191A1B23"/>
    <w:rsid w:val="191C36D2"/>
    <w:rsid w:val="191D4AA9"/>
    <w:rsid w:val="191E60EB"/>
    <w:rsid w:val="191F60D1"/>
    <w:rsid w:val="19234B09"/>
    <w:rsid w:val="19235F91"/>
    <w:rsid w:val="19261401"/>
    <w:rsid w:val="19287A4C"/>
    <w:rsid w:val="19295EFD"/>
    <w:rsid w:val="192B3098"/>
    <w:rsid w:val="192E7B16"/>
    <w:rsid w:val="192F0DDA"/>
    <w:rsid w:val="1934019F"/>
    <w:rsid w:val="1934680E"/>
    <w:rsid w:val="193C7D98"/>
    <w:rsid w:val="193E5934"/>
    <w:rsid w:val="193F691B"/>
    <w:rsid w:val="19405417"/>
    <w:rsid w:val="1944322E"/>
    <w:rsid w:val="19444656"/>
    <w:rsid w:val="194B0FA6"/>
    <w:rsid w:val="194B1614"/>
    <w:rsid w:val="194D2ED9"/>
    <w:rsid w:val="194E381A"/>
    <w:rsid w:val="194E3D7F"/>
    <w:rsid w:val="19501D01"/>
    <w:rsid w:val="19503293"/>
    <w:rsid w:val="19507276"/>
    <w:rsid w:val="195108FE"/>
    <w:rsid w:val="19556B26"/>
    <w:rsid w:val="19561D2A"/>
    <w:rsid w:val="19570A04"/>
    <w:rsid w:val="19575C3B"/>
    <w:rsid w:val="195818BD"/>
    <w:rsid w:val="195B6425"/>
    <w:rsid w:val="195E772F"/>
    <w:rsid w:val="195F5B00"/>
    <w:rsid w:val="196656B5"/>
    <w:rsid w:val="196A2016"/>
    <w:rsid w:val="196A40DF"/>
    <w:rsid w:val="196A6E90"/>
    <w:rsid w:val="196C579A"/>
    <w:rsid w:val="196E6F2D"/>
    <w:rsid w:val="196F12BF"/>
    <w:rsid w:val="196F505A"/>
    <w:rsid w:val="19713283"/>
    <w:rsid w:val="197626C7"/>
    <w:rsid w:val="19771B7E"/>
    <w:rsid w:val="1978270E"/>
    <w:rsid w:val="197832BB"/>
    <w:rsid w:val="19797D33"/>
    <w:rsid w:val="197C6F7C"/>
    <w:rsid w:val="197D1199"/>
    <w:rsid w:val="197E19BA"/>
    <w:rsid w:val="197E1AE5"/>
    <w:rsid w:val="19834C82"/>
    <w:rsid w:val="198B5109"/>
    <w:rsid w:val="198D3850"/>
    <w:rsid w:val="198D3D53"/>
    <w:rsid w:val="198E4B81"/>
    <w:rsid w:val="1990115C"/>
    <w:rsid w:val="199112ED"/>
    <w:rsid w:val="19917B9B"/>
    <w:rsid w:val="19933CF7"/>
    <w:rsid w:val="19940015"/>
    <w:rsid w:val="199724DC"/>
    <w:rsid w:val="19996254"/>
    <w:rsid w:val="199E02DB"/>
    <w:rsid w:val="199E7D0E"/>
    <w:rsid w:val="199F4104"/>
    <w:rsid w:val="19A0575A"/>
    <w:rsid w:val="19A25A77"/>
    <w:rsid w:val="19A8293B"/>
    <w:rsid w:val="19A835F6"/>
    <w:rsid w:val="19A87467"/>
    <w:rsid w:val="19AD2AC9"/>
    <w:rsid w:val="19B53F0E"/>
    <w:rsid w:val="19BC09CE"/>
    <w:rsid w:val="19BD1D87"/>
    <w:rsid w:val="19BD55BE"/>
    <w:rsid w:val="19C43D22"/>
    <w:rsid w:val="19C80E36"/>
    <w:rsid w:val="19C812F2"/>
    <w:rsid w:val="19C9189F"/>
    <w:rsid w:val="19CD2BD2"/>
    <w:rsid w:val="19CE053E"/>
    <w:rsid w:val="19CF5048"/>
    <w:rsid w:val="19D164F6"/>
    <w:rsid w:val="19D84BCB"/>
    <w:rsid w:val="19D91AA4"/>
    <w:rsid w:val="19DB2CD4"/>
    <w:rsid w:val="19DB4ABE"/>
    <w:rsid w:val="19DC4392"/>
    <w:rsid w:val="19DC681F"/>
    <w:rsid w:val="19E2098A"/>
    <w:rsid w:val="19E25E4D"/>
    <w:rsid w:val="19E75028"/>
    <w:rsid w:val="19E951A2"/>
    <w:rsid w:val="19EA4D01"/>
    <w:rsid w:val="19EB3D17"/>
    <w:rsid w:val="19ED37F3"/>
    <w:rsid w:val="19ED761E"/>
    <w:rsid w:val="19EF056A"/>
    <w:rsid w:val="19F17E3E"/>
    <w:rsid w:val="19F313E0"/>
    <w:rsid w:val="19F33BB6"/>
    <w:rsid w:val="19F41571"/>
    <w:rsid w:val="19F8128C"/>
    <w:rsid w:val="19F84783"/>
    <w:rsid w:val="19F91BA9"/>
    <w:rsid w:val="19FA39E2"/>
    <w:rsid w:val="19FB7430"/>
    <w:rsid w:val="1A002777"/>
    <w:rsid w:val="1A0062D3"/>
    <w:rsid w:val="1A017C31"/>
    <w:rsid w:val="1A034E46"/>
    <w:rsid w:val="1A051077"/>
    <w:rsid w:val="1A070FB6"/>
    <w:rsid w:val="1A075639"/>
    <w:rsid w:val="1A0758B3"/>
    <w:rsid w:val="1A0A1B55"/>
    <w:rsid w:val="1A0E176C"/>
    <w:rsid w:val="1A125838"/>
    <w:rsid w:val="1A125FC4"/>
    <w:rsid w:val="1A126270"/>
    <w:rsid w:val="1A13135A"/>
    <w:rsid w:val="1A150428"/>
    <w:rsid w:val="1A1518A7"/>
    <w:rsid w:val="1A1659DE"/>
    <w:rsid w:val="1A174C8B"/>
    <w:rsid w:val="1A1B761A"/>
    <w:rsid w:val="1A1C75EB"/>
    <w:rsid w:val="1A1D3D1C"/>
    <w:rsid w:val="1A1F0E4F"/>
    <w:rsid w:val="1A2226ED"/>
    <w:rsid w:val="1A253783"/>
    <w:rsid w:val="1A2C651A"/>
    <w:rsid w:val="1A2E4BEE"/>
    <w:rsid w:val="1A2F2C04"/>
    <w:rsid w:val="1A303C4E"/>
    <w:rsid w:val="1A321C65"/>
    <w:rsid w:val="1A36270D"/>
    <w:rsid w:val="1A3710EF"/>
    <w:rsid w:val="1A383CBF"/>
    <w:rsid w:val="1A3A3318"/>
    <w:rsid w:val="1A3C0EA8"/>
    <w:rsid w:val="1A3C64D5"/>
    <w:rsid w:val="1A416255"/>
    <w:rsid w:val="1A44069A"/>
    <w:rsid w:val="1A440A45"/>
    <w:rsid w:val="1A46472D"/>
    <w:rsid w:val="1A472F13"/>
    <w:rsid w:val="1A475CB0"/>
    <w:rsid w:val="1A491D05"/>
    <w:rsid w:val="1A4B6A50"/>
    <w:rsid w:val="1A4D1646"/>
    <w:rsid w:val="1A4E3466"/>
    <w:rsid w:val="1A5062BE"/>
    <w:rsid w:val="1A5161A8"/>
    <w:rsid w:val="1A527F2F"/>
    <w:rsid w:val="1A564331"/>
    <w:rsid w:val="1A587539"/>
    <w:rsid w:val="1A587EBD"/>
    <w:rsid w:val="1A5C01AF"/>
    <w:rsid w:val="1A5E04C2"/>
    <w:rsid w:val="1A5E5161"/>
    <w:rsid w:val="1A625AA8"/>
    <w:rsid w:val="1A633C55"/>
    <w:rsid w:val="1A6B59BF"/>
    <w:rsid w:val="1A6F1374"/>
    <w:rsid w:val="1A6F2E2A"/>
    <w:rsid w:val="1A736AA5"/>
    <w:rsid w:val="1A7556B4"/>
    <w:rsid w:val="1A784897"/>
    <w:rsid w:val="1A787E51"/>
    <w:rsid w:val="1A7A6085"/>
    <w:rsid w:val="1A7C5269"/>
    <w:rsid w:val="1A7F47B4"/>
    <w:rsid w:val="1A822199"/>
    <w:rsid w:val="1A864952"/>
    <w:rsid w:val="1A864A2A"/>
    <w:rsid w:val="1A871B22"/>
    <w:rsid w:val="1A873131"/>
    <w:rsid w:val="1A8B2E61"/>
    <w:rsid w:val="1A90602C"/>
    <w:rsid w:val="1A912767"/>
    <w:rsid w:val="1A9649C0"/>
    <w:rsid w:val="1A973A3F"/>
    <w:rsid w:val="1A983C7A"/>
    <w:rsid w:val="1A9B6306"/>
    <w:rsid w:val="1A9C30FB"/>
    <w:rsid w:val="1A9C791D"/>
    <w:rsid w:val="1A9E24D0"/>
    <w:rsid w:val="1AA255DC"/>
    <w:rsid w:val="1AA71C0E"/>
    <w:rsid w:val="1AA80500"/>
    <w:rsid w:val="1AA83D73"/>
    <w:rsid w:val="1AAD37C3"/>
    <w:rsid w:val="1AAE3F81"/>
    <w:rsid w:val="1AB7575B"/>
    <w:rsid w:val="1AB87183"/>
    <w:rsid w:val="1AB9136D"/>
    <w:rsid w:val="1AB960FB"/>
    <w:rsid w:val="1ABC2453"/>
    <w:rsid w:val="1ABC669E"/>
    <w:rsid w:val="1ABE3DD7"/>
    <w:rsid w:val="1AC1141D"/>
    <w:rsid w:val="1AC42F89"/>
    <w:rsid w:val="1AC5209E"/>
    <w:rsid w:val="1AC923A6"/>
    <w:rsid w:val="1ACA3F92"/>
    <w:rsid w:val="1ACD2659"/>
    <w:rsid w:val="1AD03EF7"/>
    <w:rsid w:val="1AD32329"/>
    <w:rsid w:val="1AD35BAB"/>
    <w:rsid w:val="1AD35C6E"/>
    <w:rsid w:val="1AD50526"/>
    <w:rsid w:val="1AD57583"/>
    <w:rsid w:val="1AD80145"/>
    <w:rsid w:val="1ADD17B3"/>
    <w:rsid w:val="1ADF0415"/>
    <w:rsid w:val="1AE07CD3"/>
    <w:rsid w:val="1AE41750"/>
    <w:rsid w:val="1AEA6843"/>
    <w:rsid w:val="1AF20B1F"/>
    <w:rsid w:val="1AF349B2"/>
    <w:rsid w:val="1AF7185B"/>
    <w:rsid w:val="1AF73D50"/>
    <w:rsid w:val="1AF8344E"/>
    <w:rsid w:val="1AFB2319"/>
    <w:rsid w:val="1AFD19F9"/>
    <w:rsid w:val="1AFF1C1D"/>
    <w:rsid w:val="1AFF47DC"/>
    <w:rsid w:val="1B0533B5"/>
    <w:rsid w:val="1B0B2B6E"/>
    <w:rsid w:val="1B0B6928"/>
    <w:rsid w:val="1B0C42DA"/>
    <w:rsid w:val="1B116FBF"/>
    <w:rsid w:val="1B184FD3"/>
    <w:rsid w:val="1B195A91"/>
    <w:rsid w:val="1B1A7868"/>
    <w:rsid w:val="1B1A7D3B"/>
    <w:rsid w:val="1B1F1860"/>
    <w:rsid w:val="1B283D33"/>
    <w:rsid w:val="1B2C36F3"/>
    <w:rsid w:val="1B2D4292"/>
    <w:rsid w:val="1B2F4D01"/>
    <w:rsid w:val="1B30555A"/>
    <w:rsid w:val="1B316012"/>
    <w:rsid w:val="1B34092A"/>
    <w:rsid w:val="1B340930"/>
    <w:rsid w:val="1B355133"/>
    <w:rsid w:val="1B355FB1"/>
    <w:rsid w:val="1B361E84"/>
    <w:rsid w:val="1B372DF9"/>
    <w:rsid w:val="1B372E7F"/>
    <w:rsid w:val="1B374995"/>
    <w:rsid w:val="1B382713"/>
    <w:rsid w:val="1B3E70B3"/>
    <w:rsid w:val="1B402CC7"/>
    <w:rsid w:val="1B4244BD"/>
    <w:rsid w:val="1B4755BD"/>
    <w:rsid w:val="1B4779ED"/>
    <w:rsid w:val="1B481D2D"/>
    <w:rsid w:val="1B484D14"/>
    <w:rsid w:val="1B490BB9"/>
    <w:rsid w:val="1B4A0A10"/>
    <w:rsid w:val="1B4B5A1A"/>
    <w:rsid w:val="1B4D1E3D"/>
    <w:rsid w:val="1B4E4FF8"/>
    <w:rsid w:val="1B4E6B43"/>
    <w:rsid w:val="1B4F3923"/>
    <w:rsid w:val="1B505EC9"/>
    <w:rsid w:val="1B520855"/>
    <w:rsid w:val="1B526478"/>
    <w:rsid w:val="1B5342A8"/>
    <w:rsid w:val="1B54283C"/>
    <w:rsid w:val="1B561283"/>
    <w:rsid w:val="1B575FEE"/>
    <w:rsid w:val="1B5804E6"/>
    <w:rsid w:val="1B5B53A5"/>
    <w:rsid w:val="1B5B5EB7"/>
    <w:rsid w:val="1B5E13BC"/>
    <w:rsid w:val="1B676A58"/>
    <w:rsid w:val="1B682381"/>
    <w:rsid w:val="1B6A7409"/>
    <w:rsid w:val="1B6B2C4E"/>
    <w:rsid w:val="1B6D082C"/>
    <w:rsid w:val="1B6E3F3B"/>
    <w:rsid w:val="1B701236"/>
    <w:rsid w:val="1B7066B1"/>
    <w:rsid w:val="1B74431A"/>
    <w:rsid w:val="1B7D7D1C"/>
    <w:rsid w:val="1B7F1479"/>
    <w:rsid w:val="1B812C53"/>
    <w:rsid w:val="1B817F50"/>
    <w:rsid w:val="1B856F22"/>
    <w:rsid w:val="1B861465"/>
    <w:rsid w:val="1B86769F"/>
    <w:rsid w:val="1B885A59"/>
    <w:rsid w:val="1B89584A"/>
    <w:rsid w:val="1B8B5FB2"/>
    <w:rsid w:val="1B9041C4"/>
    <w:rsid w:val="1B912A8E"/>
    <w:rsid w:val="1B92161B"/>
    <w:rsid w:val="1B9326B9"/>
    <w:rsid w:val="1B965141"/>
    <w:rsid w:val="1B9923C6"/>
    <w:rsid w:val="1B9957FA"/>
    <w:rsid w:val="1B9B4505"/>
    <w:rsid w:val="1B9C6851"/>
    <w:rsid w:val="1B9D03EF"/>
    <w:rsid w:val="1B9D5C82"/>
    <w:rsid w:val="1B9E2247"/>
    <w:rsid w:val="1B9E4FCD"/>
    <w:rsid w:val="1B9F5150"/>
    <w:rsid w:val="1B9F6C57"/>
    <w:rsid w:val="1BA0091E"/>
    <w:rsid w:val="1BA612C4"/>
    <w:rsid w:val="1BA86CEF"/>
    <w:rsid w:val="1BAA36B8"/>
    <w:rsid w:val="1BAA5929"/>
    <w:rsid w:val="1BB11F7A"/>
    <w:rsid w:val="1BB14981"/>
    <w:rsid w:val="1BB21914"/>
    <w:rsid w:val="1BB440C2"/>
    <w:rsid w:val="1BB66AA0"/>
    <w:rsid w:val="1BB97274"/>
    <w:rsid w:val="1BBE4697"/>
    <w:rsid w:val="1BC17CE4"/>
    <w:rsid w:val="1BC22B56"/>
    <w:rsid w:val="1BC25F36"/>
    <w:rsid w:val="1BC6523C"/>
    <w:rsid w:val="1BC670A8"/>
    <w:rsid w:val="1BC778E5"/>
    <w:rsid w:val="1BC835EB"/>
    <w:rsid w:val="1BC900DD"/>
    <w:rsid w:val="1BC93D4E"/>
    <w:rsid w:val="1BCA64AE"/>
    <w:rsid w:val="1BCE1A9A"/>
    <w:rsid w:val="1BD0205E"/>
    <w:rsid w:val="1BD13D1E"/>
    <w:rsid w:val="1BD143DB"/>
    <w:rsid w:val="1BD75695"/>
    <w:rsid w:val="1BD904CF"/>
    <w:rsid w:val="1BE124DA"/>
    <w:rsid w:val="1BEC1023"/>
    <w:rsid w:val="1BEC3B21"/>
    <w:rsid w:val="1BED0CB7"/>
    <w:rsid w:val="1BF03088"/>
    <w:rsid w:val="1BF15B4E"/>
    <w:rsid w:val="1BF16D3F"/>
    <w:rsid w:val="1BF37822"/>
    <w:rsid w:val="1BF66489"/>
    <w:rsid w:val="1BF711F2"/>
    <w:rsid w:val="1BF95C95"/>
    <w:rsid w:val="1BFB340E"/>
    <w:rsid w:val="1BFB76E9"/>
    <w:rsid w:val="1BFC5AAE"/>
    <w:rsid w:val="1BFF026A"/>
    <w:rsid w:val="1C0246CA"/>
    <w:rsid w:val="1C0A0DCE"/>
    <w:rsid w:val="1C0E117B"/>
    <w:rsid w:val="1C12643A"/>
    <w:rsid w:val="1C153B46"/>
    <w:rsid w:val="1C1719A5"/>
    <w:rsid w:val="1C1800C6"/>
    <w:rsid w:val="1C1A6397"/>
    <w:rsid w:val="1C1B1EB3"/>
    <w:rsid w:val="1C1B49BE"/>
    <w:rsid w:val="1C1B5289"/>
    <w:rsid w:val="1C1B73F4"/>
    <w:rsid w:val="1C1E60FF"/>
    <w:rsid w:val="1C1F53F9"/>
    <w:rsid w:val="1C1F7302"/>
    <w:rsid w:val="1C214E4B"/>
    <w:rsid w:val="1C217D6F"/>
    <w:rsid w:val="1C2344FA"/>
    <w:rsid w:val="1C27450B"/>
    <w:rsid w:val="1C2776CE"/>
    <w:rsid w:val="1C2A6B7D"/>
    <w:rsid w:val="1C2B0109"/>
    <w:rsid w:val="1C303687"/>
    <w:rsid w:val="1C316C17"/>
    <w:rsid w:val="1C323A00"/>
    <w:rsid w:val="1C344E69"/>
    <w:rsid w:val="1C35689F"/>
    <w:rsid w:val="1C362480"/>
    <w:rsid w:val="1C3A2086"/>
    <w:rsid w:val="1C3C5FC4"/>
    <w:rsid w:val="1C3E1946"/>
    <w:rsid w:val="1C404D4C"/>
    <w:rsid w:val="1C416D2E"/>
    <w:rsid w:val="1C4701E9"/>
    <w:rsid w:val="1C4C1CA3"/>
    <w:rsid w:val="1C4E1577"/>
    <w:rsid w:val="1C556159"/>
    <w:rsid w:val="1C5E10A4"/>
    <w:rsid w:val="1C5F62DB"/>
    <w:rsid w:val="1C605742"/>
    <w:rsid w:val="1C60673F"/>
    <w:rsid w:val="1C625023"/>
    <w:rsid w:val="1C670A0A"/>
    <w:rsid w:val="1C671593"/>
    <w:rsid w:val="1C694603"/>
    <w:rsid w:val="1C71170A"/>
    <w:rsid w:val="1C7314B7"/>
    <w:rsid w:val="1C755751"/>
    <w:rsid w:val="1C7B4336"/>
    <w:rsid w:val="1C7B5173"/>
    <w:rsid w:val="1C814E2B"/>
    <w:rsid w:val="1C856F63"/>
    <w:rsid w:val="1C881DD1"/>
    <w:rsid w:val="1C8A32C8"/>
    <w:rsid w:val="1C8D3B5D"/>
    <w:rsid w:val="1C8E085E"/>
    <w:rsid w:val="1C8F393E"/>
    <w:rsid w:val="1C916898"/>
    <w:rsid w:val="1C9D24FF"/>
    <w:rsid w:val="1C9E65AF"/>
    <w:rsid w:val="1CA61F76"/>
    <w:rsid w:val="1CAD790D"/>
    <w:rsid w:val="1CB33AD0"/>
    <w:rsid w:val="1CB42ED7"/>
    <w:rsid w:val="1CB82B08"/>
    <w:rsid w:val="1CBA49A5"/>
    <w:rsid w:val="1CBF7741"/>
    <w:rsid w:val="1CC15952"/>
    <w:rsid w:val="1CC730D8"/>
    <w:rsid w:val="1CC83D02"/>
    <w:rsid w:val="1CC9252D"/>
    <w:rsid w:val="1CD16FE2"/>
    <w:rsid w:val="1CD423AD"/>
    <w:rsid w:val="1CD4262D"/>
    <w:rsid w:val="1CD852E5"/>
    <w:rsid w:val="1CDA2C1F"/>
    <w:rsid w:val="1CDB1FA6"/>
    <w:rsid w:val="1CE026DF"/>
    <w:rsid w:val="1CE05ADF"/>
    <w:rsid w:val="1CE11DDF"/>
    <w:rsid w:val="1CE35769"/>
    <w:rsid w:val="1CE45EBD"/>
    <w:rsid w:val="1CE5253C"/>
    <w:rsid w:val="1CE62E8D"/>
    <w:rsid w:val="1CEF7374"/>
    <w:rsid w:val="1CF00B40"/>
    <w:rsid w:val="1CF53CD6"/>
    <w:rsid w:val="1CF62275"/>
    <w:rsid w:val="1CF95853"/>
    <w:rsid w:val="1CFB4AC9"/>
    <w:rsid w:val="1CFC7225"/>
    <w:rsid w:val="1CFD2714"/>
    <w:rsid w:val="1CFD5B5B"/>
    <w:rsid w:val="1CFF1F30"/>
    <w:rsid w:val="1CFF4540"/>
    <w:rsid w:val="1D045634"/>
    <w:rsid w:val="1D0460DA"/>
    <w:rsid w:val="1D061E52"/>
    <w:rsid w:val="1D06434B"/>
    <w:rsid w:val="1D074B62"/>
    <w:rsid w:val="1D0927BE"/>
    <w:rsid w:val="1D0A0FEB"/>
    <w:rsid w:val="1D0B38D5"/>
    <w:rsid w:val="1D0C7C1D"/>
    <w:rsid w:val="1D0E51AB"/>
    <w:rsid w:val="1D0E7586"/>
    <w:rsid w:val="1D100575"/>
    <w:rsid w:val="1D177931"/>
    <w:rsid w:val="1D1A123D"/>
    <w:rsid w:val="1D1A5D3F"/>
    <w:rsid w:val="1D1A69AC"/>
    <w:rsid w:val="1D1C76CA"/>
    <w:rsid w:val="1D1D198D"/>
    <w:rsid w:val="1D1D776D"/>
    <w:rsid w:val="1D1F1166"/>
    <w:rsid w:val="1D28163E"/>
    <w:rsid w:val="1D295BE8"/>
    <w:rsid w:val="1D2D55E0"/>
    <w:rsid w:val="1D2D6DBF"/>
    <w:rsid w:val="1D3627CF"/>
    <w:rsid w:val="1D371499"/>
    <w:rsid w:val="1D3764AF"/>
    <w:rsid w:val="1D3A1416"/>
    <w:rsid w:val="1D3A4C2A"/>
    <w:rsid w:val="1D3B2EB4"/>
    <w:rsid w:val="1D3D0BD8"/>
    <w:rsid w:val="1D3F7112"/>
    <w:rsid w:val="1D441161"/>
    <w:rsid w:val="1D454098"/>
    <w:rsid w:val="1D46645F"/>
    <w:rsid w:val="1D4B7B0A"/>
    <w:rsid w:val="1D4D7A81"/>
    <w:rsid w:val="1D4E32DC"/>
    <w:rsid w:val="1D4E5730"/>
    <w:rsid w:val="1D5232E9"/>
    <w:rsid w:val="1D531447"/>
    <w:rsid w:val="1D552DD9"/>
    <w:rsid w:val="1D591300"/>
    <w:rsid w:val="1D5C1A72"/>
    <w:rsid w:val="1D5C4E63"/>
    <w:rsid w:val="1D5E3F3F"/>
    <w:rsid w:val="1D626BE7"/>
    <w:rsid w:val="1D6372A4"/>
    <w:rsid w:val="1D65301C"/>
    <w:rsid w:val="1D6C06BE"/>
    <w:rsid w:val="1D700511"/>
    <w:rsid w:val="1D72392A"/>
    <w:rsid w:val="1D73376B"/>
    <w:rsid w:val="1D7451DF"/>
    <w:rsid w:val="1D754F97"/>
    <w:rsid w:val="1D775BC6"/>
    <w:rsid w:val="1D776E3D"/>
    <w:rsid w:val="1D79207C"/>
    <w:rsid w:val="1D7952DA"/>
    <w:rsid w:val="1D795BBA"/>
    <w:rsid w:val="1D8513D4"/>
    <w:rsid w:val="1D854D1D"/>
    <w:rsid w:val="1D8722BA"/>
    <w:rsid w:val="1D8744A4"/>
    <w:rsid w:val="1D894CFF"/>
    <w:rsid w:val="1D8A7A2D"/>
    <w:rsid w:val="1D8C066F"/>
    <w:rsid w:val="1D8C6DCC"/>
    <w:rsid w:val="1D8E2F80"/>
    <w:rsid w:val="1D8E6687"/>
    <w:rsid w:val="1D8E6DA1"/>
    <w:rsid w:val="1D8F5E47"/>
    <w:rsid w:val="1D90501C"/>
    <w:rsid w:val="1D94745E"/>
    <w:rsid w:val="1D96118B"/>
    <w:rsid w:val="1D9969DE"/>
    <w:rsid w:val="1DA061E9"/>
    <w:rsid w:val="1DA13929"/>
    <w:rsid w:val="1DA17384"/>
    <w:rsid w:val="1DA30FB6"/>
    <w:rsid w:val="1DA348BC"/>
    <w:rsid w:val="1DA5678B"/>
    <w:rsid w:val="1DAC0B18"/>
    <w:rsid w:val="1DAE68E6"/>
    <w:rsid w:val="1DB00386"/>
    <w:rsid w:val="1DB32CAB"/>
    <w:rsid w:val="1DB43A4F"/>
    <w:rsid w:val="1DB63509"/>
    <w:rsid w:val="1DB76BA3"/>
    <w:rsid w:val="1DB83150"/>
    <w:rsid w:val="1DB90D3B"/>
    <w:rsid w:val="1DB976EA"/>
    <w:rsid w:val="1DC03C12"/>
    <w:rsid w:val="1DC27638"/>
    <w:rsid w:val="1DC43CB7"/>
    <w:rsid w:val="1DC47C3A"/>
    <w:rsid w:val="1DC545A9"/>
    <w:rsid w:val="1DC7238D"/>
    <w:rsid w:val="1DC74A9A"/>
    <w:rsid w:val="1DCA0A85"/>
    <w:rsid w:val="1DCD348A"/>
    <w:rsid w:val="1DCE08FF"/>
    <w:rsid w:val="1DCF493A"/>
    <w:rsid w:val="1DD0333D"/>
    <w:rsid w:val="1DD27F86"/>
    <w:rsid w:val="1DD52D35"/>
    <w:rsid w:val="1DD71FDB"/>
    <w:rsid w:val="1DD737EE"/>
    <w:rsid w:val="1DD83E34"/>
    <w:rsid w:val="1DD93C5B"/>
    <w:rsid w:val="1DD957B9"/>
    <w:rsid w:val="1DDA47CB"/>
    <w:rsid w:val="1DDF53F2"/>
    <w:rsid w:val="1DE54561"/>
    <w:rsid w:val="1DE60E22"/>
    <w:rsid w:val="1DE6651B"/>
    <w:rsid w:val="1DEC3A0B"/>
    <w:rsid w:val="1DEC3DC4"/>
    <w:rsid w:val="1DEC79B8"/>
    <w:rsid w:val="1DEE2903"/>
    <w:rsid w:val="1DEE45E2"/>
    <w:rsid w:val="1DEE6320"/>
    <w:rsid w:val="1DEF0B38"/>
    <w:rsid w:val="1DF22493"/>
    <w:rsid w:val="1DF428D0"/>
    <w:rsid w:val="1DF45A14"/>
    <w:rsid w:val="1DF84523"/>
    <w:rsid w:val="1DF92ADB"/>
    <w:rsid w:val="1DF97CAB"/>
    <w:rsid w:val="1DFA3675"/>
    <w:rsid w:val="1DFB74DD"/>
    <w:rsid w:val="1DFD6C80"/>
    <w:rsid w:val="1E032835"/>
    <w:rsid w:val="1E0B184C"/>
    <w:rsid w:val="1E0E6C5D"/>
    <w:rsid w:val="1E1112E1"/>
    <w:rsid w:val="1E1152B2"/>
    <w:rsid w:val="1E124827"/>
    <w:rsid w:val="1E1479E6"/>
    <w:rsid w:val="1E1672D0"/>
    <w:rsid w:val="1E17452C"/>
    <w:rsid w:val="1E1B1141"/>
    <w:rsid w:val="1E1B7B7F"/>
    <w:rsid w:val="1E1D6378"/>
    <w:rsid w:val="1E1E766F"/>
    <w:rsid w:val="1E214C7C"/>
    <w:rsid w:val="1E221B78"/>
    <w:rsid w:val="1E2307E2"/>
    <w:rsid w:val="1E2702D2"/>
    <w:rsid w:val="1E2960B1"/>
    <w:rsid w:val="1E2C3B3A"/>
    <w:rsid w:val="1E2D78C5"/>
    <w:rsid w:val="1E3121FA"/>
    <w:rsid w:val="1E3365A1"/>
    <w:rsid w:val="1E366995"/>
    <w:rsid w:val="1E370EAD"/>
    <w:rsid w:val="1E390E35"/>
    <w:rsid w:val="1E3B4F1D"/>
    <w:rsid w:val="1E3D5D61"/>
    <w:rsid w:val="1E3D713A"/>
    <w:rsid w:val="1E407273"/>
    <w:rsid w:val="1E4079BA"/>
    <w:rsid w:val="1E43368C"/>
    <w:rsid w:val="1E447674"/>
    <w:rsid w:val="1E4605ED"/>
    <w:rsid w:val="1E4965F0"/>
    <w:rsid w:val="1E4C7F89"/>
    <w:rsid w:val="1E4F15D7"/>
    <w:rsid w:val="1E556CA9"/>
    <w:rsid w:val="1E5631FD"/>
    <w:rsid w:val="1E57048B"/>
    <w:rsid w:val="1E577E70"/>
    <w:rsid w:val="1E59012D"/>
    <w:rsid w:val="1E5C390A"/>
    <w:rsid w:val="1E5D56CB"/>
    <w:rsid w:val="1E6029D2"/>
    <w:rsid w:val="1E60445F"/>
    <w:rsid w:val="1E605592"/>
    <w:rsid w:val="1E635082"/>
    <w:rsid w:val="1E69654F"/>
    <w:rsid w:val="1E6A6411"/>
    <w:rsid w:val="1E6A69C7"/>
    <w:rsid w:val="1E6B6530"/>
    <w:rsid w:val="1E6B65BD"/>
    <w:rsid w:val="1E6C03DB"/>
    <w:rsid w:val="1E6E5F01"/>
    <w:rsid w:val="1E6F15A7"/>
    <w:rsid w:val="1E770609"/>
    <w:rsid w:val="1E7D6144"/>
    <w:rsid w:val="1E7D7EF2"/>
    <w:rsid w:val="1E7E5C49"/>
    <w:rsid w:val="1E7F63AB"/>
    <w:rsid w:val="1E805D91"/>
    <w:rsid w:val="1E8306C4"/>
    <w:rsid w:val="1E8374D5"/>
    <w:rsid w:val="1E8532D9"/>
    <w:rsid w:val="1E8A0CAA"/>
    <w:rsid w:val="1E8A6AB3"/>
    <w:rsid w:val="1E8C0C0F"/>
    <w:rsid w:val="1E8C204D"/>
    <w:rsid w:val="1E8D7230"/>
    <w:rsid w:val="1E8E6E6E"/>
    <w:rsid w:val="1E8F2EFD"/>
    <w:rsid w:val="1E8F40C9"/>
    <w:rsid w:val="1E901008"/>
    <w:rsid w:val="1E933BB9"/>
    <w:rsid w:val="1E940FFC"/>
    <w:rsid w:val="1E990EF4"/>
    <w:rsid w:val="1E9B2A6E"/>
    <w:rsid w:val="1E9D2342"/>
    <w:rsid w:val="1E9F190B"/>
    <w:rsid w:val="1EA137D0"/>
    <w:rsid w:val="1EA16957"/>
    <w:rsid w:val="1EA212A1"/>
    <w:rsid w:val="1EA21F87"/>
    <w:rsid w:val="1EA2337A"/>
    <w:rsid w:val="1EA23C70"/>
    <w:rsid w:val="1EA25B19"/>
    <w:rsid w:val="1EA30E10"/>
    <w:rsid w:val="1EA91914"/>
    <w:rsid w:val="1EA9506E"/>
    <w:rsid w:val="1EA9518B"/>
    <w:rsid w:val="1EAB08DB"/>
    <w:rsid w:val="1EAD0D24"/>
    <w:rsid w:val="1EAE09F3"/>
    <w:rsid w:val="1EAE38EF"/>
    <w:rsid w:val="1EAF7CCA"/>
    <w:rsid w:val="1EB15957"/>
    <w:rsid w:val="1EB34612"/>
    <w:rsid w:val="1EB626F3"/>
    <w:rsid w:val="1EB7274A"/>
    <w:rsid w:val="1EB7387D"/>
    <w:rsid w:val="1EB84E0F"/>
    <w:rsid w:val="1EB97505"/>
    <w:rsid w:val="1EBB25E9"/>
    <w:rsid w:val="1EBD3B62"/>
    <w:rsid w:val="1EBE6CC7"/>
    <w:rsid w:val="1EC21DA9"/>
    <w:rsid w:val="1EC22E41"/>
    <w:rsid w:val="1EC3611C"/>
    <w:rsid w:val="1EC91389"/>
    <w:rsid w:val="1EC97403"/>
    <w:rsid w:val="1ECA499A"/>
    <w:rsid w:val="1ED02286"/>
    <w:rsid w:val="1ED04422"/>
    <w:rsid w:val="1ED20F33"/>
    <w:rsid w:val="1ED63AA6"/>
    <w:rsid w:val="1EDC02C9"/>
    <w:rsid w:val="1EDC0740"/>
    <w:rsid w:val="1EDC39A8"/>
    <w:rsid w:val="1EDC6954"/>
    <w:rsid w:val="1EDE421C"/>
    <w:rsid w:val="1EDE7164"/>
    <w:rsid w:val="1EE12D63"/>
    <w:rsid w:val="1EE52B7A"/>
    <w:rsid w:val="1EE541C2"/>
    <w:rsid w:val="1EEA172F"/>
    <w:rsid w:val="1EEA264E"/>
    <w:rsid w:val="1EED3748"/>
    <w:rsid w:val="1EEF5A4A"/>
    <w:rsid w:val="1EF43C94"/>
    <w:rsid w:val="1EF84A9A"/>
    <w:rsid w:val="1EF923F9"/>
    <w:rsid w:val="1EFB350D"/>
    <w:rsid w:val="1EFD2C73"/>
    <w:rsid w:val="1EFF726E"/>
    <w:rsid w:val="1F016396"/>
    <w:rsid w:val="1F07169F"/>
    <w:rsid w:val="1F071E17"/>
    <w:rsid w:val="1F0979D8"/>
    <w:rsid w:val="1F0A621B"/>
    <w:rsid w:val="1F0A6898"/>
    <w:rsid w:val="1F0B2C36"/>
    <w:rsid w:val="1F0F6ACB"/>
    <w:rsid w:val="1F103654"/>
    <w:rsid w:val="1F122ED5"/>
    <w:rsid w:val="1F1545CE"/>
    <w:rsid w:val="1F185E1F"/>
    <w:rsid w:val="1F1A072D"/>
    <w:rsid w:val="1F1C3BAF"/>
    <w:rsid w:val="1F280FFC"/>
    <w:rsid w:val="1F2A2D15"/>
    <w:rsid w:val="1F2A5578"/>
    <w:rsid w:val="1F2A6FDB"/>
    <w:rsid w:val="1F2F7DF9"/>
    <w:rsid w:val="1F3057AF"/>
    <w:rsid w:val="1F316591"/>
    <w:rsid w:val="1F330EF8"/>
    <w:rsid w:val="1F3755EF"/>
    <w:rsid w:val="1F3B455E"/>
    <w:rsid w:val="1F473964"/>
    <w:rsid w:val="1F476D6C"/>
    <w:rsid w:val="1F49711F"/>
    <w:rsid w:val="1F4B0A1A"/>
    <w:rsid w:val="1F5046A9"/>
    <w:rsid w:val="1F5215B3"/>
    <w:rsid w:val="1F557ECC"/>
    <w:rsid w:val="1F576995"/>
    <w:rsid w:val="1F5E6B3E"/>
    <w:rsid w:val="1F611DC7"/>
    <w:rsid w:val="1F613FCB"/>
    <w:rsid w:val="1F633166"/>
    <w:rsid w:val="1F6410B2"/>
    <w:rsid w:val="1F66497B"/>
    <w:rsid w:val="1F674FCD"/>
    <w:rsid w:val="1F692600"/>
    <w:rsid w:val="1F6D0617"/>
    <w:rsid w:val="1F6D1814"/>
    <w:rsid w:val="1F6D256E"/>
    <w:rsid w:val="1F6F0CDC"/>
    <w:rsid w:val="1F724F50"/>
    <w:rsid w:val="1F783B0B"/>
    <w:rsid w:val="1F786939"/>
    <w:rsid w:val="1F7A59EB"/>
    <w:rsid w:val="1F811E74"/>
    <w:rsid w:val="1F854932"/>
    <w:rsid w:val="1F8B663F"/>
    <w:rsid w:val="1F91463F"/>
    <w:rsid w:val="1F9341DA"/>
    <w:rsid w:val="1F934711"/>
    <w:rsid w:val="1F97758B"/>
    <w:rsid w:val="1F9A59D4"/>
    <w:rsid w:val="1F9C5663"/>
    <w:rsid w:val="1F9F34E0"/>
    <w:rsid w:val="1FA32EFF"/>
    <w:rsid w:val="1FA566E6"/>
    <w:rsid w:val="1FA63478"/>
    <w:rsid w:val="1FA819C5"/>
    <w:rsid w:val="1FA93387"/>
    <w:rsid w:val="1FA94D17"/>
    <w:rsid w:val="1FAF17BB"/>
    <w:rsid w:val="1FB44C60"/>
    <w:rsid w:val="1FB55EAB"/>
    <w:rsid w:val="1FB62CA9"/>
    <w:rsid w:val="1FB72C07"/>
    <w:rsid w:val="1FB738D7"/>
    <w:rsid w:val="1FB97B85"/>
    <w:rsid w:val="1FBA7A5F"/>
    <w:rsid w:val="1FBE0451"/>
    <w:rsid w:val="1FBE07C2"/>
    <w:rsid w:val="1FBE7AD7"/>
    <w:rsid w:val="1FC00DC0"/>
    <w:rsid w:val="1FC115AD"/>
    <w:rsid w:val="1FC3214F"/>
    <w:rsid w:val="1FC34757"/>
    <w:rsid w:val="1FC55C00"/>
    <w:rsid w:val="1FC61BF5"/>
    <w:rsid w:val="1FC63B1B"/>
    <w:rsid w:val="1FC81641"/>
    <w:rsid w:val="1FD163B2"/>
    <w:rsid w:val="1FD53D5E"/>
    <w:rsid w:val="1FD717E3"/>
    <w:rsid w:val="1FD72F5C"/>
    <w:rsid w:val="1FD73AE0"/>
    <w:rsid w:val="1FD87CD3"/>
    <w:rsid w:val="1FDA0CFB"/>
    <w:rsid w:val="1FDD257B"/>
    <w:rsid w:val="1FDF62FC"/>
    <w:rsid w:val="1FE06C19"/>
    <w:rsid w:val="1FEF4E1F"/>
    <w:rsid w:val="1FFA1460"/>
    <w:rsid w:val="1FFF29DC"/>
    <w:rsid w:val="1FFF65F1"/>
    <w:rsid w:val="2000093B"/>
    <w:rsid w:val="200123A8"/>
    <w:rsid w:val="20013309"/>
    <w:rsid w:val="20075E26"/>
    <w:rsid w:val="200D380F"/>
    <w:rsid w:val="20136BAE"/>
    <w:rsid w:val="201A6D1A"/>
    <w:rsid w:val="201B0F10"/>
    <w:rsid w:val="201C7BDE"/>
    <w:rsid w:val="201E5649"/>
    <w:rsid w:val="201F3AB1"/>
    <w:rsid w:val="20240EB1"/>
    <w:rsid w:val="20243710"/>
    <w:rsid w:val="202C15A0"/>
    <w:rsid w:val="20315D12"/>
    <w:rsid w:val="20331A97"/>
    <w:rsid w:val="20332C02"/>
    <w:rsid w:val="20335368"/>
    <w:rsid w:val="203942EC"/>
    <w:rsid w:val="203A6AF5"/>
    <w:rsid w:val="203E169A"/>
    <w:rsid w:val="20404F8E"/>
    <w:rsid w:val="20417A84"/>
    <w:rsid w:val="20476A09"/>
    <w:rsid w:val="2049095D"/>
    <w:rsid w:val="204B31C8"/>
    <w:rsid w:val="204E48E5"/>
    <w:rsid w:val="204E69C8"/>
    <w:rsid w:val="204F13EA"/>
    <w:rsid w:val="20567EE3"/>
    <w:rsid w:val="205A4F56"/>
    <w:rsid w:val="2065007F"/>
    <w:rsid w:val="20653333"/>
    <w:rsid w:val="20654122"/>
    <w:rsid w:val="206633C2"/>
    <w:rsid w:val="206650A3"/>
    <w:rsid w:val="206704AD"/>
    <w:rsid w:val="20672C08"/>
    <w:rsid w:val="206763B8"/>
    <w:rsid w:val="206858CC"/>
    <w:rsid w:val="206873D7"/>
    <w:rsid w:val="20690D0F"/>
    <w:rsid w:val="2069136F"/>
    <w:rsid w:val="206C1BB2"/>
    <w:rsid w:val="20705B7B"/>
    <w:rsid w:val="20721F24"/>
    <w:rsid w:val="207402A9"/>
    <w:rsid w:val="20765C82"/>
    <w:rsid w:val="20775E12"/>
    <w:rsid w:val="20787AAB"/>
    <w:rsid w:val="207B3BE4"/>
    <w:rsid w:val="207B7134"/>
    <w:rsid w:val="20811994"/>
    <w:rsid w:val="208522FE"/>
    <w:rsid w:val="20861B5E"/>
    <w:rsid w:val="208778AB"/>
    <w:rsid w:val="20880DD0"/>
    <w:rsid w:val="2088779C"/>
    <w:rsid w:val="2089132B"/>
    <w:rsid w:val="208B7AE9"/>
    <w:rsid w:val="208F215E"/>
    <w:rsid w:val="209234A5"/>
    <w:rsid w:val="20967C00"/>
    <w:rsid w:val="20975B0A"/>
    <w:rsid w:val="209761A3"/>
    <w:rsid w:val="20977E55"/>
    <w:rsid w:val="20996D8A"/>
    <w:rsid w:val="209A6D96"/>
    <w:rsid w:val="209D3567"/>
    <w:rsid w:val="209F69C0"/>
    <w:rsid w:val="20A24975"/>
    <w:rsid w:val="20A536B4"/>
    <w:rsid w:val="20A55229"/>
    <w:rsid w:val="20A6689E"/>
    <w:rsid w:val="20A70791"/>
    <w:rsid w:val="20A70B24"/>
    <w:rsid w:val="20A756FA"/>
    <w:rsid w:val="20AA343C"/>
    <w:rsid w:val="20AB1647"/>
    <w:rsid w:val="20AC0F62"/>
    <w:rsid w:val="20AC2032"/>
    <w:rsid w:val="20AE0E17"/>
    <w:rsid w:val="20B0213D"/>
    <w:rsid w:val="20B441BB"/>
    <w:rsid w:val="20B86B19"/>
    <w:rsid w:val="20BA544B"/>
    <w:rsid w:val="20BB1A72"/>
    <w:rsid w:val="20BB50DE"/>
    <w:rsid w:val="20BD6CCC"/>
    <w:rsid w:val="20C04BEB"/>
    <w:rsid w:val="20C279F7"/>
    <w:rsid w:val="20C30808"/>
    <w:rsid w:val="20C462AC"/>
    <w:rsid w:val="20C52024"/>
    <w:rsid w:val="20C96D55"/>
    <w:rsid w:val="20CA1C8D"/>
    <w:rsid w:val="20CA5655"/>
    <w:rsid w:val="20CE6405"/>
    <w:rsid w:val="20D02463"/>
    <w:rsid w:val="20D0362E"/>
    <w:rsid w:val="20D07FE6"/>
    <w:rsid w:val="20D12777"/>
    <w:rsid w:val="20D16D8E"/>
    <w:rsid w:val="20D44FA5"/>
    <w:rsid w:val="20D52134"/>
    <w:rsid w:val="20D66813"/>
    <w:rsid w:val="20DA0A53"/>
    <w:rsid w:val="20DC1495"/>
    <w:rsid w:val="20DF7B97"/>
    <w:rsid w:val="20E270AD"/>
    <w:rsid w:val="20E67145"/>
    <w:rsid w:val="20EA2DE0"/>
    <w:rsid w:val="20EB38A2"/>
    <w:rsid w:val="20F17831"/>
    <w:rsid w:val="20F42F16"/>
    <w:rsid w:val="20F913EB"/>
    <w:rsid w:val="20FA3253"/>
    <w:rsid w:val="21023E03"/>
    <w:rsid w:val="21027AC0"/>
    <w:rsid w:val="210353F4"/>
    <w:rsid w:val="210A7453"/>
    <w:rsid w:val="210B0BB4"/>
    <w:rsid w:val="210D0E63"/>
    <w:rsid w:val="211071A8"/>
    <w:rsid w:val="21124DA1"/>
    <w:rsid w:val="21125D0B"/>
    <w:rsid w:val="2112756C"/>
    <w:rsid w:val="21144ECB"/>
    <w:rsid w:val="21162880"/>
    <w:rsid w:val="21182391"/>
    <w:rsid w:val="211E5A88"/>
    <w:rsid w:val="2120572C"/>
    <w:rsid w:val="21233EFC"/>
    <w:rsid w:val="212A1E87"/>
    <w:rsid w:val="212A6B10"/>
    <w:rsid w:val="212B7C92"/>
    <w:rsid w:val="21304CAC"/>
    <w:rsid w:val="21311386"/>
    <w:rsid w:val="21311BB1"/>
    <w:rsid w:val="21313216"/>
    <w:rsid w:val="21332E39"/>
    <w:rsid w:val="21350F58"/>
    <w:rsid w:val="21354AB4"/>
    <w:rsid w:val="2137340A"/>
    <w:rsid w:val="213D24B6"/>
    <w:rsid w:val="213D7E0C"/>
    <w:rsid w:val="213F3B84"/>
    <w:rsid w:val="214007BA"/>
    <w:rsid w:val="214744F0"/>
    <w:rsid w:val="21491658"/>
    <w:rsid w:val="214967B1"/>
    <w:rsid w:val="214C1BA5"/>
    <w:rsid w:val="214C7695"/>
    <w:rsid w:val="214D2322"/>
    <w:rsid w:val="21521FC6"/>
    <w:rsid w:val="21526F9E"/>
    <w:rsid w:val="21595108"/>
    <w:rsid w:val="215C292F"/>
    <w:rsid w:val="215C64E4"/>
    <w:rsid w:val="215D593E"/>
    <w:rsid w:val="215D6B5F"/>
    <w:rsid w:val="215E0A6B"/>
    <w:rsid w:val="215F2E38"/>
    <w:rsid w:val="216A0908"/>
    <w:rsid w:val="216C4D54"/>
    <w:rsid w:val="21713EAC"/>
    <w:rsid w:val="217575A6"/>
    <w:rsid w:val="21787096"/>
    <w:rsid w:val="217C6861"/>
    <w:rsid w:val="217D32FC"/>
    <w:rsid w:val="21801D99"/>
    <w:rsid w:val="21851803"/>
    <w:rsid w:val="218B4AA6"/>
    <w:rsid w:val="218D22ED"/>
    <w:rsid w:val="218E2416"/>
    <w:rsid w:val="219000FD"/>
    <w:rsid w:val="21901F20"/>
    <w:rsid w:val="2191541A"/>
    <w:rsid w:val="21937A2C"/>
    <w:rsid w:val="21937B25"/>
    <w:rsid w:val="21975AA2"/>
    <w:rsid w:val="2197751D"/>
    <w:rsid w:val="2198296A"/>
    <w:rsid w:val="219859DA"/>
    <w:rsid w:val="219C57B1"/>
    <w:rsid w:val="21A03BFD"/>
    <w:rsid w:val="21A040F6"/>
    <w:rsid w:val="21A1085F"/>
    <w:rsid w:val="21A35A6C"/>
    <w:rsid w:val="21AD1492"/>
    <w:rsid w:val="21AD60A2"/>
    <w:rsid w:val="21B04CAB"/>
    <w:rsid w:val="21B25BA7"/>
    <w:rsid w:val="21B275B1"/>
    <w:rsid w:val="21B555B2"/>
    <w:rsid w:val="21B60ED2"/>
    <w:rsid w:val="21B71E09"/>
    <w:rsid w:val="21B806E9"/>
    <w:rsid w:val="21B93243"/>
    <w:rsid w:val="21B96FAA"/>
    <w:rsid w:val="21BA76AF"/>
    <w:rsid w:val="21BB3976"/>
    <w:rsid w:val="21BC6F83"/>
    <w:rsid w:val="21C07E88"/>
    <w:rsid w:val="21C12129"/>
    <w:rsid w:val="21C46A05"/>
    <w:rsid w:val="21C56B9B"/>
    <w:rsid w:val="21C92069"/>
    <w:rsid w:val="21CA767A"/>
    <w:rsid w:val="21CE038A"/>
    <w:rsid w:val="21D00DD1"/>
    <w:rsid w:val="21D02FF1"/>
    <w:rsid w:val="21D400D2"/>
    <w:rsid w:val="21D6210F"/>
    <w:rsid w:val="21D66BEB"/>
    <w:rsid w:val="21DA2739"/>
    <w:rsid w:val="21DB3B36"/>
    <w:rsid w:val="21DC46B3"/>
    <w:rsid w:val="21DC5719"/>
    <w:rsid w:val="21DF0B2C"/>
    <w:rsid w:val="21E32308"/>
    <w:rsid w:val="21E54896"/>
    <w:rsid w:val="21E840AF"/>
    <w:rsid w:val="21E848E6"/>
    <w:rsid w:val="21EE0560"/>
    <w:rsid w:val="21EE40BD"/>
    <w:rsid w:val="21F34025"/>
    <w:rsid w:val="21F7445F"/>
    <w:rsid w:val="21F7620D"/>
    <w:rsid w:val="21FE4BB3"/>
    <w:rsid w:val="21FE612E"/>
    <w:rsid w:val="21FE6183"/>
    <w:rsid w:val="22012ECD"/>
    <w:rsid w:val="22017F50"/>
    <w:rsid w:val="22043FA2"/>
    <w:rsid w:val="22054BE7"/>
    <w:rsid w:val="22056B7C"/>
    <w:rsid w:val="220D313B"/>
    <w:rsid w:val="22140129"/>
    <w:rsid w:val="22153965"/>
    <w:rsid w:val="221624EC"/>
    <w:rsid w:val="2217565E"/>
    <w:rsid w:val="22192CB2"/>
    <w:rsid w:val="221955E9"/>
    <w:rsid w:val="221A3BA5"/>
    <w:rsid w:val="221E7C3E"/>
    <w:rsid w:val="222238BE"/>
    <w:rsid w:val="22252CAE"/>
    <w:rsid w:val="2226180A"/>
    <w:rsid w:val="22263B0C"/>
    <w:rsid w:val="22266AF2"/>
    <w:rsid w:val="22277D3E"/>
    <w:rsid w:val="222A213F"/>
    <w:rsid w:val="222D76A8"/>
    <w:rsid w:val="222E2F45"/>
    <w:rsid w:val="22352F4F"/>
    <w:rsid w:val="22363671"/>
    <w:rsid w:val="22375C1B"/>
    <w:rsid w:val="22385313"/>
    <w:rsid w:val="223B7A22"/>
    <w:rsid w:val="223E7AE5"/>
    <w:rsid w:val="22427065"/>
    <w:rsid w:val="22431452"/>
    <w:rsid w:val="22433EBD"/>
    <w:rsid w:val="22460F43"/>
    <w:rsid w:val="22463424"/>
    <w:rsid w:val="22465314"/>
    <w:rsid w:val="224C502C"/>
    <w:rsid w:val="224F2E41"/>
    <w:rsid w:val="22517514"/>
    <w:rsid w:val="22555CE4"/>
    <w:rsid w:val="22560F30"/>
    <w:rsid w:val="225718ED"/>
    <w:rsid w:val="225A611B"/>
    <w:rsid w:val="225E5729"/>
    <w:rsid w:val="22625BDA"/>
    <w:rsid w:val="22637523"/>
    <w:rsid w:val="2265634C"/>
    <w:rsid w:val="226C6F30"/>
    <w:rsid w:val="226D1E44"/>
    <w:rsid w:val="226D569F"/>
    <w:rsid w:val="2270087B"/>
    <w:rsid w:val="22713A98"/>
    <w:rsid w:val="22730B95"/>
    <w:rsid w:val="22733BE6"/>
    <w:rsid w:val="22736739"/>
    <w:rsid w:val="227C036D"/>
    <w:rsid w:val="227E6135"/>
    <w:rsid w:val="227F2E1F"/>
    <w:rsid w:val="22841D6C"/>
    <w:rsid w:val="22877C26"/>
    <w:rsid w:val="2288785B"/>
    <w:rsid w:val="22907833"/>
    <w:rsid w:val="229254B9"/>
    <w:rsid w:val="229439E4"/>
    <w:rsid w:val="22945646"/>
    <w:rsid w:val="2298059A"/>
    <w:rsid w:val="22982778"/>
    <w:rsid w:val="22995516"/>
    <w:rsid w:val="22995A51"/>
    <w:rsid w:val="229972C4"/>
    <w:rsid w:val="229B1C77"/>
    <w:rsid w:val="229E0D7F"/>
    <w:rsid w:val="22A22F0F"/>
    <w:rsid w:val="22A5210D"/>
    <w:rsid w:val="22A75271"/>
    <w:rsid w:val="22A77C33"/>
    <w:rsid w:val="22AA7723"/>
    <w:rsid w:val="22AB3233"/>
    <w:rsid w:val="22AC0E77"/>
    <w:rsid w:val="22AE046B"/>
    <w:rsid w:val="22AE1613"/>
    <w:rsid w:val="22AE25CF"/>
    <w:rsid w:val="22B06944"/>
    <w:rsid w:val="22B112C7"/>
    <w:rsid w:val="22B2040C"/>
    <w:rsid w:val="22B32320"/>
    <w:rsid w:val="22B61C24"/>
    <w:rsid w:val="22B9629C"/>
    <w:rsid w:val="22BB286C"/>
    <w:rsid w:val="22BC05F6"/>
    <w:rsid w:val="22BC52A3"/>
    <w:rsid w:val="22C21E72"/>
    <w:rsid w:val="22C408FD"/>
    <w:rsid w:val="22C7245F"/>
    <w:rsid w:val="22C87D48"/>
    <w:rsid w:val="22C90A12"/>
    <w:rsid w:val="22CB1764"/>
    <w:rsid w:val="22CB49AB"/>
    <w:rsid w:val="22CC58EC"/>
    <w:rsid w:val="22D03751"/>
    <w:rsid w:val="22D201B3"/>
    <w:rsid w:val="22DE6B74"/>
    <w:rsid w:val="22DF2874"/>
    <w:rsid w:val="22DF48EB"/>
    <w:rsid w:val="22DF4FCB"/>
    <w:rsid w:val="22E04EA6"/>
    <w:rsid w:val="22E06CA1"/>
    <w:rsid w:val="22E06F9D"/>
    <w:rsid w:val="22E417D9"/>
    <w:rsid w:val="22E5250A"/>
    <w:rsid w:val="22E54545"/>
    <w:rsid w:val="22E753E8"/>
    <w:rsid w:val="22E75D67"/>
    <w:rsid w:val="22EC370E"/>
    <w:rsid w:val="22EC47DA"/>
    <w:rsid w:val="22EC77A0"/>
    <w:rsid w:val="22F2130F"/>
    <w:rsid w:val="22F34C27"/>
    <w:rsid w:val="22F52430"/>
    <w:rsid w:val="22F62969"/>
    <w:rsid w:val="22F759C7"/>
    <w:rsid w:val="23007343"/>
    <w:rsid w:val="23007E70"/>
    <w:rsid w:val="23023B05"/>
    <w:rsid w:val="23036E66"/>
    <w:rsid w:val="23062E84"/>
    <w:rsid w:val="230727E6"/>
    <w:rsid w:val="230C4BEE"/>
    <w:rsid w:val="230C73BA"/>
    <w:rsid w:val="230E7243"/>
    <w:rsid w:val="2312270F"/>
    <w:rsid w:val="23137077"/>
    <w:rsid w:val="231518D0"/>
    <w:rsid w:val="23155396"/>
    <w:rsid w:val="231B3426"/>
    <w:rsid w:val="231B4A22"/>
    <w:rsid w:val="231F1EFE"/>
    <w:rsid w:val="2321692B"/>
    <w:rsid w:val="23231740"/>
    <w:rsid w:val="23255C59"/>
    <w:rsid w:val="23257084"/>
    <w:rsid w:val="23262B22"/>
    <w:rsid w:val="23296EA3"/>
    <w:rsid w:val="232A0AB3"/>
    <w:rsid w:val="232A66A0"/>
    <w:rsid w:val="232A704C"/>
    <w:rsid w:val="232E66E7"/>
    <w:rsid w:val="232E7BA6"/>
    <w:rsid w:val="232F3539"/>
    <w:rsid w:val="23304E16"/>
    <w:rsid w:val="233232D9"/>
    <w:rsid w:val="233B1496"/>
    <w:rsid w:val="23403B01"/>
    <w:rsid w:val="23445482"/>
    <w:rsid w:val="23461778"/>
    <w:rsid w:val="2347257A"/>
    <w:rsid w:val="234B2DF4"/>
    <w:rsid w:val="23531B69"/>
    <w:rsid w:val="23544A14"/>
    <w:rsid w:val="2355768F"/>
    <w:rsid w:val="235633E8"/>
    <w:rsid w:val="23566201"/>
    <w:rsid w:val="23575213"/>
    <w:rsid w:val="235A2EF8"/>
    <w:rsid w:val="235A4332"/>
    <w:rsid w:val="235B4D91"/>
    <w:rsid w:val="235D3079"/>
    <w:rsid w:val="235D6307"/>
    <w:rsid w:val="236349A6"/>
    <w:rsid w:val="23637C6E"/>
    <w:rsid w:val="2364702A"/>
    <w:rsid w:val="23671885"/>
    <w:rsid w:val="236A01BA"/>
    <w:rsid w:val="236C258D"/>
    <w:rsid w:val="236E0751"/>
    <w:rsid w:val="23701545"/>
    <w:rsid w:val="23721EFF"/>
    <w:rsid w:val="237333D1"/>
    <w:rsid w:val="237E25F9"/>
    <w:rsid w:val="23846CCE"/>
    <w:rsid w:val="2387314F"/>
    <w:rsid w:val="238B48E2"/>
    <w:rsid w:val="238E1173"/>
    <w:rsid w:val="239058B1"/>
    <w:rsid w:val="23940243"/>
    <w:rsid w:val="23974406"/>
    <w:rsid w:val="239B7E0C"/>
    <w:rsid w:val="239E5971"/>
    <w:rsid w:val="23A13A78"/>
    <w:rsid w:val="23A25897"/>
    <w:rsid w:val="23A338CC"/>
    <w:rsid w:val="23A41382"/>
    <w:rsid w:val="23A673A1"/>
    <w:rsid w:val="23AA2015"/>
    <w:rsid w:val="23AB41E0"/>
    <w:rsid w:val="23AE04D8"/>
    <w:rsid w:val="23AF2995"/>
    <w:rsid w:val="23BA2046"/>
    <w:rsid w:val="23BC14BC"/>
    <w:rsid w:val="23BC1F32"/>
    <w:rsid w:val="23BD0463"/>
    <w:rsid w:val="23BF5806"/>
    <w:rsid w:val="23BF6052"/>
    <w:rsid w:val="23C44815"/>
    <w:rsid w:val="23C44FB3"/>
    <w:rsid w:val="23C65741"/>
    <w:rsid w:val="23CC006D"/>
    <w:rsid w:val="23CE48C5"/>
    <w:rsid w:val="23CF4876"/>
    <w:rsid w:val="23D27B4F"/>
    <w:rsid w:val="23D43CB0"/>
    <w:rsid w:val="23D63784"/>
    <w:rsid w:val="23DD1433"/>
    <w:rsid w:val="23DE58D7"/>
    <w:rsid w:val="23E03035"/>
    <w:rsid w:val="23E33F1F"/>
    <w:rsid w:val="23E80F9D"/>
    <w:rsid w:val="23E97DD8"/>
    <w:rsid w:val="23ED5B1A"/>
    <w:rsid w:val="23EE2D6D"/>
    <w:rsid w:val="23EF4E37"/>
    <w:rsid w:val="23F665D1"/>
    <w:rsid w:val="23F8731C"/>
    <w:rsid w:val="23FA6DCE"/>
    <w:rsid w:val="23FC5135"/>
    <w:rsid w:val="23FE23D5"/>
    <w:rsid w:val="23FF584D"/>
    <w:rsid w:val="23FF75FB"/>
    <w:rsid w:val="24003A9F"/>
    <w:rsid w:val="24014989"/>
    <w:rsid w:val="240567A3"/>
    <w:rsid w:val="240712BD"/>
    <w:rsid w:val="24082954"/>
    <w:rsid w:val="240A0745"/>
    <w:rsid w:val="240B377E"/>
    <w:rsid w:val="240F6DE3"/>
    <w:rsid w:val="2418246B"/>
    <w:rsid w:val="241906BD"/>
    <w:rsid w:val="24191BAC"/>
    <w:rsid w:val="24207C9D"/>
    <w:rsid w:val="242605BF"/>
    <w:rsid w:val="24260868"/>
    <w:rsid w:val="242D1FB6"/>
    <w:rsid w:val="243130C2"/>
    <w:rsid w:val="24316771"/>
    <w:rsid w:val="2432122E"/>
    <w:rsid w:val="24341354"/>
    <w:rsid w:val="24357A9A"/>
    <w:rsid w:val="243A24EA"/>
    <w:rsid w:val="243C08FE"/>
    <w:rsid w:val="243C5C81"/>
    <w:rsid w:val="24403FA5"/>
    <w:rsid w:val="244201DE"/>
    <w:rsid w:val="24424BB7"/>
    <w:rsid w:val="24435A75"/>
    <w:rsid w:val="24452B0D"/>
    <w:rsid w:val="244616B0"/>
    <w:rsid w:val="244A6810"/>
    <w:rsid w:val="244C24FA"/>
    <w:rsid w:val="244E61C3"/>
    <w:rsid w:val="2451306F"/>
    <w:rsid w:val="24564B5F"/>
    <w:rsid w:val="24591C56"/>
    <w:rsid w:val="245949D9"/>
    <w:rsid w:val="24597EC1"/>
    <w:rsid w:val="245C4A4D"/>
    <w:rsid w:val="245D6C90"/>
    <w:rsid w:val="245F1806"/>
    <w:rsid w:val="246833F2"/>
    <w:rsid w:val="246A0918"/>
    <w:rsid w:val="246A7BB7"/>
    <w:rsid w:val="24702233"/>
    <w:rsid w:val="2471674B"/>
    <w:rsid w:val="24724271"/>
    <w:rsid w:val="24822706"/>
    <w:rsid w:val="248336B8"/>
    <w:rsid w:val="24871919"/>
    <w:rsid w:val="24873E0E"/>
    <w:rsid w:val="24891FF9"/>
    <w:rsid w:val="248A6B40"/>
    <w:rsid w:val="248F097F"/>
    <w:rsid w:val="248F35BD"/>
    <w:rsid w:val="2493543B"/>
    <w:rsid w:val="24970EB9"/>
    <w:rsid w:val="24975A86"/>
    <w:rsid w:val="249A3799"/>
    <w:rsid w:val="249B0A45"/>
    <w:rsid w:val="249D12EE"/>
    <w:rsid w:val="249E778E"/>
    <w:rsid w:val="249F1DA8"/>
    <w:rsid w:val="24A23B50"/>
    <w:rsid w:val="24A452CF"/>
    <w:rsid w:val="24A550D6"/>
    <w:rsid w:val="24A81A41"/>
    <w:rsid w:val="24AE331C"/>
    <w:rsid w:val="24AE5E71"/>
    <w:rsid w:val="24B44D1C"/>
    <w:rsid w:val="24B7268F"/>
    <w:rsid w:val="24B73489"/>
    <w:rsid w:val="24BB4B30"/>
    <w:rsid w:val="24BC12B2"/>
    <w:rsid w:val="24BC4AAF"/>
    <w:rsid w:val="24BF0DFB"/>
    <w:rsid w:val="24C149F1"/>
    <w:rsid w:val="24C31462"/>
    <w:rsid w:val="24C3687B"/>
    <w:rsid w:val="24C525F3"/>
    <w:rsid w:val="24C5387B"/>
    <w:rsid w:val="24C7636B"/>
    <w:rsid w:val="24CE51E5"/>
    <w:rsid w:val="24D02E70"/>
    <w:rsid w:val="24D26ABE"/>
    <w:rsid w:val="24DA0379"/>
    <w:rsid w:val="24DA2126"/>
    <w:rsid w:val="24DD5930"/>
    <w:rsid w:val="24DE1906"/>
    <w:rsid w:val="24DE6178"/>
    <w:rsid w:val="24DF6A5C"/>
    <w:rsid w:val="24E25475"/>
    <w:rsid w:val="24E35B5E"/>
    <w:rsid w:val="24E57A23"/>
    <w:rsid w:val="24E707BB"/>
    <w:rsid w:val="24E75C74"/>
    <w:rsid w:val="24E940BD"/>
    <w:rsid w:val="24EC44F2"/>
    <w:rsid w:val="24EC5A70"/>
    <w:rsid w:val="24EF20B0"/>
    <w:rsid w:val="24F024AC"/>
    <w:rsid w:val="24F10465"/>
    <w:rsid w:val="24F2250B"/>
    <w:rsid w:val="24F44A16"/>
    <w:rsid w:val="24F812DE"/>
    <w:rsid w:val="24FC6017"/>
    <w:rsid w:val="24FF3D57"/>
    <w:rsid w:val="25012300"/>
    <w:rsid w:val="25050C41"/>
    <w:rsid w:val="250749B9"/>
    <w:rsid w:val="250A58A6"/>
    <w:rsid w:val="250B0E8A"/>
    <w:rsid w:val="250C47D8"/>
    <w:rsid w:val="250C7D8E"/>
    <w:rsid w:val="250D6B8E"/>
    <w:rsid w:val="2510370D"/>
    <w:rsid w:val="25111514"/>
    <w:rsid w:val="2511300B"/>
    <w:rsid w:val="251213F3"/>
    <w:rsid w:val="251568FE"/>
    <w:rsid w:val="25176A64"/>
    <w:rsid w:val="25186BC6"/>
    <w:rsid w:val="251874A9"/>
    <w:rsid w:val="25195420"/>
    <w:rsid w:val="251A61EE"/>
    <w:rsid w:val="251D6507"/>
    <w:rsid w:val="251F58E7"/>
    <w:rsid w:val="251F7217"/>
    <w:rsid w:val="25205A7B"/>
    <w:rsid w:val="2521373D"/>
    <w:rsid w:val="252235B9"/>
    <w:rsid w:val="252512E3"/>
    <w:rsid w:val="25255B52"/>
    <w:rsid w:val="25273FA6"/>
    <w:rsid w:val="25275B62"/>
    <w:rsid w:val="252855A9"/>
    <w:rsid w:val="252A2082"/>
    <w:rsid w:val="252D66C4"/>
    <w:rsid w:val="252E1F46"/>
    <w:rsid w:val="25307648"/>
    <w:rsid w:val="25345717"/>
    <w:rsid w:val="253A5D6A"/>
    <w:rsid w:val="253B3938"/>
    <w:rsid w:val="253E6EE8"/>
    <w:rsid w:val="253F5542"/>
    <w:rsid w:val="25440C67"/>
    <w:rsid w:val="25450D64"/>
    <w:rsid w:val="254864B8"/>
    <w:rsid w:val="254B5200"/>
    <w:rsid w:val="254B750F"/>
    <w:rsid w:val="254E6CF6"/>
    <w:rsid w:val="25501377"/>
    <w:rsid w:val="25545ECB"/>
    <w:rsid w:val="2555743C"/>
    <w:rsid w:val="255612F9"/>
    <w:rsid w:val="255645D6"/>
    <w:rsid w:val="25577D2D"/>
    <w:rsid w:val="255B0E4A"/>
    <w:rsid w:val="255B3A55"/>
    <w:rsid w:val="255F5F06"/>
    <w:rsid w:val="256030FE"/>
    <w:rsid w:val="25626AB1"/>
    <w:rsid w:val="2564524E"/>
    <w:rsid w:val="25675BF4"/>
    <w:rsid w:val="25684F6F"/>
    <w:rsid w:val="25695674"/>
    <w:rsid w:val="2569607E"/>
    <w:rsid w:val="256E2FC7"/>
    <w:rsid w:val="2570167D"/>
    <w:rsid w:val="25747514"/>
    <w:rsid w:val="25777114"/>
    <w:rsid w:val="257D2D6C"/>
    <w:rsid w:val="257D4229"/>
    <w:rsid w:val="257D6213"/>
    <w:rsid w:val="257E35F2"/>
    <w:rsid w:val="258028E7"/>
    <w:rsid w:val="25836DF8"/>
    <w:rsid w:val="25867FD4"/>
    <w:rsid w:val="25891872"/>
    <w:rsid w:val="258B64D5"/>
    <w:rsid w:val="258F5D6D"/>
    <w:rsid w:val="259124D5"/>
    <w:rsid w:val="25973D3D"/>
    <w:rsid w:val="25985DC5"/>
    <w:rsid w:val="259A6750"/>
    <w:rsid w:val="259B7D8E"/>
    <w:rsid w:val="259C49A4"/>
    <w:rsid w:val="259D2EFF"/>
    <w:rsid w:val="259E3CA4"/>
    <w:rsid w:val="259E3D50"/>
    <w:rsid w:val="259E6D5D"/>
    <w:rsid w:val="25A16A9A"/>
    <w:rsid w:val="25A25AC5"/>
    <w:rsid w:val="25A501B3"/>
    <w:rsid w:val="25AB1F4C"/>
    <w:rsid w:val="25AE548C"/>
    <w:rsid w:val="25AF3943"/>
    <w:rsid w:val="25BA0CE6"/>
    <w:rsid w:val="25BA69D0"/>
    <w:rsid w:val="25C22574"/>
    <w:rsid w:val="25C32DEA"/>
    <w:rsid w:val="25C40AFC"/>
    <w:rsid w:val="25C425D5"/>
    <w:rsid w:val="25C432AB"/>
    <w:rsid w:val="25C51B79"/>
    <w:rsid w:val="25C61FDD"/>
    <w:rsid w:val="25C86071"/>
    <w:rsid w:val="25CA0807"/>
    <w:rsid w:val="25D01C7E"/>
    <w:rsid w:val="25D07B0D"/>
    <w:rsid w:val="25D30CB7"/>
    <w:rsid w:val="25D550D5"/>
    <w:rsid w:val="25D92115"/>
    <w:rsid w:val="25D945F2"/>
    <w:rsid w:val="25DB3C35"/>
    <w:rsid w:val="25DC327A"/>
    <w:rsid w:val="25DD71A2"/>
    <w:rsid w:val="25E115C5"/>
    <w:rsid w:val="25EB5F88"/>
    <w:rsid w:val="25F0369F"/>
    <w:rsid w:val="25F04DA1"/>
    <w:rsid w:val="25F24B85"/>
    <w:rsid w:val="25F50E16"/>
    <w:rsid w:val="25F712C5"/>
    <w:rsid w:val="25F7180F"/>
    <w:rsid w:val="260027FA"/>
    <w:rsid w:val="260171AB"/>
    <w:rsid w:val="2603690C"/>
    <w:rsid w:val="26062EC3"/>
    <w:rsid w:val="26085CCE"/>
    <w:rsid w:val="2609650F"/>
    <w:rsid w:val="260B04D9"/>
    <w:rsid w:val="260C0705"/>
    <w:rsid w:val="260C1BC9"/>
    <w:rsid w:val="260C6BAE"/>
    <w:rsid w:val="26111B2B"/>
    <w:rsid w:val="2611309B"/>
    <w:rsid w:val="2615607C"/>
    <w:rsid w:val="261768D5"/>
    <w:rsid w:val="26192BC5"/>
    <w:rsid w:val="261965D2"/>
    <w:rsid w:val="261973F8"/>
    <w:rsid w:val="261A3D91"/>
    <w:rsid w:val="261A4062"/>
    <w:rsid w:val="261B1DA5"/>
    <w:rsid w:val="261D1200"/>
    <w:rsid w:val="26207761"/>
    <w:rsid w:val="26262ACB"/>
    <w:rsid w:val="26292C6F"/>
    <w:rsid w:val="26301CEE"/>
    <w:rsid w:val="26323CB8"/>
    <w:rsid w:val="263472B0"/>
    <w:rsid w:val="26382E7A"/>
    <w:rsid w:val="263A2B6C"/>
    <w:rsid w:val="263C1E46"/>
    <w:rsid w:val="263D5A8F"/>
    <w:rsid w:val="263D5F72"/>
    <w:rsid w:val="263F16B0"/>
    <w:rsid w:val="26410236"/>
    <w:rsid w:val="26425A45"/>
    <w:rsid w:val="264627A8"/>
    <w:rsid w:val="264A25D0"/>
    <w:rsid w:val="264C636A"/>
    <w:rsid w:val="264E443C"/>
    <w:rsid w:val="264F7292"/>
    <w:rsid w:val="2650413E"/>
    <w:rsid w:val="26505429"/>
    <w:rsid w:val="265167AB"/>
    <w:rsid w:val="26521DEA"/>
    <w:rsid w:val="2652435A"/>
    <w:rsid w:val="26527EB6"/>
    <w:rsid w:val="26551BE3"/>
    <w:rsid w:val="26554716"/>
    <w:rsid w:val="265561EE"/>
    <w:rsid w:val="265B4C4C"/>
    <w:rsid w:val="265C2277"/>
    <w:rsid w:val="265D302C"/>
    <w:rsid w:val="265E2CFF"/>
    <w:rsid w:val="265E4AAD"/>
    <w:rsid w:val="26605FFB"/>
    <w:rsid w:val="266329C3"/>
    <w:rsid w:val="26641F84"/>
    <w:rsid w:val="2665408D"/>
    <w:rsid w:val="26657A78"/>
    <w:rsid w:val="2668018F"/>
    <w:rsid w:val="26684BBB"/>
    <w:rsid w:val="266876DA"/>
    <w:rsid w:val="266958E1"/>
    <w:rsid w:val="266B1C57"/>
    <w:rsid w:val="266C303E"/>
    <w:rsid w:val="266E38D2"/>
    <w:rsid w:val="266F20C5"/>
    <w:rsid w:val="26703528"/>
    <w:rsid w:val="267036F1"/>
    <w:rsid w:val="26785FC6"/>
    <w:rsid w:val="2679147C"/>
    <w:rsid w:val="267C59DE"/>
    <w:rsid w:val="267F5D1A"/>
    <w:rsid w:val="268162BD"/>
    <w:rsid w:val="26826D43"/>
    <w:rsid w:val="2683004A"/>
    <w:rsid w:val="2685097B"/>
    <w:rsid w:val="26865DB2"/>
    <w:rsid w:val="268753A9"/>
    <w:rsid w:val="26881AC0"/>
    <w:rsid w:val="268918C3"/>
    <w:rsid w:val="268A0303"/>
    <w:rsid w:val="268B1FBB"/>
    <w:rsid w:val="268C54AA"/>
    <w:rsid w:val="268D42F7"/>
    <w:rsid w:val="269074A6"/>
    <w:rsid w:val="26921D05"/>
    <w:rsid w:val="26964247"/>
    <w:rsid w:val="269C3827"/>
    <w:rsid w:val="26A050C5"/>
    <w:rsid w:val="26A2263D"/>
    <w:rsid w:val="26A31DA5"/>
    <w:rsid w:val="26A34723"/>
    <w:rsid w:val="26A673A7"/>
    <w:rsid w:val="26A81B4E"/>
    <w:rsid w:val="26A83F7A"/>
    <w:rsid w:val="26A93DBD"/>
    <w:rsid w:val="26A96CF8"/>
    <w:rsid w:val="26AD2D58"/>
    <w:rsid w:val="26AF70B6"/>
    <w:rsid w:val="26B01D01"/>
    <w:rsid w:val="26B24DF9"/>
    <w:rsid w:val="26B268AD"/>
    <w:rsid w:val="26B537F7"/>
    <w:rsid w:val="26B83AD1"/>
    <w:rsid w:val="26BA2A03"/>
    <w:rsid w:val="26BB3CAD"/>
    <w:rsid w:val="26BB59F0"/>
    <w:rsid w:val="26BF6963"/>
    <w:rsid w:val="26C032E4"/>
    <w:rsid w:val="26C857C0"/>
    <w:rsid w:val="26CF7759"/>
    <w:rsid w:val="26D01432"/>
    <w:rsid w:val="26D34AC6"/>
    <w:rsid w:val="26D367BA"/>
    <w:rsid w:val="26D43511"/>
    <w:rsid w:val="26D542B4"/>
    <w:rsid w:val="26DB0388"/>
    <w:rsid w:val="26DB4E49"/>
    <w:rsid w:val="26DC54DA"/>
    <w:rsid w:val="26E1123A"/>
    <w:rsid w:val="26E23174"/>
    <w:rsid w:val="26E458E4"/>
    <w:rsid w:val="26E56AB4"/>
    <w:rsid w:val="26E67C3F"/>
    <w:rsid w:val="26EA27E4"/>
    <w:rsid w:val="26EF1C2D"/>
    <w:rsid w:val="26F5784F"/>
    <w:rsid w:val="26F64CE5"/>
    <w:rsid w:val="26F70488"/>
    <w:rsid w:val="26F76CD7"/>
    <w:rsid w:val="26FB67A0"/>
    <w:rsid w:val="270424BD"/>
    <w:rsid w:val="27051181"/>
    <w:rsid w:val="27074ADD"/>
    <w:rsid w:val="27086AFF"/>
    <w:rsid w:val="27092CBA"/>
    <w:rsid w:val="270946C7"/>
    <w:rsid w:val="270B4386"/>
    <w:rsid w:val="270B6785"/>
    <w:rsid w:val="270F224B"/>
    <w:rsid w:val="27120756"/>
    <w:rsid w:val="2714406E"/>
    <w:rsid w:val="27145C05"/>
    <w:rsid w:val="2715500B"/>
    <w:rsid w:val="27177B58"/>
    <w:rsid w:val="271879BD"/>
    <w:rsid w:val="271C09CA"/>
    <w:rsid w:val="271C2662"/>
    <w:rsid w:val="271E423C"/>
    <w:rsid w:val="27202195"/>
    <w:rsid w:val="27223D2C"/>
    <w:rsid w:val="27253A77"/>
    <w:rsid w:val="27257320"/>
    <w:rsid w:val="27265523"/>
    <w:rsid w:val="272A7B5E"/>
    <w:rsid w:val="272B79BF"/>
    <w:rsid w:val="272C09B3"/>
    <w:rsid w:val="272E26D1"/>
    <w:rsid w:val="27324B05"/>
    <w:rsid w:val="27327DEE"/>
    <w:rsid w:val="273432C3"/>
    <w:rsid w:val="273715BB"/>
    <w:rsid w:val="273754CA"/>
    <w:rsid w:val="27391BED"/>
    <w:rsid w:val="273C17A5"/>
    <w:rsid w:val="273C2B8C"/>
    <w:rsid w:val="27400656"/>
    <w:rsid w:val="274243CE"/>
    <w:rsid w:val="27457308"/>
    <w:rsid w:val="27457CE6"/>
    <w:rsid w:val="274A0BC1"/>
    <w:rsid w:val="274B107D"/>
    <w:rsid w:val="274D7754"/>
    <w:rsid w:val="27527201"/>
    <w:rsid w:val="27531FA3"/>
    <w:rsid w:val="27556697"/>
    <w:rsid w:val="27557FF2"/>
    <w:rsid w:val="27576187"/>
    <w:rsid w:val="275D3B45"/>
    <w:rsid w:val="275D6B12"/>
    <w:rsid w:val="275F20BD"/>
    <w:rsid w:val="27610546"/>
    <w:rsid w:val="27675BFD"/>
    <w:rsid w:val="276B20F9"/>
    <w:rsid w:val="276F01DF"/>
    <w:rsid w:val="27720A00"/>
    <w:rsid w:val="27741A6F"/>
    <w:rsid w:val="2774342E"/>
    <w:rsid w:val="277552FA"/>
    <w:rsid w:val="27762A6A"/>
    <w:rsid w:val="27765E26"/>
    <w:rsid w:val="277827FC"/>
    <w:rsid w:val="277E1619"/>
    <w:rsid w:val="277F117F"/>
    <w:rsid w:val="278038A5"/>
    <w:rsid w:val="2782182C"/>
    <w:rsid w:val="27871DE1"/>
    <w:rsid w:val="2788187A"/>
    <w:rsid w:val="278B7923"/>
    <w:rsid w:val="278E3170"/>
    <w:rsid w:val="27920BF3"/>
    <w:rsid w:val="27951737"/>
    <w:rsid w:val="2795508D"/>
    <w:rsid w:val="27962D71"/>
    <w:rsid w:val="27981819"/>
    <w:rsid w:val="279965DE"/>
    <w:rsid w:val="279A3400"/>
    <w:rsid w:val="279B3ADF"/>
    <w:rsid w:val="279C29FA"/>
    <w:rsid w:val="279C3F58"/>
    <w:rsid w:val="279D4976"/>
    <w:rsid w:val="27A0235E"/>
    <w:rsid w:val="27A14466"/>
    <w:rsid w:val="27A32D39"/>
    <w:rsid w:val="27A40BE5"/>
    <w:rsid w:val="27A47742"/>
    <w:rsid w:val="27A8017B"/>
    <w:rsid w:val="27AC5CEC"/>
    <w:rsid w:val="27B04DAB"/>
    <w:rsid w:val="27B10E77"/>
    <w:rsid w:val="27B312EA"/>
    <w:rsid w:val="27BC5F2F"/>
    <w:rsid w:val="27BF3329"/>
    <w:rsid w:val="27C13896"/>
    <w:rsid w:val="27CC4352"/>
    <w:rsid w:val="27CD3A4E"/>
    <w:rsid w:val="27D030DF"/>
    <w:rsid w:val="27D229DD"/>
    <w:rsid w:val="27D33539"/>
    <w:rsid w:val="27D475F6"/>
    <w:rsid w:val="27DC1439"/>
    <w:rsid w:val="27DD5EA5"/>
    <w:rsid w:val="27E172DB"/>
    <w:rsid w:val="27E24973"/>
    <w:rsid w:val="27E431B3"/>
    <w:rsid w:val="27E61398"/>
    <w:rsid w:val="27E86D24"/>
    <w:rsid w:val="27E930E8"/>
    <w:rsid w:val="27EA1826"/>
    <w:rsid w:val="27EA18BA"/>
    <w:rsid w:val="27EC0C1C"/>
    <w:rsid w:val="27F06FC2"/>
    <w:rsid w:val="27F31225"/>
    <w:rsid w:val="27F356C9"/>
    <w:rsid w:val="27F60BCC"/>
    <w:rsid w:val="27F76781"/>
    <w:rsid w:val="27F93DF0"/>
    <w:rsid w:val="27FA33B3"/>
    <w:rsid w:val="27FA406D"/>
    <w:rsid w:val="27FB71F4"/>
    <w:rsid w:val="27FC4264"/>
    <w:rsid w:val="27FC583D"/>
    <w:rsid w:val="27FD3378"/>
    <w:rsid w:val="28003E99"/>
    <w:rsid w:val="28007EDF"/>
    <w:rsid w:val="2801318C"/>
    <w:rsid w:val="28020864"/>
    <w:rsid w:val="28042914"/>
    <w:rsid w:val="280830DD"/>
    <w:rsid w:val="280C355A"/>
    <w:rsid w:val="280E5B93"/>
    <w:rsid w:val="28100029"/>
    <w:rsid w:val="28113CA1"/>
    <w:rsid w:val="28143DCE"/>
    <w:rsid w:val="2814474E"/>
    <w:rsid w:val="28157B9B"/>
    <w:rsid w:val="28181DFB"/>
    <w:rsid w:val="28193EEF"/>
    <w:rsid w:val="281B5982"/>
    <w:rsid w:val="281C5263"/>
    <w:rsid w:val="281C6EFA"/>
    <w:rsid w:val="28212CAA"/>
    <w:rsid w:val="28217D52"/>
    <w:rsid w:val="28237C75"/>
    <w:rsid w:val="28252FC9"/>
    <w:rsid w:val="28264DBC"/>
    <w:rsid w:val="2826784C"/>
    <w:rsid w:val="28276146"/>
    <w:rsid w:val="28281240"/>
    <w:rsid w:val="2829433D"/>
    <w:rsid w:val="282D2EAA"/>
    <w:rsid w:val="282D4C5B"/>
    <w:rsid w:val="283033C9"/>
    <w:rsid w:val="28334AE0"/>
    <w:rsid w:val="283B0F9B"/>
    <w:rsid w:val="28412892"/>
    <w:rsid w:val="284321AC"/>
    <w:rsid w:val="28456EEE"/>
    <w:rsid w:val="28463A4A"/>
    <w:rsid w:val="28466CC3"/>
    <w:rsid w:val="284866D5"/>
    <w:rsid w:val="284A157D"/>
    <w:rsid w:val="284B2E0F"/>
    <w:rsid w:val="284B72B3"/>
    <w:rsid w:val="284C26C7"/>
    <w:rsid w:val="284E0E06"/>
    <w:rsid w:val="28505519"/>
    <w:rsid w:val="28516BFB"/>
    <w:rsid w:val="285617B1"/>
    <w:rsid w:val="28565CB0"/>
    <w:rsid w:val="28596ACC"/>
    <w:rsid w:val="285D2B42"/>
    <w:rsid w:val="285E6FE6"/>
    <w:rsid w:val="28615DEC"/>
    <w:rsid w:val="286272C1"/>
    <w:rsid w:val="28691660"/>
    <w:rsid w:val="28693AB4"/>
    <w:rsid w:val="2869466F"/>
    <w:rsid w:val="286B525F"/>
    <w:rsid w:val="286D6653"/>
    <w:rsid w:val="28701A4C"/>
    <w:rsid w:val="287336B8"/>
    <w:rsid w:val="287700A8"/>
    <w:rsid w:val="28795B14"/>
    <w:rsid w:val="2879797C"/>
    <w:rsid w:val="287B3596"/>
    <w:rsid w:val="28801A1C"/>
    <w:rsid w:val="28806F6C"/>
    <w:rsid w:val="28814F20"/>
    <w:rsid w:val="288223CA"/>
    <w:rsid w:val="288248E5"/>
    <w:rsid w:val="28831186"/>
    <w:rsid w:val="2886653D"/>
    <w:rsid w:val="288B5901"/>
    <w:rsid w:val="28932352"/>
    <w:rsid w:val="2893792B"/>
    <w:rsid w:val="289B3D96"/>
    <w:rsid w:val="289B46FE"/>
    <w:rsid w:val="28A00E9D"/>
    <w:rsid w:val="28A22908"/>
    <w:rsid w:val="28A236DD"/>
    <w:rsid w:val="28A246F2"/>
    <w:rsid w:val="28A606A1"/>
    <w:rsid w:val="28A747DA"/>
    <w:rsid w:val="28A864B3"/>
    <w:rsid w:val="28B07E64"/>
    <w:rsid w:val="28B174B0"/>
    <w:rsid w:val="28B3342D"/>
    <w:rsid w:val="28B731C1"/>
    <w:rsid w:val="28B93CA4"/>
    <w:rsid w:val="28B942E4"/>
    <w:rsid w:val="28BA45D3"/>
    <w:rsid w:val="28BC3D0D"/>
    <w:rsid w:val="28BE40D2"/>
    <w:rsid w:val="28C12668"/>
    <w:rsid w:val="28C1287C"/>
    <w:rsid w:val="28C73AD3"/>
    <w:rsid w:val="28C7463C"/>
    <w:rsid w:val="28C7710B"/>
    <w:rsid w:val="28CC786B"/>
    <w:rsid w:val="28CD0EEF"/>
    <w:rsid w:val="28CD7000"/>
    <w:rsid w:val="28CE0C7F"/>
    <w:rsid w:val="28D01566"/>
    <w:rsid w:val="28D20F89"/>
    <w:rsid w:val="28D24C7D"/>
    <w:rsid w:val="28D252DE"/>
    <w:rsid w:val="28D510D6"/>
    <w:rsid w:val="28D82151"/>
    <w:rsid w:val="28D84A6E"/>
    <w:rsid w:val="28D90563"/>
    <w:rsid w:val="28DC798B"/>
    <w:rsid w:val="28DE1BEB"/>
    <w:rsid w:val="28E07756"/>
    <w:rsid w:val="28E26517"/>
    <w:rsid w:val="28E84B02"/>
    <w:rsid w:val="28EB29C2"/>
    <w:rsid w:val="28EF47C3"/>
    <w:rsid w:val="28F15BC1"/>
    <w:rsid w:val="28F235A8"/>
    <w:rsid w:val="28FD165D"/>
    <w:rsid w:val="29016925"/>
    <w:rsid w:val="2902139A"/>
    <w:rsid w:val="29057462"/>
    <w:rsid w:val="29072B7B"/>
    <w:rsid w:val="290817D7"/>
    <w:rsid w:val="29092BB0"/>
    <w:rsid w:val="290A0F1C"/>
    <w:rsid w:val="290A24FA"/>
    <w:rsid w:val="290C63C8"/>
    <w:rsid w:val="290E1C11"/>
    <w:rsid w:val="2916400A"/>
    <w:rsid w:val="291833B1"/>
    <w:rsid w:val="29193817"/>
    <w:rsid w:val="291B37FE"/>
    <w:rsid w:val="291C6606"/>
    <w:rsid w:val="291F125C"/>
    <w:rsid w:val="29231FDE"/>
    <w:rsid w:val="292567A3"/>
    <w:rsid w:val="29257B04"/>
    <w:rsid w:val="29260FCF"/>
    <w:rsid w:val="2927139B"/>
    <w:rsid w:val="29290A3E"/>
    <w:rsid w:val="292B0441"/>
    <w:rsid w:val="292E4C0A"/>
    <w:rsid w:val="29301186"/>
    <w:rsid w:val="2935652B"/>
    <w:rsid w:val="293641E5"/>
    <w:rsid w:val="2936586D"/>
    <w:rsid w:val="29371CFA"/>
    <w:rsid w:val="293863CA"/>
    <w:rsid w:val="293A674B"/>
    <w:rsid w:val="293C3C55"/>
    <w:rsid w:val="293C40C5"/>
    <w:rsid w:val="293F67E2"/>
    <w:rsid w:val="294423CE"/>
    <w:rsid w:val="294B522A"/>
    <w:rsid w:val="294D1FF0"/>
    <w:rsid w:val="294F692F"/>
    <w:rsid w:val="295403E9"/>
    <w:rsid w:val="295977AD"/>
    <w:rsid w:val="29600B3C"/>
    <w:rsid w:val="29616EE5"/>
    <w:rsid w:val="29617949"/>
    <w:rsid w:val="29630DE1"/>
    <w:rsid w:val="29741E6F"/>
    <w:rsid w:val="2975161B"/>
    <w:rsid w:val="297B4554"/>
    <w:rsid w:val="297E2D89"/>
    <w:rsid w:val="297E6092"/>
    <w:rsid w:val="29815870"/>
    <w:rsid w:val="298252D6"/>
    <w:rsid w:val="29827170"/>
    <w:rsid w:val="29827AF3"/>
    <w:rsid w:val="29846F05"/>
    <w:rsid w:val="29866E77"/>
    <w:rsid w:val="298A03C7"/>
    <w:rsid w:val="298C4FDE"/>
    <w:rsid w:val="298E2223"/>
    <w:rsid w:val="298E5928"/>
    <w:rsid w:val="298F39F4"/>
    <w:rsid w:val="29901C36"/>
    <w:rsid w:val="2992527F"/>
    <w:rsid w:val="29930F11"/>
    <w:rsid w:val="29937085"/>
    <w:rsid w:val="299370B1"/>
    <w:rsid w:val="29943481"/>
    <w:rsid w:val="29974FDC"/>
    <w:rsid w:val="29977BD0"/>
    <w:rsid w:val="29992C4D"/>
    <w:rsid w:val="299A5C74"/>
    <w:rsid w:val="299B0C39"/>
    <w:rsid w:val="299B2C5B"/>
    <w:rsid w:val="299D65DA"/>
    <w:rsid w:val="299D769A"/>
    <w:rsid w:val="299E22EA"/>
    <w:rsid w:val="29A172BF"/>
    <w:rsid w:val="29A22F02"/>
    <w:rsid w:val="29AB4140"/>
    <w:rsid w:val="29AB4524"/>
    <w:rsid w:val="29B03871"/>
    <w:rsid w:val="29B36470"/>
    <w:rsid w:val="29B6120E"/>
    <w:rsid w:val="29BB05EE"/>
    <w:rsid w:val="29BB12DF"/>
    <w:rsid w:val="29BC0A6C"/>
    <w:rsid w:val="29BD784F"/>
    <w:rsid w:val="29BE22CF"/>
    <w:rsid w:val="29C0782D"/>
    <w:rsid w:val="29C07A49"/>
    <w:rsid w:val="29C26D69"/>
    <w:rsid w:val="29C31A99"/>
    <w:rsid w:val="29C4731D"/>
    <w:rsid w:val="29C81F87"/>
    <w:rsid w:val="29C9356B"/>
    <w:rsid w:val="29CB14DD"/>
    <w:rsid w:val="29CD0BE6"/>
    <w:rsid w:val="29CF3359"/>
    <w:rsid w:val="29CF390F"/>
    <w:rsid w:val="29D04EE7"/>
    <w:rsid w:val="29D05CC2"/>
    <w:rsid w:val="29D778DF"/>
    <w:rsid w:val="29D92DDC"/>
    <w:rsid w:val="29DA08EE"/>
    <w:rsid w:val="29DB05EB"/>
    <w:rsid w:val="29E4095D"/>
    <w:rsid w:val="29E96D83"/>
    <w:rsid w:val="29EC20B3"/>
    <w:rsid w:val="29ED1ABA"/>
    <w:rsid w:val="29EE7A91"/>
    <w:rsid w:val="29EE7EF6"/>
    <w:rsid w:val="29F169A3"/>
    <w:rsid w:val="29F22840"/>
    <w:rsid w:val="29F24529"/>
    <w:rsid w:val="29F31D30"/>
    <w:rsid w:val="29F47AC1"/>
    <w:rsid w:val="29F47AD8"/>
    <w:rsid w:val="29F911A1"/>
    <w:rsid w:val="29F943FE"/>
    <w:rsid w:val="29FA0F90"/>
    <w:rsid w:val="29FC6F26"/>
    <w:rsid w:val="29FE7992"/>
    <w:rsid w:val="29FF23D6"/>
    <w:rsid w:val="2A0000BA"/>
    <w:rsid w:val="2A031BF8"/>
    <w:rsid w:val="2A077209"/>
    <w:rsid w:val="2A0A2FB7"/>
    <w:rsid w:val="2A0A67CB"/>
    <w:rsid w:val="2A0C72AA"/>
    <w:rsid w:val="2A0E01D3"/>
    <w:rsid w:val="2A10017D"/>
    <w:rsid w:val="2A106CEB"/>
    <w:rsid w:val="2A111E36"/>
    <w:rsid w:val="2A11529A"/>
    <w:rsid w:val="2A127EDC"/>
    <w:rsid w:val="2A1D315E"/>
    <w:rsid w:val="2A1D3313"/>
    <w:rsid w:val="2A1F0D01"/>
    <w:rsid w:val="2A224043"/>
    <w:rsid w:val="2A25677B"/>
    <w:rsid w:val="2A257775"/>
    <w:rsid w:val="2A2B114A"/>
    <w:rsid w:val="2A2F6C47"/>
    <w:rsid w:val="2A334FE6"/>
    <w:rsid w:val="2A396F45"/>
    <w:rsid w:val="2A3C4F67"/>
    <w:rsid w:val="2A3F39B4"/>
    <w:rsid w:val="2A3F4408"/>
    <w:rsid w:val="2A3F76D7"/>
    <w:rsid w:val="2A417165"/>
    <w:rsid w:val="2A4346E5"/>
    <w:rsid w:val="2A467D32"/>
    <w:rsid w:val="2A48451A"/>
    <w:rsid w:val="2A4B4C4B"/>
    <w:rsid w:val="2A4C1DA2"/>
    <w:rsid w:val="2A4E1E0C"/>
    <w:rsid w:val="2A5301BB"/>
    <w:rsid w:val="2A53196C"/>
    <w:rsid w:val="2A5632BA"/>
    <w:rsid w:val="2A5A3DCA"/>
    <w:rsid w:val="2A5A558B"/>
    <w:rsid w:val="2A5C1E01"/>
    <w:rsid w:val="2A5D1CE6"/>
    <w:rsid w:val="2A5E015A"/>
    <w:rsid w:val="2A602374"/>
    <w:rsid w:val="2A64465C"/>
    <w:rsid w:val="2A65451B"/>
    <w:rsid w:val="2A66573A"/>
    <w:rsid w:val="2A6A4A85"/>
    <w:rsid w:val="2A6B27C4"/>
    <w:rsid w:val="2A6C4C05"/>
    <w:rsid w:val="2A701253"/>
    <w:rsid w:val="2A7522B0"/>
    <w:rsid w:val="2A775238"/>
    <w:rsid w:val="2A776ADB"/>
    <w:rsid w:val="2A796685"/>
    <w:rsid w:val="2A7B21DE"/>
    <w:rsid w:val="2A7D7667"/>
    <w:rsid w:val="2A8042F3"/>
    <w:rsid w:val="2A8249EA"/>
    <w:rsid w:val="2A846D98"/>
    <w:rsid w:val="2A8675BA"/>
    <w:rsid w:val="2A88031D"/>
    <w:rsid w:val="2A8915FC"/>
    <w:rsid w:val="2A8A3B98"/>
    <w:rsid w:val="2A8A4081"/>
    <w:rsid w:val="2A8A76D4"/>
    <w:rsid w:val="2A8C2373"/>
    <w:rsid w:val="2A8D770F"/>
    <w:rsid w:val="2A903F3E"/>
    <w:rsid w:val="2A911B76"/>
    <w:rsid w:val="2A993CEC"/>
    <w:rsid w:val="2A9B0E68"/>
    <w:rsid w:val="2A9C5BA4"/>
    <w:rsid w:val="2A9E7B6E"/>
    <w:rsid w:val="2A9F7442"/>
    <w:rsid w:val="2AA053D3"/>
    <w:rsid w:val="2AA210AA"/>
    <w:rsid w:val="2AA64C74"/>
    <w:rsid w:val="2AA809EC"/>
    <w:rsid w:val="2AAA5685"/>
    <w:rsid w:val="2AAA7BA1"/>
    <w:rsid w:val="2AAB212A"/>
    <w:rsid w:val="2AAD3909"/>
    <w:rsid w:val="2AAD4DE0"/>
    <w:rsid w:val="2AAF0CCC"/>
    <w:rsid w:val="2AB23619"/>
    <w:rsid w:val="2AB37BEB"/>
    <w:rsid w:val="2AB43FE7"/>
    <w:rsid w:val="2AB61CF8"/>
    <w:rsid w:val="2AB638DA"/>
    <w:rsid w:val="2AB7478C"/>
    <w:rsid w:val="2AB815FA"/>
    <w:rsid w:val="2ABC0DA7"/>
    <w:rsid w:val="2AC06748"/>
    <w:rsid w:val="2AC12166"/>
    <w:rsid w:val="2AC17D6C"/>
    <w:rsid w:val="2AC23DD4"/>
    <w:rsid w:val="2AC45B74"/>
    <w:rsid w:val="2AC82E3D"/>
    <w:rsid w:val="2AC83C3E"/>
    <w:rsid w:val="2ACB5CCA"/>
    <w:rsid w:val="2ACC71A4"/>
    <w:rsid w:val="2ACE7C22"/>
    <w:rsid w:val="2ACF443A"/>
    <w:rsid w:val="2ACF55A8"/>
    <w:rsid w:val="2AD00E92"/>
    <w:rsid w:val="2AD27817"/>
    <w:rsid w:val="2AD510B6"/>
    <w:rsid w:val="2AD72BD7"/>
    <w:rsid w:val="2ADA74B8"/>
    <w:rsid w:val="2ADB161A"/>
    <w:rsid w:val="2ADF3CE2"/>
    <w:rsid w:val="2ADF5544"/>
    <w:rsid w:val="2AE1465E"/>
    <w:rsid w:val="2AE412F9"/>
    <w:rsid w:val="2AE52F54"/>
    <w:rsid w:val="2AE6435A"/>
    <w:rsid w:val="2AEA2E66"/>
    <w:rsid w:val="2AEC1795"/>
    <w:rsid w:val="2AED3CDA"/>
    <w:rsid w:val="2AED6FB6"/>
    <w:rsid w:val="2AF03EA0"/>
    <w:rsid w:val="2AF07C9E"/>
    <w:rsid w:val="2AF24FBD"/>
    <w:rsid w:val="2AF3120F"/>
    <w:rsid w:val="2AFB4FCE"/>
    <w:rsid w:val="2AFB66EE"/>
    <w:rsid w:val="2AFB7B1F"/>
    <w:rsid w:val="2AFE060C"/>
    <w:rsid w:val="2AFF1E1F"/>
    <w:rsid w:val="2B017743"/>
    <w:rsid w:val="2B02448C"/>
    <w:rsid w:val="2B026E61"/>
    <w:rsid w:val="2B057BED"/>
    <w:rsid w:val="2B0C2F93"/>
    <w:rsid w:val="2B0F3150"/>
    <w:rsid w:val="2B1008E9"/>
    <w:rsid w:val="2B110343"/>
    <w:rsid w:val="2B112E65"/>
    <w:rsid w:val="2B22254D"/>
    <w:rsid w:val="2B2253B5"/>
    <w:rsid w:val="2B22542D"/>
    <w:rsid w:val="2B233BF4"/>
    <w:rsid w:val="2B237879"/>
    <w:rsid w:val="2B2B2C64"/>
    <w:rsid w:val="2B2B4324"/>
    <w:rsid w:val="2B2D1B46"/>
    <w:rsid w:val="2B320534"/>
    <w:rsid w:val="2B322F74"/>
    <w:rsid w:val="2B3240CA"/>
    <w:rsid w:val="2B324CAE"/>
    <w:rsid w:val="2B3260B1"/>
    <w:rsid w:val="2B345E58"/>
    <w:rsid w:val="2B371D32"/>
    <w:rsid w:val="2B383644"/>
    <w:rsid w:val="2B400888"/>
    <w:rsid w:val="2B400C25"/>
    <w:rsid w:val="2B411080"/>
    <w:rsid w:val="2B451FAB"/>
    <w:rsid w:val="2B455813"/>
    <w:rsid w:val="2B4632FB"/>
    <w:rsid w:val="2B496BF1"/>
    <w:rsid w:val="2B4C0426"/>
    <w:rsid w:val="2B4C7FF1"/>
    <w:rsid w:val="2B4F2EB5"/>
    <w:rsid w:val="2B5564E3"/>
    <w:rsid w:val="2B567FC0"/>
    <w:rsid w:val="2B595843"/>
    <w:rsid w:val="2B5D0C4B"/>
    <w:rsid w:val="2B5D5D69"/>
    <w:rsid w:val="2B5E2ABB"/>
    <w:rsid w:val="2B6131BB"/>
    <w:rsid w:val="2B620383"/>
    <w:rsid w:val="2B620444"/>
    <w:rsid w:val="2B66646D"/>
    <w:rsid w:val="2B6922CC"/>
    <w:rsid w:val="2B710417"/>
    <w:rsid w:val="2B7147FB"/>
    <w:rsid w:val="2B731E6F"/>
    <w:rsid w:val="2B733BFA"/>
    <w:rsid w:val="2B756C92"/>
    <w:rsid w:val="2B7743FF"/>
    <w:rsid w:val="2B801885"/>
    <w:rsid w:val="2B810700"/>
    <w:rsid w:val="2B871975"/>
    <w:rsid w:val="2B8E7BD8"/>
    <w:rsid w:val="2B914308"/>
    <w:rsid w:val="2B920E72"/>
    <w:rsid w:val="2B9710A5"/>
    <w:rsid w:val="2B97160E"/>
    <w:rsid w:val="2B986D37"/>
    <w:rsid w:val="2B9A1336"/>
    <w:rsid w:val="2B9E22B8"/>
    <w:rsid w:val="2B9F0D41"/>
    <w:rsid w:val="2B9F3B9D"/>
    <w:rsid w:val="2B9F5C77"/>
    <w:rsid w:val="2BA20BBA"/>
    <w:rsid w:val="2BA94A1C"/>
    <w:rsid w:val="2BAA2911"/>
    <w:rsid w:val="2BB0186A"/>
    <w:rsid w:val="2BB05500"/>
    <w:rsid w:val="2BB21C87"/>
    <w:rsid w:val="2BB37649"/>
    <w:rsid w:val="2BB804D8"/>
    <w:rsid w:val="2BC74EA2"/>
    <w:rsid w:val="2BCA04EF"/>
    <w:rsid w:val="2BCA25F3"/>
    <w:rsid w:val="2BCA4992"/>
    <w:rsid w:val="2BCB017A"/>
    <w:rsid w:val="2BCE1D39"/>
    <w:rsid w:val="2BCF1FA9"/>
    <w:rsid w:val="2BCF797D"/>
    <w:rsid w:val="2BD11C26"/>
    <w:rsid w:val="2BD140EA"/>
    <w:rsid w:val="2BD44EDD"/>
    <w:rsid w:val="2BD91C86"/>
    <w:rsid w:val="2BDA2547"/>
    <w:rsid w:val="2BDA6C77"/>
    <w:rsid w:val="2BDB094E"/>
    <w:rsid w:val="2BE048B9"/>
    <w:rsid w:val="2BE05F64"/>
    <w:rsid w:val="2BE1058A"/>
    <w:rsid w:val="2BE20377"/>
    <w:rsid w:val="2BE213E3"/>
    <w:rsid w:val="2BE406A0"/>
    <w:rsid w:val="2BE408E7"/>
    <w:rsid w:val="2BE81F12"/>
    <w:rsid w:val="2BE946A2"/>
    <w:rsid w:val="2BEC4909"/>
    <w:rsid w:val="2BED37C5"/>
    <w:rsid w:val="2BF04284"/>
    <w:rsid w:val="2BF52C5B"/>
    <w:rsid w:val="2BF9048C"/>
    <w:rsid w:val="2BF96001"/>
    <w:rsid w:val="2BFA0DD4"/>
    <w:rsid w:val="2BFA2CA5"/>
    <w:rsid w:val="2BFB2D9E"/>
    <w:rsid w:val="2BFC011B"/>
    <w:rsid w:val="2BFC07F2"/>
    <w:rsid w:val="2BFD20B9"/>
    <w:rsid w:val="2BFF16C1"/>
    <w:rsid w:val="2C0356F1"/>
    <w:rsid w:val="2C040A80"/>
    <w:rsid w:val="2C047EA4"/>
    <w:rsid w:val="2C0561C1"/>
    <w:rsid w:val="2C092FD8"/>
    <w:rsid w:val="2C09480C"/>
    <w:rsid w:val="2C134385"/>
    <w:rsid w:val="2C155C0E"/>
    <w:rsid w:val="2C160F16"/>
    <w:rsid w:val="2C161678"/>
    <w:rsid w:val="2C16669B"/>
    <w:rsid w:val="2C181352"/>
    <w:rsid w:val="2C186781"/>
    <w:rsid w:val="2C1B6A7A"/>
    <w:rsid w:val="2C1F23F7"/>
    <w:rsid w:val="2C227DAF"/>
    <w:rsid w:val="2C2644FF"/>
    <w:rsid w:val="2C284379"/>
    <w:rsid w:val="2C390B3E"/>
    <w:rsid w:val="2C3A38C6"/>
    <w:rsid w:val="2C4047CC"/>
    <w:rsid w:val="2C42472D"/>
    <w:rsid w:val="2C463468"/>
    <w:rsid w:val="2C4A06F9"/>
    <w:rsid w:val="2C4A407F"/>
    <w:rsid w:val="2C4A5A28"/>
    <w:rsid w:val="2C4A75ED"/>
    <w:rsid w:val="2C4D6498"/>
    <w:rsid w:val="2C4F4C4A"/>
    <w:rsid w:val="2C5032C8"/>
    <w:rsid w:val="2C5069B9"/>
    <w:rsid w:val="2C532937"/>
    <w:rsid w:val="2C533F8D"/>
    <w:rsid w:val="2C581EC7"/>
    <w:rsid w:val="2C6157FB"/>
    <w:rsid w:val="2C642F8C"/>
    <w:rsid w:val="2C646F21"/>
    <w:rsid w:val="2C657FCC"/>
    <w:rsid w:val="2C660D94"/>
    <w:rsid w:val="2C6900DF"/>
    <w:rsid w:val="2C6B0363"/>
    <w:rsid w:val="2C6C35FF"/>
    <w:rsid w:val="2C74066F"/>
    <w:rsid w:val="2C743BDD"/>
    <w:rsid w:val="2C757847"/>
    <w:rsid w:val="2C781C69"/>
    <w:rsid w:val="2C7B66AC"/>
    <w:rsid w:val="2C7E1477"/>
    <w:rsid w:val="2C7E592F"/>
    <w:rsid w:val="2C81735D"/>
    <w:rsid w:val="2C823618"/>
    <w:rsid w:val="2C8243FE"/>
    <w:rsid w:val="2C825CBC"/>
    <w:rsid w:val="2C855616"/>
    <w:rsid w:val="2C870E25"/>
    <w:rsid w:val="2C8965FC"/>
    <w:rsid w:val="2C8C4404"/>
    <w:rsid w:val="2C9254B0"/>
    <w:rsid w:val="2C934AB1"/>
    <w:rsid w:val="2C946880"/>
    <w:rsid w:val="2C963139"/>
    <w:rsid w:val="2C9805ED"/>
    <w:rsid w:val="2C98683F"/>
    <w:rsid w:val="2C9E3670"/>
    <w:rsid w:val="2CA246E6"/>
    <w:rsid w:val="2CA376BD"/>
    <w:rsid w:val="2CA37E2A"/>
    <w:rsid w:val="2CA864DD"/>
    <w:rsid w:val="2CA95249"/>
    <w:rsid w:val="2CA95A59"/>
    <w:rsid w:val="2CAB5AB7"/>
    <w:rsid w:val="2CAE7E10"/>
    <w:rsid w:val="2CAF5E03"/>
    <w:rsid w:val="2CB05936"/>
    <w:rsid w:val="2CB155DC"/>
    <w:rsid w:val="2CB30023"/>
    <w:rsid w:val="2CB376CC"/>
    <w:rsid w:val="2CB41FE0"/>
    <w:rsid w:val="2CB5119F"/>
    <w:rsid w:val="2CB73169"/>
    <w:rsid w:val="2CBA55C3"/>
    <w:rsid w:val="2CBB0A3C"/>
    <w:rsid w:val="2CBB21F3"/>
    <w:rsid w:val="2CBC6D61"/>
    <w:rsid w:val="2CBE6699"/>
    <w:rsid w:val="2CBF5469"/>
    <w:rsid w:val="2CC01041"/>
    <w:rsid w:val="2CC05405"/>
    <w:rsid w:val="2CC23042"/>
    <w:rsid w:val="2CC32E65"/>
    <w:rsid w:val="2CC40194"/>
    <w:rsid w:val="2CC633AC"/>
    <w:rsid w:val="2CC961F6"/>
    <w:rsid w:val="2CCB594F"/>
    <w:rsid w:val="2CCF22A3"/>
    <w:rsid w:val="2CD258AD"/>
    <w:rsid w:val="2CD409F1"/>
    <w:rsid w:val="2CD567AE"/>
    <w:rsid w:val="2CD7457D"/>
    <w:rsid w:val="2CE128E7"/>
    <w:rsid w:val="2CE43832"/>
    <w:rsid w:val="2CE774CF"/>
    <w:rsid w:val="2CE80378"/>
    <w:rsid w:val="2CEB4601"/>
    <w:rsid w:val="2CEC1852"/>
    <w:rsid w:val="2CEE645F"/>
    <w:rsid w:val="2CF20C00"/>
    <w:rsid w:val="2CF27D6E"/>
    <w:rsid w:val="2CF3049A"/>
    <w:rsid w:val="2CF4616C"/>
    <w:rsid w:val="2CF62EBF"/>
    <w:rsid w:val="2CF63A4E"/>
    <w:rsid w:val="2CFD0613"/>
    <w:rsid w:val="2D0008A2"/>
    <w:rsid w:val="2D03420D"/>
    <w:rsid w:val="2D046867"/>
    <w:rsid w:val="2D047A30"/>
    <w:rsid w:val="2D052BBD"/>
    <w:rsid w:val="2D067921"/>
    <w:rsid w:val="2D073B24"/>
    <w:rsid w:val="2D076635"/>
    <w:rsid w:val="2D077E77"/>
    <w:rsid w:val="2D093859"/>
    <w:rsid w:val="2D094618"/>
    <w:rsid w:val="2D0A14EA"/>
    <w:rsid w:val="2D0A5E6F"/>
    <w:rsid w:val="2D0C395D"/>
    <w:rsid w:val="2D0D0E29"/>
    <w:rsid w:val="2D0D36B6"/>
    <w:rsid w:val="2D113FD1"/>
    <w:rsid w:val="2D117E87"/>
    <w:rsid w:val="2D1331F2"/>
    <w:rsid w:val="2D1672BD"/>
    <w:rsid w:val="2D181915"/>
    <w:rsid w:val="2D1B36F8"/>
    <w:rsid w:val="2D1C667C"/>
    <w:rsid w:val="2D1F51C0"/>
    <w:rsid w:val="2D216834"/>
    <w:rsid w:val="2D27217A"/>
    <w:rsid w:val="2D286629"/>
    <w:rsid w:val="2D2B1461"/>
    <w:rsid w:val="2D2B320F"/>
    <w:rsid w:val="2D2B4AE5"/>
    <w:rsid w:val="2D322E67"/>
    <w:rsid w:val="2D3252A7"/>
    <w:rsid w:val="2D332FD8"/>
    <w:rsid w:val="2D34709F"/>
    <w:rsid w:val="2D384C14"/>
    <w:rsid w:val="2D385058"/>
    <w:rsid w:val="2D397B30"/>
    <w:rsid w:val="2D4114FA"/>
    <w:rsid w:val="2D485B6F"/>
    <w:rsid w:val="2D490419"/>
    <w:rsid w:val="2D4A2852"/>
    <w:rsid w:val="2D4B60C5"/>
    <w:rsid w:val="2D4C1B03"/>
    <w:rsid w:val="2D4C30D8"/>
    <w:rsid w:val="2D4D3CEA"/>
    <w:rsid w:val="2D4E128C"/>
    <w:rsid w:val="2D4E2249"/>
    <w:rsid w:val="2D500BE8"/>
    <w:rsid w:val="2D507025"/>
    <w:rsid w:val="2D5704A8"/>
    <w:rsid w:val="2D57339D"/>
    <w:rsid w:val="2D58588B"/>
    <w:rsid w:val="2D590427"/>
    <w:rsid w:val="2D5A4EE0"/>
    <w:rsid w:val="2D5D6367"/>
    <w:rsid w:val="2D5F4F35"/>
    <w:rsid w:val="2D601BFF"/>
    <w:rsid w:val="2D677229"/>
    <w:rsid w:val="2D761817"/>
    <w:rsid w:val="2D776B6B"/>
    <w:rsid w:val="2D79041E"/>
    <w:rsid w:val="2D7C3712"/>
    <w:rsid w:val="2D7C3A6A"/>
    <w:rsid w:val="2D7D64C6"/>
    <w:rsid w:val="2D7E15C5"/>
    <w:rsid w:val="2D7E77E3"/>
    <w:rsid w:val="2D7F0974"/>
    <w:rsid w:val="2D7F711E"/>
    <w:rsid w:val="2D805FC4"/>
    <w:rsid w:val="2D8079FF"/>
    <w:rsid w:val="2D834DF9"/>
    <w:rsid w:val="2D856DC3"/>
    <w:rsid w:val="2D8828F9"/>
    <w:rsid w:val="2D8A1297"/>
    <w:rsid w:val="2D923707"/>
    <w:rsid w:val="2D934476"/>
    <w:rsid w:val="2D945258"/>
    <w:rsid w:val="2D956230"/>
    <w:rsid w:val="2D967FC7"/>
    <w:rsid w:val="2D9769D7"/>
    <w:rsid w:val="2D9855AA"/>
    <w:rsid w:val="2D986AF6"/>
    <w:rsid w:val="2D9A5B20"/>
    <w:rsid w:val="2D9D7584"/>
    <w:rsid w:val="2DA0414B"/>
    <w:rsid w:val="2DA211F4"/>
    <w:rsid w:val="2DA21C90"/>
    <w:rsid w:val="2DA66D1D"/>
    <w:rsid w:val="2DB4238F"/>
    <w:rsid w:val="2DB7083A"/>
    <w:rsid w:val="2DBC5231"/>
    <w:rsid w:val="2DC63DFF"/>
    <w:rsid w:val="2DC66C9F"/>
    <w:rsid w:val="2DC727D9"/>
    <w:rsid w:val="2DCA65B0"/>
    <w:rsid w:val="2DCE4B33"/>
    <w:rsid w:val="2DD00881"/>
    <w:rsid w:val="2DD02422"/>
    <w:rsid w:val="2DD02A6D"/>
    <w:rsid w:val="2DD04A0F"/>
    <w:rsid w:val="2DD1218E"/>
    <w:rsid w:val="2DDA61FF"/>
    <w:rsid w:val="2DDB3571"/>
    <w:rsid w:val="2DDD47BF"/>
    <w:rsid w:val="2DDF24D4"/>
    <w:rsid w:val="2DDF4725"/>
    <w:rsid w:val="2DE25FC3"/>
    <w:rsid w:val="2DE37F6B"/>
    <w:rsid w:val="2DE906FD"/>
    <w:rsid w:val="2DE955A4"/>
    <w:rsid w:val="2DEC6E42"/>
    <w:rsid w:val="2DEE4968"/>
    <w:rsid w:val="2DEE54AD"/>
    <w:rsid w:val="2DF36ECD"/>
    <w:rsid w:val="2DF6502F"/>
    <w:rsid w:val="2DF7711A"/>
    <w:rsid w:val="2DF81343"/>
    <w:rsid w:val="2DFC2A7D"/>
    <w:rsid w:val="2DFC68EC"/>
    <w:rsid w:val="2DFE26D1"/>
    <w:rsid w:val="2E0265F2"/>
    <w:rsid w:val="2E032FF4"/>
    <w:rsid w:val="2E0974D4"/>
    <w:rsid w:val="2E0979F4"/>
    <w:rsid w:val="2E0A551A"/>
    <w:rsid w:val="2E0D0382"/>
    <w:rsid w:val="2E0D29F7"/>
    <w:rsid w:val="2E0F337C"/>
    <w:rsid w:val="2E1168A9"/>
    <w:rsid w:val="2E1343CF"/>
    <w:rsid w:val="2E171EE4"/>
    <w:rsid w:val="2E1778CE"/>
    <w:rsid w:val="2E223D5F"/>
    <w:rsid w:val="2E2376DA"/>
    <w:rsid w:val="2E246D5C"/>
    <w:rsid w:val="2E264A4D"/>
    <w:rsid w:val="2E2A76AB"/>
    <w:rsid w:val="2E2D4BB0"/>
    <w:rsid w:val="2E304F81"/>
    <w:rsid w:val="2E330E03"/>
    <w:rsid w:val="2E3335ED"/>
    <w:rsid w:val="2E35102B"/>
    <w:rsid w:val="2E35154B"/>
    <w:rsid w:val="2E372EE9"/>
    <w:rsid w:val="2E381580"/>
    <w:rsid w:val="2E3F1B98"/>
    <w:rsid w:val="2E422F06"/>
    <w:rsid w:val="2E446289"/>
    <w:rsid w:val="2E4769FA"/>
    <w:rsid w:val="2E4B167D"/>
    <w:rsid w:val="2E4D35E1"/>
    <w:rsid w:val="2E51112E"/>
    <w:rsid w:val="2E541BB2"/>
    <w:rsid w:val="2E5506CC"/>
    <w:rsid w:val="2E581484"/>
    <w:rsid w:val="2E5D564A"/>
    <w:rsid w:val="2E5E0675"/>
    <w:rsid w:val="2E6248C1"/>
    <w:rsid w:val="2E652751"/>
    <w:rsid w:val="2E660EB2"/>
    <w:rsid w:val="2E675EFF"/>
    <w:rsid w:val="2E693F13"/>
    <w:rsid w:val="2E6D62BA"/>
    <w:rsid w:val="2E701821"/>
    <w:rsid w:val="2E731311"/>
    <w:rsid w:val="2E743A4E"/>
    <w:rsid w:val="2E747EC0"/>
    <w:rsid w:val="2E753313"/>
    <w:rsid w:val="2E7653E4"/>
    <w:rsid w:val="2E77532F"/>
    <w:rsid w:val="2E7B5FF2"/>
    <w:rsid w:val="2E80154D"/>
    <w:rsid w:val="2E835C24"/>
    <w:rsid w:val="2E866557"/>
    <w:rsid w:val="2E883A4F"/>
    <w:rsid w:val="2E8C2A38"/>
    <w:rsid w:val="2E8E1CA7"/>
    <w:rsid w:val="2E914B1C"/>
    <w:rsid w:val="2E9255E9"/>
    <w:rsid w:val="2E954DE4"/>
    <w:rsid w:val="2E992048"/>
    <w:rsid w:val="2E9C2616"/>
    <w:rsid w:val="2E9D0C90"/>
    <w:rsid w:val="2E9D36A9"/>
    <w:rsid w:val="2E9F55FB"/>
    <w:rsid w:val="2EA13FA6"/>
    <w:rsid w:val="2EB931C8"/>
    <w:rsid w:val="2EBA4F4A"/>
    <w:rsid w:val="2EBE2BC7"/>
    <w:rsid w:val="2EC5452D"/>
    <w:rsid w:val="2EC62329"/>
    <w:rsid w:val="2ECA08DB"/>
    <w:rsid w:val="2ECB5686"/>
    <w:rsid w:val="2ECC254B"/>
    <w:rsid w:val="2ECC2782"/>
    <w:rsid w:val="2ED1135B"/>
    <w:rsid w:val="2ED27C0C"/>
    <w:rsid w:val="2ED52B51"/>
    <w:rsid w:val="2ED52EBC"/>
    <w:rsid w:val="2ED67FE6"/>
    <w:rsid w:val="2ED80338"/>
    <w:rsid w:val="2EDA0ADA"/>
    <w:rsid w:val="2EDF0755"/>
    <w:rsid w:val="2EDF69A7"/>
    <w:rsid w:val="2EE205AD"/>
    <w:rsid w:val="2EE61BA3"/>
    <w:rsid w:val="2EE7404E"/>
    <w:rsid w:val="2EE91FB0"/>
    <w:rsid w:val="2EF030B9"/>
    <w:rsid w:val="2EF0789F"/>
    <w:rsid w:val="2EF31870"/>
    <w:rsid w:val="2EF567CD"/>
    <w:rsid w:val="2EF83BB4"/>
    <w:rsid w:val="2EF84F00"/>
    <w:rsid w:val="2EFA6EB3"/>
    <w:rsid w:val="2F001197"/>
    <w:rsid w:val="2F013082"/>
    <w:rsid w:val="2F030DBB"/>
    <w:rsid w:val="2F032008"/>
    <w:rsid w:val="2F044A53"/>
    <w:rsid w:val="2F046B74"/>
    <w:rsid w:val="2F067A90"/>
    <w:rsid w:val="2F0A0A37"/>
    <w:rsid w:val="2F0D19B3"/>
    <w:rsid w:val="2F0F64BF"/>
    <w:rsid w:val="2F104DB2"/>
    <w:rsid w:val="2F126434"/>
    <w:rsid w:val="2F1526D4"/>
    <w:rsid w:val="2F1555DA"/>
    <w:rsid w:val="2F177F34"/>
    <w:rsid w:val="2F1946CD"/>
    <w:rsid w:val="2F1A5BB2"/>
    <w:rsid w:val="2F1A68FC"/>
    <w:rsid w:val="2F1E5623"/>
    <w:rsid w:val="2F1F0B51"/>
    <w:rsid w:val="2F1F2366"/>
    <w:rsid w:val="2F232A39"/>
    <w:rsid w:val="2F261D4F"/>
    <w:rsid w:val="2F2C7FA2"/>
    <w:rsid w:val="2F2D4557"/>
    <w:rsid w:val="2F306C81"/>
    <w:rsid w:val="2F307202"/>
    <w:rsid w:val="2F307DD8"/>
    <w:rsid w:val="2F3165B5"/>
    <w:rsid w:val="2F326AD7"/>
    <w:rsid w:val="2F331211"/>
    <w:rsid w:val="2F37233F"/>
    <w:rsid w:val="2F38535E"/>
    <w:rsid w:val="2F38589F"/>
    <w:rsid w:val="2F3960B7"/>
    <w:rsid w:val="2F3E25D5"/>
    <w:rsid w:val="2F3E7229"/>
    <w:rsid w:val="2F450711"/>
    <w:rsid w:val="2F4963D7"/>
    <w:rsid w:val="2F4A06DF"/>
    <w:rsid w:val="2F4F3166"/>
    <w:rsid w:val="2F544C9F"/>
    <w:rsid w:val="2F556569"/>
    <w:rsid w:val="2F5831B9"/>
    <w:rsid w:val="2F5A1798"/>
    <w:rsid w:val="2F5B602D"/>
    <w:rsid w:val="2F5C3B54"/>
    <w:rsid w:val="2F693540"/>
    <w:rsid w:val="2F6A2098"/>
    <w:rsid w:val="2F6A2714"/>
    <w:rsid w:val="2F6A6270"/>
    <w:rsid w:val="2F720653"/>
    <w:rsid w:val="2F740DDF"/>
    <w:rsid w:val="2F750B5E"/>
    <w:rsid w:val="2F75797B"/>
    <w:rsid w:val="2F7662CF"/>
    <w:rsid w:val="2F767D5E"/>
    <w:rsid w:val="2F776BDF"/>
    <w:rsid w:val="2F79763D"/>
    <w:rsid w:val="2F7A1780"/>
    <w:rsid w:val="2F7A2912"/>
    <w:rsid w:val="2F7B4064"/>
    <w:rsid w:val="2F7C5FE4"/>
    <w:rsid w:val="2F8325F2"/>
    <w:rsid w:val="2F84055F"/>
    <w:rsid w:val="2F845640"/>
    <w:rsid w:val="2F854E58"/>
    <w:rsid w:val="2F876CED"/>
    <w:rsid w:val="2F877ACB"/>
    <w:rsid w:val="2F890455"/>
    <w:rsid w:val="2F8A0DD8"/>
    <w:rsid w:val="2F8A6913"/>
    <w:rsid w:val="2F90296F"/>
    <w:rsid w:val="2F913C64"/>
    <w:rsid w:val="2F943A58"/>
    <w:rsid w:val="2F964024"/>
    <w:rsid w:val="2F975095"/>
    <w:rsid w:val="2F9A1EDE"/>
    <w:rsid w:val="2F9A23E4"/>
    <w:rsid w:val="2F9B5FC8"/>
    <w:rsid w:val="2F9C4D38"/>
    <w:rsid w:val="2F9F57A9"/>
    <w:rsid w:val="2FA26BD6"/>
    <w:rsid w:val="2FA37509"/>
    <w:rsid w:val="2FAD2601"/>
    <w:rsid w:val="2FAE6E78"/>
    <w:rsid w:val="2FAE7E46"/>
    <w:rsid w:val="2FAF1ED5"/>
    <w:rsid w:val="2FB014A5"/>
    <w:rsid w:val="2FB34935"/>
    <w:rsid w:val="2FB50F12"/>
    <w:rsid w:val="2FB60047"/>
    <w:rsid w:val="2FB71DF4"/>
    <w:rsid w:val="2FBA257F"/>
    <w:rsid w:val="2FBB224C"/>
    <w:rsid w:val="2FBD1650"/>
    <w:rsid w:val="2FBE648A"/>
    <w:rsid w:val="2FC12670"/>
    <w:rsid w:val="2FC33162"/>
    <w:rsid w:val="2FC5097D"/>
    <w:rsid w:val="2FC80CEF"/>
    <w:rsid w:val="2FC949D8"/>
    <w:rsid w:val="2FCA2796"/>
    <w:rsid w:val="2FCC3F2D"/>
    <w:rsid w:val="2FCC64ED"/>
    <w:rsid w:val="2FD25150"/>
    <w:rsid w:val="2FDA7060"/>
    <w:rsid w:val="2FDB562D"/>
    <w:rsid w:val="2FDC582D"/>
    <w:rsid w:val="2FDD1764"/>
    <w:rsid w:val="2FDF00BE"/>
    <w:rsid w:val="2FDF40CE"/>
    <w:rsid w:val="2FDF70B1"/>
    <w:rsid w:val="2FE042A2"/>
    <w:rsid w:val="2FE3008C"/>
    <w:rsid w:val="2FE31AD2"/>
    <w:rsid w:val="2FE44EF2"/>
    <w:rsid w:val="2FE57FED"/>
    <w:rsid w:val="2FE639AC"/>
    <w:rsid w:val="2FE754B2"/>
    <w:rsid w:val="2FE91C1D"/>
    <w:rsid w:val="2FEE2BD4"/>
    <w:rsid w:val="2FF15572"/>
    <w:rsid w:val="2FF24EFE"/>
    <w:rsid w:val="2FF33C01"/>
    <w:rsid w:val="2FF658B2"/>
    <w:rsid w:val="2FF722AB"/>
    <w:rsid w:val="2FF75AC1"/>
    <w:rsid w:val="2FF80C51"/>
    <w:rsid w:val="2FF975F4"/>
    <w:rsid w:val="2FFD4B48"/>
    <w:rsid w:val="30000378"/>
    <w:rsid w:val="3000145C"/>
    <w:rsid w:val="30045DA6"/>
    <w:rsid w:val="300920DF"/>
    <w:rsid w:val="300A468C"/>
    <w:rsid w:val="300E4A4E"/>
    <w:rsid w:val="300F506A"/>
    <w:rsid w:val="3011493E"/>
    <w:rsid w:val="3014044A"/>
    <w:rsid w:val="3014213E"/>
    <w:rsid w:val="30176F2B"/>
    <w:rsid w:val="301C45B8"/>
    <w:rsid w:val="301D1535"/>
    <w:rsid w:val="301D57D9"/>
    <w:rsid w:val="3025663B"/>
    <w:rsid w:val="30261F05"/>
    <w:rsid w:val="3027403C"/>
    <w:rsid w:val="302A0CFD"/>
    <w:rsid w:val="302E3742"/>
    <w:rsid w:val="30306FC0"/>
    <w:rsid w:val="30322337"/>
    <w:rsid w:val="303643A5"/>
    <w:rsid w:val="30385CF4"/>
    <w:rsid w:val="303D2FBD"/>
    <w:rsid w:val="303E6F6E"/>
    <w:rsid w:val="30422576"/>
    <w:rsid w:val="304431D9"/>
    <w:rsid w:val="30444164"/>
    <w:rsid w:val="30446AC1"/>
    <w:rsid w:val="304C0763"/>
    <w:rsid w:val="304C5976"/>
    <w:rsid w:val="304D261A"/>
    <w:rsid w:val="304E7940"/>
    <w:rsid w:val="304F4CB4"/>
    <w:rsid w:val="304F70D9"/>
    <w:rsid w:val="3050190A"/>
    <w:rsid w:val="3054085C"/>
    <w:rsid w:val="30541D62"/>
    <w:rsid w:val="30550F92"/>
    <w:rsid w:val="30574AD6"/>
    <w:rsid w:val="305B01E7"/>
    <w:rsid w:val="305D7F28"/>
    <w:rsid w:val="305F2BE6"/>
    <w:rsid w:val="30607673"/>
    <w:rsid w:val="30643164"/>
    <w:rsid w:val="30653E97"/>
    <w:rsid w:val="306C5C5C"/>
    <w:rsid w:val="306E5202"/>
    <w:rsid w:val="3072234F"/>
    <w:rsid w:val="3073442A"/>
    <w:rsid w:val="30791505"/>
    <w:rsid w:val="30794AD2"/>
    <w:rsid w:val="307A654C"/>
    <w:rsid w:val="307B44AD"/>
    <w:rsid w:val="307D5566"/>
    <w:rsid w:val="307D6477"/>
    <w:rsid w:val="308315F8"/>
    <w:rsid w:val="30842B40"/>
    <w:rsid w:val="308570DA"/>
    <w:rsid w:val="308B483B"/>
    <w:rsid w:val="308E1337"/>
    <w:rsid w:val="308F7AAE"/>
    <w:rsid w:val="30920528"/>
    <w:rsid w:val="30924E08"/>
    <w:rsid w:val="309431D3"/>
    <w:rsid w:val="309612E7"/>
    <w:rsid w:val="30996493"/>
    <w:rsid w:val="309A3536"/>
    <w:rsid w:val="309D1DF6"/>
    <w:rsid w:val="309D61D2"/>
    <w:rsid w:val="309F560C"/>
    <w:rsid w:val="309F63EE"/>
    <w:rsid w:val="30A64CB9"/>
    <w:rsid w:val="30A80093"/>
    <w:rsid w:val="30A91870"/>
    <w:rsid w:val="30AA20C0"/>
    <w:rsid w:val="30B0659C"/>
    <w:rsid w:val="30B15C8B"/>
    <w:rsid w:val="30B36C76"/>
    <w:rsid w:val="30B5335F"/>
    <w:rsid w:val="30B55E06"/>
    <w:rsid w:val="30B56F12"/>
    <w:rsid w:val="30BA4464"/>
    <w:rsid w:val="30BB4A5C"/>
    <w:rsid w:val="30BC0D4E"/>
    <w:rsid w:val="30BC20C9"/>
    <w:rsid w:val="30BC2BB1"/>
    <w:rsid w:val="30BE1F06"/>
    <w:rsid w:val="30BF3918"/>
    <w:rsid w:val="30C26BCA"/>
    <w:rsid w:val="30C82D10"/>
    <w:rsid w:val="30C931A8"/>
    <w:rsid w:val="30CB71E3"/>
    <w:rsid w:val="30D140CD"/>
    <w:rsid w:val="30D16B10"/>
    <w:rsid w:val="30D36A54"/>
    <w:rsid w:val="30D740CD"/>
    <w:rsid w:val="30DD613A"/>
    <w:rsid w:val="30E01968"/>
    <w:rsid w:val="30E061E9"/>
    <w:rsid w:val="30E11879"/>
    <w:rsid w:val="30E25BAB"/>
    <w:rsid w:val="30E31C34"/>
    <w:rsid w:val="30E3452C"/>
    <w:rsid w:val="30E53485"/>
    <w:rsid w:val="30EF1562"/>
    <w:rsid w:val="30F24E44"/>
    <w:rsid w:val="30F31D2D"/>
    <w:rsid w:val="30F60C4E"/>
    <w:rsid w:val="30F76F6D"/>
    <w:rsid w:val="30FC55EE"/>
    <w:rsid w:val="30FC739C"/>
    <w:rsid w:val="30FD1F8A"/>
    <w:rsid w:val="310001E4"/>
    <w:rsid w:val="3101658E"/>
    <w:rsid w:val="31085D41"/>
    <w:rsid w:val="310A4903"/>
    <w:rsid w:val="31104BF6"/>
    <w:rsid w:val="31111523"/>
    <w:rsid w:val="311478E8"/>
    <w:rsid w:val="31175080"/>
    <w:rsid w:val="311F1543"/>
    <w:rsid w:val="3122560F"/>
    <w:rsid w:val="312276B8"/>
    <w:rsid w:val="31232ECD"/>
    <w:rsid w:val="31247734"/>
    <w:rsid w:val="31293F09"/>
    <w:rsid w:val="31294486"/>
    <w:rsid w:val="31317835"/>
    <w:rsid w:val="31333F1A"/>
    <w:rsid w:val="31375048"/>
    <w:rsid w:val="313B746E"/>
    <w:rsid w:val="313E4F24"/>
    <w:rsid w:val="313E79B5"/>
    <w:rsid w:val="313F0277"/>
    <w:rsid w:val="31412AD5"/>
    <w:rsid w:val="314132AE"/>
    <w:rsid w:val="31416861"/>
    <w:rsid w:val="31436D79"/>
    <w:rsid w:val="31446DC8"/>
    <w:rsid w:val="31457899"/>
    <w:rsid w:val="31462208"/>
    <w:rsid w:val="31476A7C"/>
    <w:rsid w:val="314B35BA"/>
    <w:rsid w:val="314C10B5"/>
    <w:rsid w:val="314C3951"/>
    <w:rsid w:val="314F32D9"/>
    <w:rsid w:val="315241CD"/>
    <w:rsid w:val="31552AFA"/>
    <w:rsid w:val="315545D9"/>
    <w:rsid w:val="31592A40"/>
    <w:rsid w:val="316118F5"/>
    <w:rsid w:val="31611B5D"/>
    <w:rsid w:val="3165602B"/>
    <w:rsid w:val="316810BC"/>
    <w:rsid w:val="31683242"/>
    <w:rsid w:val="31685FD9"/>
    <w:rsid w:val="316C3231"/>
    <w:rsid w:val="317038E6"/>
    <w:rsid w:val="31713198"/>
    <w:rsid w:val="3172765E"/>
    <w:rsid w:val="31751CAD"/>
    <w:rsid w:val="317653A0"/>
    <w:rsid w:val="31786694"/>
    <w:rsid w:val="31794F27"/>
    <w:rsid w:val="317C06D1"/>
    <w:rsid w:val="317C2F79"/>
    <w:rsid w:val="31813D45"/>
    <w:rsid w:val="318273B2"/>
    <w:rsid w:val="31882E93"/>
    <w:rsid w:val="3188521B"/>
    <w:rsid w:val="31886E82"/>
    <w:rsid w:val="318A784B"/>
    <w:rsid w:val="31903F88"/>
    <w:rsid w:val="319402AC"/>
    <w:rsid w:val="319A7EC3"/>
    <w:rsid w:val="319B15C5"/>
    <w:rsid w:val="319B7F3C"/>
    <w:rsid w:val="319C1B8D"/>
    <w:rsid w:val="319E48F7"/>
    <w:rsid w:val="31A03839"/>
    <w:rsid w:val="31A06B2F"/>
    <w:rsid w:val="31A20133"/>
    <w:rsid w:val="31A30E2A"/>
    <w:rsid w:val="31A3616C"/>
    <w:rsid w:val="31AA7796"/>
    <w:rsid w:val="31AC47B4"/>
    <w:rsid w:val="31AF440F"/>
    <w:rsid w:val="31B22151"/>
    <w:rsid w:val="31B743AC"/>
    <w:rsid w:val="31B770FA"/>
    <w:rsid w:val="31B775D5"/>
    <w:rsid w:val="31B90A07"/>
    <w:rsid w:val="31BD0757"/>
    <w:rsid w:val="31BD1947"/>
    <w:rsid w:val="31BE4BB7"/>
    <w:rsid w:val="31BF7AB5"/>
    <w:rsid w:val="31C37EBA"/>
    <w:rsid w:val="31C90389"/>
    <w:rsid w:val="31C91466"/>
    <w:rsid w:val="31CE2C88"/>
    <w:rsid w:val="31D23CD7"/>
    <w:rsid w:val="31D25E0E"/>
    <w:rsid w:val="31D46E2A"/>
    <w:rsid w:val="31D71BB7"/>
    <w:rsid w:val="31D90049"/>
    <w:rsid w:val="31DB16A7"/>
    <w:rsid w:val="31DB4CF3"/>
    <w:rsid w:val="31DE3900"/>
    <w:rsid w:val="31DF79A9"/>
    <w:rsid w:val="31E02CAA"/>
    <w:rsid w:val="31E42B95"/>
    <w:rsid w:val="31E54CFF"/>
    <w:rsid w:val="31E57E30"/>
    <w:rsid w:val="31E62340"/>
    <w:rsid w:val="31E81862"/>
    <w:rsid w:val="31E926F4"/>
    <w:rsid w:val="31EC0AD5"/>
    <w:rsid w:val="31EC0B97"/>
    <w:rsid w:val="31F118D5"/>
    <w:rsid w:val="31F25A33"/>
    <w:rsid w:val="31F42769"/>
    <w:rsid w:val="31F606DF"/>
    <w:rsid w:val="31F83B65"/>
    <w:rsid w:val="31F938DC"/>
    <w:rsid w:val="31FD242F"/>
    <w:rsid w:val="31FE2EEA"/>
    <w:rsid w:val="32000BEE"/>
    <w:rsid w:val="32004C6A"/>
    <w:rsid w:val="320457AA"/>
    <w:rsid w:val="320555C9"/>
    <w:rsid w:val="321150C9"/>
    <w:rsid w:val="32117A42"/>
    <w:rsid w:val="3212499D"/>
    <w:rsid w:val="3216448E"/>
    <w:rsid w:val="32187C27"/>
    <w:rsid w:val="321B1AA4"/>
    <w:rsid w:val="321E198F"/>
    <w:rsid w:val="321F21C3"/>
    <w:rsid w:val="3225683B"/>
    <w:rsid w:val="322915BC"/>
    <w:rsid w:val="32292413"/>
    <w:rsid w:val="322A0B44"/>
    <w:rsid w:val="322A1672"/>
    <w:rsid w:val="322B34A2"/>
    <w:rsid w:val="322C7FDF"/>
    <w:rsid w:val="32306BC5"/>
    <w:rsid w:val="3231094A"/>
    <w:rsid w:val="323127C9"/>
    <w:rsid w:val="323301CA"/>
    <w:rsid w:val="32345A4F"/>
    <w:rsid w:val="323668DE"/>
    <w:rsid w:val="3237195E"/>
    <w:rsid w:val="32374733"/>
    <w:rsid w:val="32384935"/>
    <w:rsid w:val="32394B5E"/>
    <w:rsid w:val="323A1010"/>
    <w:rsid w:val="323A4881"/>
    <w:rsid w:val="323C72AF"/>
    <w:rsid w:val="323D275B"/>
    <w:rsid w:val="323F14D3"/>
    <w:rsid w:val="32406D33"/>
    <w:rsid w:val="3241644C"/>
    <w:rsid w:val="32423185"/>
    <w:rsid w:val="32495498"/>
    <w:rsid w:val="324A5B8B"/>
    <w:rsid w:val="324C6101"/>
    <w:rsid w:val="324D6FF0"/>
    <w:rsid w:val="32505363"/>
    <w:rsid w:val="3255145A"/>
    <w:rsid w:val="32580F24"/>
    <w:rsid w:val="325A081E"/>
    <w:rsid w:val="325B59D6"/>
    <w:rsid w:val="325D7F2C"/>
    <w:rsid w:val="325E7967"/>
    <w:rsid w:val="3269009B"/>
    <w:rsid w:val="32690A61"/>
    <w:rsid w:val="32695D86"/>
    <w:rsid w:val="32771AA4"/>
    <w:rsid w:val="32772716"/>
    <w:rsid w:val="327B0795"/>
    <w:rsid w:val="327D17AF"/>
    <w:rsid w:val="327E1DBD"/>
    <w:rsid w:val="327E61A3"/>
    <w:rsid w:val="32800130"/>
    <w:rsid w:val="3281224F"/>
    <w:rsid w:val="328164AA"/>
    <w:rsid w:val="32841E6F"/>
    <w:rsid w:val="328903DE"/>
    <w:rsid w:val="32894E43"/>
    <w:rsid w:val="32895429"/>
    <w:rsid w:val="328C6723"/>
    <w:rsid w:val="328C72C2"/>
    <w:rsid w:val="32932A38"/>
    <w:rsid w:val="3293642C"/>
    <w:rsid w:val="32962F2D"/>
    <w:rsid w:val="329655CE"/>
    <w:rsid w:val="32987720"/>
    <w:rsid w:val="329B37EE"/>
    <w:rsid w:val="329D20FC"/>
    <w:rsid w:val="32A0100A"/>
    <w:rsid w:val="32A4229E"/>
    <w:rsid w:val="32A61CB5"/>
    <w:rsid w:val="32A75F94"/>
    <w:rsid w:val="32A855A3"/>
    <w:rsid w:val="32A93D55"/>
    <w:rsid w:val="32AA30FD"/>
    <w:rsid w:val="32AA4F69"/>
    <w:rsid w:val="32AA6D7D"/>
    <w:rsid w:val="32AD0009"/>
    <w:rsid w:val="32AF52B4"/>
    <w:rsid w:val="32AF749E"/>
    <w:rsid w:val="32B126A5"/>
    <w:rsid w:val="32B32B72"/>
    <w:rsid w:val="32B9519B"/>
    <w:rsid w:val="32BB5A92"/>
    <w:rsid w:val="32C03AD8"/>
    <w:rsid w:val="32C1089D"/>
    <w:rsid w:val="32C21624"/>
    <w:rsid w:val="32C22FB9"/>
    <w:rsid w:val="32C72338"/>
    <w:rsid w:val="32C8721F"/>
    <w:rsid w:val="32C877B1"/>
    <w:rsid w:val="32C91825"/>
    <w:rsid w:val="32CC2BF6"/>
    <w:rsid w:val="32D12BF6"/>
    <w:rsid w:val="32D16607"/>
    <w:rsid w:val="32D238A7"/>
    <w:rsid w:val="32D44057"/>
    <w:rsid w:val="32D44840"/>
    <w:rsid w:val="32D53197"/>
    <w:rsid w:val="32D92872"/>
    <w:rsid w:val="32DC19B9"/>
    <w:rsid w:val="32E04ED3"/>
    <w:rsid w:val="32E437AA"/>
    <w:rsid w:val="32E451DD"/>
    <w:rsid w:val="32E60DC0"/>
    <w:rsid w:val="32EA7EF6"/>
    <w:rsid w:val="32EF33D3"/>
    <w:rsid w:val="32EF3736"/>
    <w:rsid w:val="32F06457"/>
    <w:rsid w:val="32F14451"/>
    <w:rsid w:val="32F9331E"/>
    <w:rsid w:val="32FA3EF3"/>
    <w:rsid w:val="32FE389F"/>
    <w:rsid w:val="33013C3F"/>
    <w:rsid w:val="3305017C"/>
    <w:rsid w:val="33062754"/>
    <w:rsid w:val="33083279"/>
    <w:rsid w:val="330A655D"/>
    <w:rsid w:val="330B033D"/>
    <w:rsid w:val="330B17E7"/>
    <w:rsid w:val="330C2E13"/>
    <w:rsid w:val="330C7658"/>
    <w:rsid w:val="3310787F"/>
    <w:rsid w:val="3314166D"/>
    <w:rsid w:val="33143FD4"/>
    <w:rsid w:val="3316046C"/>
    <w:rsid w:val="33182487"/>
    <w:rsid w:val="33185E5D"/>
    <w:rsid w:val="331C10FB"/>
    <w:rsid w:val="331F6161"/>
    <w:rsid w:val="332151F3"/>
    <w:rsid w:val="33221016"/>
    <w:rsid w:val="33232C6E"/>
    <w:rsid w:val="332365E6"/>
    <w:rsid w:val="332901F1"/>
    <w:rsid w:val="3329356C"/>
    <w:rsid w:val="332A2CC6"/>
    <w:rsid w:val="332B7C07"/>
    <w:rsid w:val="332F1C41"/>
    <w:rsid w:val="332F29F3"/>
    <w:rsid w:val="33302DB0"/>
    <w:rsid w:val="333149A9"/>
    <w:rsid w:val="33322665"/>
    <w:rsid w:val="33364265"/>
    <w:rsid w:val="333A54BE"/>
    <w:rsid w:val="333C43C8"/>
    <w:rsid w:val="333D35C2"/>
    <w:rsid w:val="333F5C66"/>
    <w:rsid w:val="33403D89"/>
    <w:rsid w:val="334377A2"/>
    <w:rsid w:val="33441409"/>
    <w:rsid w:val="334424E5"/>
    <w:rsid w:val="334654EB"/>
    <w:rsid w:val="3349161B"/>
    <w:rsid w:val="334B63B9"/>
    <w:rsid w:val="334B70EC"/>
    <w:rsid w:val="334E6C17"/>
    <w:rsid w:val="335330BB"/>
    <w:rsid w:val="335545A5"/>
    <w:rsid w:val="33557448"/>
    <w:rsid w:val="33566357"/>
    <w:rsid w:val="33597AF2"/>
    <w:rsid w:val="335C05C6"/>
    <w:rsid w:val="33613E2E"/>
    <w:rsid w:val="33632FC0"/>
    <w:rsid w:val="33633703"/>
    <w:rsid w:val="33644712"/>
    <w:rsid w:val="33685C64"/>
    <w:rsid w:val="33685CB5"/>
    <w:rsid w:val="33696823"/>
    <w:rsid w:val="336A1AA6"/>
    <w:rsid w:val="336A77B9"/>
    <w:rsid w:val="337413A2"/>
    <w:rsid w:val="337551E4"/>
    <w:rsid w:val="33780223"/>
    <w:rsid w:val="337827C8"/>
    <w:rsid w:val="33790C23"/>
    <w:rsid w:val="337A75D3"/>
    <w:rsid w:val="337C059E"/>
    <w:rsid w:val="337C47C4"/>
    <w:rsid w:val="337C6572"/>
    <w:rsid w:val="337D415E"/>
    <w:rsid w:val="337E49F5"/>
    <w:rsid w:val="337F08CE"/>
    <w:rsid w:val="338156D7"/>
    <w:rsid w:val="3382278D"/>
    <w:rsid w:val="33831FE4"/>
    <w:rsid w:val="3384387D"/>
    <w:rsid w:val="338711F5"/>
    <w:rsid w:val="338806E6"/>
    <w:rsid w:val="3389609A"/>
    <w:rsid w:val="33915F02"/>
    <w:rsid w:val="3394740D"/>
    <w:rsid w:val="3394778E"/>
    <w:rsid w:val="339C1ED9"/>
    <w:rsid w:val="339C4E66"/>
    <w:rsid w:val="33A50288"/>
    <w:rsid w:val="33A52733"/>
    <w:rsid w:val="33A61841"/>
    <w:rsid w:val="33A87381"/>
    <w:rsid w:val="33A90FAA"/>
    <w:rsid w:val="33A91753"/>
    <w:rsid w:val="33AA1532"/>
    <w:rsid w:val="33AA2F0D"/>
    <w:rsid w:val="33AC3B3F"/>
    <w:rsid w:val="33AE3832"/>
    <w:rsid w:val="33AE7B2B"/>
    <w:rsid w:val="33AF6E15"/>
    <w:rsid w:val="33B11047"/>
    <w:rsid w:val="33B201E6"/>
    <w:rsid w:val="33B52B22"/>
    <w:rsid w:val="33BA709B"/>
    <w:rsid w:val="33BC4DA5"/>
    <w:rsid w:val="33C07C3D"/>
    <w:rsid w:val="33C45A54"/>
    <w:rsid w:val="33CB28F0"/>
    <w:rsid w:val="33CC0CA1"/>
    <w:rsid w:val="33CF0D98"/>
    <w:rsid w:val="33D13672"/>
    <w:rsid w:val="33D463AE"/>
    <w:rsid w:val="33D742CB"/>
    <w:rsid w:val="33D957F9"/>
    <w:rsid w:val="33DA5E2D"/>
    <w:rsid w:val="33DA7A96"/>
    <w:rsid w:val="33E14710"/>
    <w:rsid w:val="33E56BD7"/>
    <w:rsid w:val="33E845A0"/>
    <w:rsid w:val="33E914DA"/>
    <w:rsid w:val="33EA1172"/>
    <w:rsid w:val="33F06ACD"/>
    <w:rsid w:val="33F53E6D"/>
    <w:rsid w:val="33F557A9"/>
    <w:rsid w:val="33FE4A0F"/>
    <w:rsid w:val="34007075"/>
    <w:rsid w:val="340266AE"/>
    <w:rsid w:val="34033296"/>
    <w:rsid w:val="3408546F"/>
    <w:rsid w:val="34090109"/>
    <w:rsid w:val="340D1073"/>
    <w:rsid w:val="340D4035"/>
    <w:rsid w:val="340E12E0"/>
    <w:rsid w:val="34111E81"/>
    <w:rsid w:val="34181968"/>
    <w:rsid w:val="341B797A"/>
    <w:rsid w:val="341C184C"/>
    <w:rsid w:val="341E7629"/>
    <w:rsid w:val="34210B83"/>
    <w:rsid w:val="34217A3E"/>
    <w:rsid w:val="342235BE"/>
    <w:rsid w:val="34230A24"/>
    <w:rsid w:val="342A2472"/>
    <w:rsid w:val="342A3DB8"/>
    <w:rsid w:val="342F1837"/>
    <w:rsid w:val="34300AC9"/>
    <w:rsid w:val="34311A53"/>
    <w:rsid w:val="34335D09"/>
    <w:rsid w:val="34353CDE"/>
    <w:rsid w:val="34371F8B"/>
    <w:rsid w:val="343721C5"/>
    <w:rsid w:val="343E049B"/>
    <w:rsid w:val="34420E37"/>
    <w:rsid w:val="34422A8F"/>
    <w:rsid w:val="34466ECA"/>
    <w:rsid w:val="344872FE"/>
    <w:rsid w:val="34496D9C"/>
    <w:rsid w:val="344B382A"/>
    <w:rsid w:val="345117A4"/>
    <w:rsid w:val="34512159"/>
    <w:rsid w:val="34517705"/>
    <w:rsid w:val="3452158A"/>
    <w:rsid w:val="34535A3D"/>
    <w:rsid w:val="34554A7C"/>
    <w:rsid w:val="346349AD"/>
    <w:rsid w:val="34645BEE"/>
    <w:rsid w:val="346516EC"/>
    <w:rsid w:val="34693844"/>
    <w:rsid w:val="346A0232"/>
    <w:rsid w:val="346A0D66"/>
    <w:rsid w:val="346B5853"/>
    <w:rsid w:val="346C4839"/>
    <w:rsid w:val="346E235E"/>
    <w:rsid w:val="34725A71"/>
    <w:rsid w:val="34734C29"/>
    <w:rsid w:val="347375CD"/>
    <w:rsid w:val="3475596E"/>
    <w:rsid w:val="3476054F"/>
    <w:rsid w:val="34781263"/>
    <w:rsid w:val="3478345D"/>
    <w:rsid w:val="347B5013"/>
    <w:rsid w:val="34800275"/>
    <w:rsid w:val="348151C9"/>
    <w:rsid w:val="34861A27"/>
    <w:rsid w:val="348953EB"/>
    <w:rsid w:val="34897AD4"/>
    <w:rsid w:val="34916186"/>
    <w:rsid w:val="34933476"/>
    <w:rsid w:val="3498057E"/>
    <w:rsid w:val="349B3FFF"/>
    <w:rsid w:val="349B7CA4"/>
    <w:rsid w:val="349E34C9"/>
    <w:rsid w:val="349E4221"/>
    <w:rsid w:val="349E4BE0"/>
    <w:rsid w:val="34A44C2E"/>
    <w:rsid w:val="34A4776C"/>
    <w:rsid w:val="34A75871"/>
    <w:rsid w:val="34A80487"/>
    <w:rsid w:val="34A83397"/>
    <w:rsid w:val="34A915E9"/>
    <w:rsid w:val="34A95487"/>
    <w:rsid w:val="34AD3D33"/>
    <w:rsid w:val="34B00C68"/>
    <w:rsid w:val="34B14617"/>
    <w:rsid w:val="34B41D3C"/>
    <w:rsid w:val="34B53B34"/>
    <w:rsid w:val="34B77B6C"/>
    <w:rsid w:val="34BA34E1"/>
    <w:rsid w:val="34BE22C9"/>
    <w:rsid w:val="34C13252"/>
    <w:rsid w:val="34C132DD"/>
    <w:rsid w:val="34C1658B"/>
    <w:rsid w:val="34C22C1F"/>
    <w:rsid w:val="34C56653"/>
    <w:rsid w:val="34CD6267"/>
    <w:rsid w:val="34D24677"/>
    <w:rsid w:val="34D65EF4"/>
    <w:rsid w:val="34D7445E"/>
    <w:rsid w:val="34DA1486"/>
    <w:rsid w:val="34DF500B"/>
    <w:rsid w:val="34E214A6"/>
    <w:rsid w:val="34E44283"/>
    <w:rsid w:val="34E75EFE"/>
    <w:rsid w:val="34EB719A"/>
    <w:rsid w:val="34EC3BCC"/>
    <w:rsid w:val="34F11CC9"/>
    <w:rsid w:val="34F32864"/>
    <w:rsid w:val="34F36D08"/>
    <w:rsid w:val="34FB250A"/>
    <w:rsid w:val="35042CC3"/>
    <w:rsid w:val="35043DC3"/>
    <w:rsid w:val="350465CA"/>
    <w:rsid w:val="35046CC6"/>
    <w:rsid w:val="3507761D"/>
    <w:rsid w:val="350902DA"/>
    <w:rsid w:val="350925AA"/>
    <w:rsid w:val="350D7169"/>
    <w:rsid w:val="35125F65"/>
    <w:rsid w:val="3513129C"/>
    <w:rsid w:val="35194603"/>
    <w:rsid w:val="35216B3A"/>
    <w:rsid w:val="3523207C"/>
    <w:rsid w:val="35245792"/>
    <w:rsid w:val="352549E8"/>
    <w:rsid w:val="3529097C"/>
    <w:rsid w:val="352A1B02"/>
    <w:rsid w:val="352D1C43"/>
    <w:rsid w:val="35300EB8"/>
    <w:rsid w:val="35317C1B"/>
    <w:rsid w:val="35326549"/>
    <w:rsid w:val="35332A06"/>
    <w:rsid w:val="3535462F"/>
    <w:rsid w:val="35375DCA"/>
    <w:rsid w:val="353A0493"/>
    <w:rsid w:val="353A2617"/>
    <w:rsid w:val="353A2FC1"/>
    <w:rsid w:val="353B2A8E"/>
    <w:rsid w:val="353B420D"/>
    <w:rsid w:val="353B4DCC"/>
    <w:rsid w:val="353D07AE"/>
    <w:rsid w:val="353D7715"/>
    <w:rsid w:val="353E254F"/>
    <w:rsid w:val="353F5AA9"/>
    <w:rsid w:val="35403C47"/>
    <w:rsid w:val="35447AF0"/>
    <w:rsid w:val="354602AF"/>
    <w:rsid w:val="35463623"/>
    <w:rsid w:val="35474007"/>
    <w:rsid w:val="354C3FB0"/>
    <w:rsid w:val="354D6418"/>
    <w:rsid w:val="354F3741"/>
    <w:rsid w:val="3550384E"/>
    <w:rsid w:val="355073D2"/>
    <w:rsid w:val="35543D0E"/>
    <w:rsid w:val="35551771"/>
    <w:rsid w:val="35554087"/>
    <w:rsid w:val="35592909"/>
    <w:rsid w:val="355A2F26"/>
    <w:rsid w:val="355E1079"/>
    <w:rsid w:val="355E6877"/>
    <w:rsid w:val="35637FFA"/>
    <w:rsid w:val="35676AD0"/>
    <w:rsid w:val="35683DE9"/>
    <w:rsid w:val="356A3560"/>
    <w:rsid w:val="356C3D69"/>
    <w:rsid w:val="356D5162"/>
    <w:rsid w:val="35745BB7"/>
    <w:rsid w:val="357A11D7"/>
    <w:rsid w:val="357C0C5A"/>
    <w:rsid w:val="357E5712"/>
    <w:rsid w:val="357F2005"/>
    <w:rsid w:val="357F3F9F"/>
    <w:rsid w:val="35814314"/>
    <w:rsid w:val="3583008C"/>
    <w:rsid w:val="35831E3A"/>
    <w:rsid w:val="35841546"/>
    <w:rsid w:val="35851FFB"/>
    <w:rsid w:val="35893CA7"/>
    <w:rsid w:val="358A4A94"/>
    <w:rsid w:val="358F7A72"/>
    <w:rsid w:val="359075B3"/>
    <w:rsid w:val="35917BB6"/>
    <w:rsid w:val="35926C9F"/>
    <w:rsid w:val="35935AB3"/>
    <w:rsid w:val="35943BF2"/>
    <w:rsid w:val="35955717"/>
    <w:rsid w:val="3595788B"/>
    <w:rsid w:val="359978AF"/>
    <w:rsid w:val="359A3628"/>
    <w:rsid w:val="359D18F5"/>
    <w:rsid w:val="359E0185"/>
    <w:rsid w:val="359F12EA"/>
    <w:rsid w:val="35A2668C"/>
    <w:rsid w:val="35A52541"/>
    <w:rsid w:val="35A52744"/>
    <w:rsid w:val="35A60463"/>
    <w:rsid w:val="35A6316A"/>
    <w:rsid w:val="35A73A02"/>
    <w:rsid w:val="35A804C7"/>
    <w:rsid w:val="35A93837"/>
    <w:rsid w:val="35AD335B"/>
    <w:rsid w:val="35AD5109"/>
    <w:rsid w:val="35B13F23"/>
    <w:rsid w:val="35B23761"/>
    <w:rsid w:val="35B5220F"/>
    <w:rsid w:val="35B67BED"/>
    <w:rsid w:val="35B76CDF"/>
    <w:rsid w:val="35B91D00"/>
    <w:rsid w:val="35BB2BFA"/>
    <w:rsid w:val="35BD5FEF"/>
    <w:rsid w:val="35BE0A09"/>
    <w:rsid w:val="35C10BB4"/>
    <w:rsid w:val="35C24D90"/>
    <w:rsid w:val="35C275C5"/>
    <w:rsid w:val="35C30488"/>
    <w:rsid w:val="35C56F25"/>
    <w:rsid w:val="35C6579A"/>
    <w:rsid w:val="35C70191"/>
    <w:rsid w:val="35C834C5"/>
    <w:rsid w:val="35C9101D"/>
    <w:rsid w:val="35CB1A33"/>
    <w:rsid w:val="35CB433F"/>
    <w:rsid w:val="35CC49F1"/>
    <w:rsid w:val="35CF0315"/>
    <w:rsid w:val="35D55B97"/>
    <w:rsid w:val="35D63A22"/>
    <w:rsid w:val="35D741C5"/>
    <w:rsid w:val="35D80506"/>
    <w:rsid w:val="35D84F41"/>
    <w:rsid w:val="35DC2FD9"/>
    <w:rsid w:val="35DF529E"/>
    <w:rsid w:val="35E068EC"/>
    <w:rsid w:val="35E14DB3"/>
    <w:rsid w:val="35E328D9"/>
    <w:rsid w:val="35E43DC6"/>
    <w:rsid w:val="35E72B42"/>
    <w:rsid w:val="35EA0FD5"/>
    <w:rsid w:val="35EB3CA1"/>
    <w:rsid w:val="35F209B7"/>
    <w:rsid w:val="35F52FBE"/>
    <w:rsid w:val="35F60956"/>
    <w:rsid w:val="35F911DA"/>
    <w:rsid w:val="35FB1E93"/>
    <w:rsid w:val="35FC1A16"/>
    <w:rsid w:val="35FD2E78"/>
    <w:rsid w:val="35FF6D24"/>
    <w:rsid w:val="360311CD"/>
    <w:rsid w:val="36056EBE"/>
    <w:rsid w:val="360579A8"/>
    <w:rsid w:val="3607357B"/>
    <w:rsid w:val="360C16BF"/>
    <w:rsid w:val="360C16FF"/>
    <w:rsid w:val="360E4973"/>
    <w:rsid w:val="36120389"/>
    <w:rsid w:val="36140CE4"/>
    <w:rsid w:val="36153039"/>
    <w:rsid w:val="36171DC5"/>
    <w:rsid w:val="361B02C4"/>
    <w:rsid w:val="361E50BE"/>
    <w:rsid w:val="361F4560"/>
    <w:rsid w:val="36211653"/>
    <w:rsid w:val="362209D9"/>
    <w:rsid w:val="36224C9F"/>
    <w:rsid w:val="362457D0"/>
    <w:rsid w:val="36252EF1"/>
    <w:rsid w:val="3628478F"/>
    <w:rsid w:val="36297735"/>
    <w:rsid w:val="362B15AA"/>
    <w:rsid w:val="36301896"/>
    <w:rsid w:val="363708B7"/>
    <w:rsid w:val="36381843"/>
    <w:rsid w:val="36381C8C"/>
    <w:rsid w:val="363E114E"/>
    <w:rsid w:val="363F0B98"/>
    <w:rsid w:val="364062B6"/>
    <w:rsid w:val="36407D2B"/>
    <w:rsid w:val="36426DD1"/>
    <w:rsid w:val="364315C9"/>
    <w:rsid w:val="36462E68"/>
    <w:rsid w:val="36465ABD"/>
    <w:rsid w:val="36497BA9"/>
    <w:rsid w:val="364A64F1"/>
    <w:rsid w:val="364A7544"/>
    <w:rsid w:val="365347C1"/>
    <w:rsid w:val="365E28A7"/>
    <w:rsid w:val="365E66BF"/>
    <w:rsid w:val="365F3AC2"/>
    <w:rsid w:val="366129A3"/>
    <w:rsid w:val="36637EBD"/>
    <w:rsid w:val="36697372"/>
    <w:rsid w:val="366A18C5"/>
    <w:rsid w:val="366A4DA8"/>
    <w:rsid w:val="366A59F1"/>
    <w:rsid w:val="366B7875"/>
    <w:rsid w:val="366C2DB2"/>
    <w:rsid w:val="366C4D38"/>
    <w:rsid w:val="366C4FC4"/>
    <w:rsid w:val="366C6D72"/>
    <w:rsid w:val="366F5B26"/>
    <w:rsid w:val="367062CD"/>
    <w:rsid w:val="367073EC"/>
    <w:rsid w:val="36721EAF"/>
    <w:rsid w:val="36740896"/>
    <w:rsid w:val="36767402"/>
    <w:rsid w:val="36772E7D"/>
    <w:rsid w:val="367953FD"/>
    <w:rsid w:val="367C0606"/>
    <w:rsid w:val="367F0C43"/>
    <w:rsid w:val="36825AC2"/>
    <w:rsid w:val="36835E6A"/>
    <w:rsid w:val="368823F7"/>
    <w:rsid w:val="36885F0C"/>
    <w:rsid w:val="36915399"/>
    <w:rsid w:val="369201BD"/>
    <w:rsid w:val="36921BD8"/>
    <w:rsid w:val="36932551"/>
    <w:rsid w:val="36974BC9"/>
    <w:rsid w:val="369915A3"/>
    <w:rsid w:val="36A33190"/>
    <w:rsid w:val="36A4241F"/>
    <w:rsid w:val="36A65799"/>
    <w:rsid w:val="36A7129F"/>
    <w:rsid w:val="36AF13A4"/>
    <w:rsid w:val="36AF4EB1"/>
    <w:rsid w:val="36B111EC"/>
    <w:rsid w:val="36B47DFB"/>
    <w:rsid w:val="36B5259C"/>
    <w:rsid w:val="36BA1FE3"/>
    <w:rsid w:val="36BB4550"/>
    <w:rsid w:val="36BD4AD5"/>
    <w:rsid w:val="36BD75CE"/>
    <w:rsid w:val="36C43915"/>
    <w:rsid w:val="36C95A44"/>
    <w:rsid w:val="36CA012B"/>
    <w:rsid w:val="36CA2854"/>
    <w:rsid w:val="36CD3ED9"/>
    <w:rsid w:val="36CE1162"/>
    <w:rsid w:val="36D057F1"/>
    <w:rsid w:val="36D64427"/>
    <w:rsid w:val="36D66745"/>
    <w:rsid w:val="36D84407"/>
    <w:rsid w:val="36D87CBE"/>
    <w:rsid w:val="36DA5A27"/>
    <w:rsid w:val="36DC2DA4"/>
    <w:rsid w:val="36DD25F3"/>
    <w:rsid w:val="36E1046E"/>
    <w:rsid w:val="36E153B6"/>
    <w:rsid w:val="36E27034"/>
    <w:rsid w:val="36E37D41"/>
    <w:rsid w:val="36E546D9"/>
    <w:rsid w:val="36E737AD"/>
    <w:rsid w:val="36E80655"/>
    <w:rsid w:val="36E80F06"/>
    <w:rsid w:val="36ED3550"/>
    <w:rsid w:val="36ED4BFB"/>
    <w:rsid w:val="36ED7149"/>
    <w:rsid w:val="36F108D7"/>
    <w:rsid w:val="36F10EA4"/>
    <w:rsid w:val="36F36BC4"/>
    <w:rsid w:val="36F54FB9"/>
    <w:rsid w:val="36F65093"/>
    <w:rsid w:val="36FA45E6"/>
    <w:rsid w:val="36FA5CD0"/>
    <w:rsid w:val="36FF73C4"/>
    <w:rsid w:val="37004142"/>
    <w:rsid w:val="37006181"/>
    <w:rsid w:val="3703255C"/>
    <w:rsid w:val="3706434A"/>
    <w:rsid w:val="37077B1B"/>
    <w:rsid w:val="3709653B"/>
    <w:rsid w:val="37097B82"/>
    <w:rsid w:val="370F0246"/>
    <w:rsid w:val="371071DD"/>
    <w:rsid w:val="37112ECC"/>
    <w:rsid w:val="37165E7F"/>
    <w:rsid w:val="371B2546"/>
    <w:rsid w:val="371C75DC"/>
    <w:rsid w:val="371F052C"/>
    <w:rsid w:val="372305F5"/>
    <w:rsid w:val="372320FD"/>
    <w:rsid w:val="37253AA9"/>
    <w:rsid w:val="37263D8F"/>
    <w:rsid w:val="37270050"/>
    <w:rsid w:val="37274674"/>
    <w:rsid w:val="372B4B9D"/>
    <w:rsid w:val="3732021F"/>
    <w:rsid w:val="373344E9"/>
    <w:rsid w:val="373768BF"/>
    <w:rsid w:val="3738129A"/>
    <w:rsid w:val="373D0B64"/>
    <w:rsid w:val="373D24BC"/>
    <w:rsid w:val="373E73F0"/>
    <w:rsid w:val="37415C9F"/>
    <w:rsid w:val="374458C4"/>
    <w:rsid w:val="37462F7F"/>
    <w:rsid w:val="374A4272"/>
    <w:rsid w:val="374C1D00"/>
    <w:rsid w:val="374D19B0"/>
    <w:rsid w:val="374E115D"/>
    <w:rsid w:val="374F55FB"/>
    <w:rsid w:val="37507DF7"/>
    <w:rsid w:val="37516A6B"/>
    <w:rsid w:val="37527847"/>
    <w:rsid w:val="37543B31"/>
    <w:rsid w:val="375B076E"/>
    <w:rsid w:val="375C26A9"/>
    <w:rsid w:val="376024BC"/>
    <w:rsid w:val="3760340A"/>
    <w:rsid w:val="3764214E"/>
    <w:rsid w:val="37660D8E"/>
    <w:rsid w:val="37676F39"/>
    <w:rsid w:val="37680B6F"/>
    <w:rsid w:val="376A5D3B"/>
    <w:rsid w:val="376C32B7"/>
    <w:rsid w:val="377063EE"/>
    <w:rsid w:val="37721F02"/>
    <w:rsid w:val="377339A6"/>
    <w:rsid w:val="37736125"/>
    <w:rsid w:val="377452C9"/>
    <w:rsid w:val="377508E9"/>
    <w:rsid w:val="377732DB"/>
    <w:rsid w:val="37796E30"/>
    <w:rsid w:val="377A3394"/>
    <w:rsid w:val="377C2FE5"/>
    <w:rsid w:val="377C3142"/>
    <w:rsid w:val="377F5EAA"/>
    <w:rsid w:val="378043EE"/>
    <w:rsid w:val="37807B4E"/>
    <w:rsid w:val="37831EDE"/>
    <w:rsid w:val="3785254F"/>
    <w:rsid w:val="3786206E"/>
    <w:rsid w:val="37873738"/>
    <w:rsid w:val="378B3806"/>
    <w:rsid w:val="378B59BD"/>
    <w:rsid w:val="378E1DCF"/>
    <w:rsid w:val="378F6932"/>
    <w:rsid w:val="379103F0"/>
    <w:rsid w:val="3795382C"/>
    <w:rsid w:val="37982C1F"/>
    <w:rsid w:val="379871CF"/>
    <w:rsid w:val="379D7D88"/>
    <w:rsid w:val="379E0F58"/>
    <w:rsid w:val="379E1CEA"/>
    <w:rsid w:val="37A13EFE"/>
    <w:rsid w:val="37A14B37"/>
    <w:rsid w:val="37A65886"/>
    <w:rsid w:val="37A82DFB"/>
    <w:rsid w:val="37B10BFC"/>
    <w:rsid w:val="37B40D87"/>
    <w:rsid w:val="37B40EE6"/>
    <w:rsid w:val="37BA22B3"/>
    <w:rsid w:val="37BC2953"/>
    <w:rsid w:val="37BC7885"/>
    <w:rsid w:val="37BE5A6B"/>
    <w:rsid w:val="37C009B4"/>
    <w:rsid w:val="37C11CAA"/>
    <w:rsid w:val="37C903B8"/>
    <w:rsid w:val="37C970A1"/>
    <w:rsid w:val="37CC074C"/>
    <w:rsid w:val="37CD3840"/>
    <w:rsid w:val="37CD61BB"/>
    <w:rsid w:val="37CF0597"/>
    <w:rsid w:val="37DE4F22"/>
    <w:rsid w:val="37DF17C6"/>
    <w:rsid w:val="37DF533F"/>
    <w:rsid w:val="37E0700D"/>
    <w:rsid w:val="37E368AB"/>
    <w:rsid w:val="37E57347"/>
    <w:rsid w:val="37E61D9D"/>
    <w:rsid w:val="37EB236A"/>
    <w:rsid w:val="37EC63D7"/>
    <w:rsid w:val="37EF0CEC"/>
    <w:rsid w:val="37F11D36"/>
    <w:rsid w:val="37F27B20"/>
    <w:rsid w:val="37F512E0"/>
    <w:rsid w:val="37F7493E"/>
    <w:rsid w:val="37F84BA2"/>
    <w:rsid w:val="37FE39FA"/>
    <w:rsid w:val="37FF4403"/>
    <w:rsid w:val="3801173C"/>
    <w:rsid w:val="38024FC0"/>
    <w:rsid w:val="38025224"/>
    <w:rsid w:val="380D7280"/>
    <w:rsid w:val="380E6AD7"/>
    <w:rsid w:val="38107A84"/>
    <w:rsid w:val="38110A73"/>
    <w:rsid w:val="381330AE"/>
    <w:rsid w:val="38136BAD"/>
    <w:rsid w:val="381B1CE2"/>
    <w:rsid w:val="381B5941"/>
    <w:rsid w:val="382341ED"/>
    <w:rsid w:val="382457BD"/>
    <w:rsid w:val="38245C7A"/>
    <w:rsid w:val="3825233F"/>
    <w:rsid w:val="38260528"/>
    <w:rsid w:val="38262F51"/>
    <w:rsid w:val="38286CC9"/>
    <w:rsid w:val="382C480C"/>
    <w:rsid w:val="38305B7D"/>
    <w:rsid w:val="383078BE"/>
    <w:rsid w:val="383251D2"/>
    <w:rsid w:val="38342BB6"/>
    <w:rsid w:val="3835665C"/>
    <w:rsid w:val="383A5D84"/>
    <w:rsid w:val="383A69FC"/>
    <w:rsid w:val="383C2774"/>
    <w:rsid w:val="383E5A2C"/>
    <w:rsid w:val="38425357"/>
    <w:rsid w:val="38445662"/>
    <w:rsid w:val="38486DD2"/>
    <w:rsid w:val="38496AB6"/>
    <w:rsid w:val="384F4255"/>
    <w:rsid w:val="38543F62"/>
    <w:rsid w:val="38576D8C"/>
    <w:rsid w:val="385921AE"/>
    <w:rsid w:val="385C20A3"/>
    <w:rsid w:val="385C2E16"/>
    <w:rsid w:val="385D7FD9"/>
    <w:rsid w:val="3862196A"/>
    <w:rsid w:val="3867341F"/>
    <w:rsid w:val="3868489D"/>
    <w:rsid w:val="386C2902"/>
    <w:rsid w:val="386C73AD"/>
    <w:rsid w:val="386F1322"/>
    <w:rsid w:val="386F2FDB"/>
    <w:rsid w:val="387504DB"/>
    <w:rsid w:val="38760244"/>
    <w:rsid w:val="38780BCD"/>
    <w:rsid w:val="387876BE"/>
    <w:rsid w:val="387B0596"/>
    <w:rsid w:val="387C0DC3"/>
    <w:rsid w:val="387D35DB"/>
    <w:rsid w:val="388036FE"/>
    <w:rsid w:val="38806B05"/>
    <w:rsid w:val="38814CB4"/>
    <w:rsid w:val="388222D8"/>
    <w:rsid w:val="38853746"/>
    <w:rsid w:val="38853C70"/>
    <w:rsid w:val="38877E93"/>
    <w:rsid w:val="388A31F4"/>
    <w:rsid w:val="388C0E59"/>
    <w:rsid w:val="388E3C42"/>
    <w:rsid w:val="388E7474"/>
    <w:rsid w:val="388F5EDF"/>
    <w:rsid w:val="388F63A4"/>
    <w:rsid w:val="389417BE"/>
    <w:rsid w:val="38967818"/>
    <w:rsid w:val="3897177A"/>
    <w:rsid w:val="38984528"/>
    <w:rsid w:val="38995E18"/>
    <w:rsid w:val="389E72BA"/>
    <w:rsid w:val="38A012CF"/>
    <w:rsid w:val="38A345A1"/>
    <w:rsid w:val="38A65E3F"/>
    <w:rsid w:val="38A665D6"/>
    <w:rsid w:val="38A724B8"/>
    <w:rsid w:val="38A962FD"/>
    <w:rsid w:val="38AD2B1A"/>
    <w:rsid w:val="38AD71F2"/>
    <w:rsid w:val="38B024B5"/>
    <w:rsid w:val="38B20AA1"/>
    <w:rsid w:val="38B40FA6"/>
    <w:rsid w:val="38B60778"/>
    <w:rsid w:val="38BA04C3"/>
    <w:rsid w:val="38BA44F4"/>
    <w:rsid w:val="38BD4D31"/>
    <w:rsid w:val="38BD77D9"/>
    <w:rsid w:val="38BE46F1"/>
    <w:rsid w:val="38BF41F0"/>
    <w:rsid w:val="38C70290"/>
    <w:rsid w:val="38CC17C5"/>
    <w:rsid w:val="38CC1D4A"/>
    <w:rsid w:val="38CD7855"/>
    <w:rsid w:val="38CE4551"/>
    <w:rsid w:val="38CE7AAE"/>
    <w:rsid w:val="38D3208F"/>
    <w:rsid w:val="38D46E50"/>
    <w:rsid w:val="38D9136F"/>
    <w:rsid w:val="38E0213B"/>
    <w:rsid w:val="38E20B5A"/>
    <w:rsid w:val="38E74F9E"/>
    <w:rsid w:val="38E8238E"/>
    <w:rsid w:val="38E83D3E"/>
    <w:rsid w:val="38E946AA"/>
    <w:rsid w:val="38F04B43"/>
    <w:rsid w:val="38F138AE"/>
    <w:rsid w:val="38F25D05"/>
    <w:rsid w:val="38F33471"/>
    <w:rsid w:val="38F64C26"/>
    <w:rsid w:val="38F80142"/>
    <w:rsid w:val="38F95ED9"/>
    <w:rsid w:val="39047C4E"/>
    <w:rsid w:val="39071FA1"/>
    <w:rsid w:val="390A0F1B"/>
    <w:rsid w:val="390B0AC4"/>
    <w:rsid w:val="390D33AE"/>
    <w:rsid w:val="390E19B0"/>
    <w:rsid w:val="390E4110"/>
    <w:rsid w:val="39141307"/>
    <w:rsid w:val="39142266"/>
    <w:rsid w:val="391559F8"/>
    <w:rsid w:val="391760C5"/>
    <w:rsid w:val="39192E48"/>
    <w:rsid w:val="391C1D4B"/>
    <w:rsid w:val="391C61B4"/>
    <w:rsid w:val="391E43D2"/>
    <w:rsid w:val="392031F0"/>
    <w:rsid w:val="392456E2"/>
    <w:rsid w:val="3927715C"/>
    <w:rsid w:val="392A2FD6"/>
    <w:rsid w:val="392B16D0"/>
    <w:rsid w:val="392D53F8"/>
    <w:rsid w:val="392E2444"/>
    <w:rsid w:val="393022D9"/>
    <w:rsid w:val="3930586A"/>
    <w:rsid w:val="39333B77"/>
    <w:rsid w:val="39362A24"/>
    <w:rsid w:val="393B20E7"/>
    <w:rsid w:val="393E7D4C"/>
    <w:rsid w:val="393F63C7"/>
    <w:rsid w:val="3943392E"/>
    <w:rsid w:val="39455658"/>
    <w:rsid w:val="394915ED"/>
    <w:rsid w:val="394A64EB"/>
    <w:rsid w:val="394B4808"/>
    <w:rsid w:val="3950297B"/>
    <w:rsid w:val="39504729"/>
    <w:rsid w:val="3951702C"/>
    <w:rsid w:val="39565AB7"/>
    <w:rsid w:val="39575A9B"/>
    <w:rsid w:val="39581830"/>
    <w:rsid w:val="39590103"/>
    <w:rsid w:val="395A124F"/>
    <w:rsid w:val="395D3917"/>
    <w:rsid w:val="395F2BBE"/>
    <w:rsid w:val="39663F4D"/>
    <w:rsid w:val="39667831"/>
    <w:rsid w:val="39675A64"/>
    <w:rsid w:val="39680A5C"/>
    <w:rsid w:val="39685848"/>
    <w:rsid w:val="396E2E01"/>
    <w:rsid w:val="397111FD"/>
    <w:rsid w:val="3971426C"/>
    <w:rsid w:val="3972255F"/>
    <w:rsid w:val="39724BBB"/>
    <w:rsid w:val="39734283"/>
    <w:rsid w:val="397436B8"/>
    <w:rsid w:val="39754D59"/>
    <w:rsid w:val="39755F3E"/>
    <w:rsid w:val="39761CB6"/>
    <w:rsid w:val="397B0155"/>
    <w:rsid w:val="39807457"/>
    <w:rsid w:val="39811FCF"/>
    <w:rsid w:val="398379A6"/>
    <w:rsid w:val="398642F2"/>
    <w:rsid w:val="39893797"/>
    <w:rsid w:val="398A5494"/>
    <w:rsid w:val="398D73DC"/>
    <w:rsid w:val="398E7BC5"/>
    <w:rsid w:val="398E7D16"/>
    <w:rsid w:val="39940D2E"/>
    <w:rsid w:val="3994233F"/>
    <w:rsid w:val="3994587F"/>
    <w:rsid w:val="3997136C"/>
    <w:rsid w:val="399A7FF8"/>
    <w:rsid w:val="39A11502"/>
    <w:rsid w:val="39A23994"/>
    <w:rsid w:val="39A305F6"/>
    <w:rsid w:val="39A36BA3"/>
    <w:rsid w:val="39AA433B"/>
    <w:rsid w:val="39AC3BCB"/>
    <w:rsid w:val="39AC67D1"/>
    <w:rsid w:val="39AD1BA6"/>
    <w:rsid w:val="39B37086"/>
    <w:rsid w:val="39B373CE"/>
    <w:rsid w:val="39B47EDA"/>
    <w:rsid w:val="39B8407C"/>
    <w:rsid w:val="39C10951"/>
    <w:rsid w:val="39C173AA"/>
    <w:rsid w:val="39C253C4"/>
    <w:rsid w:val="39C308B6"/>
    <w:rsid w:val="39C33E93"/>
    <w:rsid w:val="39C41070"/>
    <w:rsid w:val="39C90532"/>
    <w:rsid w:val="39C944DB"/>
    <w:rsid w:val="39CB333D"/>
    <w:rsid w:val="39CB4009"/>
    <w:rsid w:val="39CE564E"/>
    <w:rsid w:val="39D32C64"/>
    <w:rsid w:val="39D34F91"/>
    <w:rsid w:val="39D43185"/>
    <w:rsid w:val="39D64D72"/>
    <w:rsid w:val="39D701A2"/>
    <w:rsid w:val="39D740E4"/>
    <w:rsid w:val="39D96B6D"/>
    <w:rsid w:val="39DA6512"/>
    <w:rsid w:val="39DC0A54"/>
    <w:rsid w:val="39DD6037"/>
    <w:rsid w:val="39E559B6"/>
    <w:rsid w:val="39EA5E6A"/>
    <w:rsid w:val="39EA7C89"/>
    <w:rsid w:val="39ED35E3"/>
    <w:rsid w:val="39ED5E10"/>
    <w:rsid w:val="39F33336"/>
    <w:rsid w:val="39F74BA5"/>
    <w:rsid w:val="39F94DC1"/>
    <w:rsid w:val="39F96906"/>
    <w:rsid w:val="39FF2B78"/>
    <w:rsid w:val="3A002C28"/>
    <w:rsid w:val="3A011FC6"/>
    <w:rsid w:val="3A030073"/>
    <w:rsid w:val="3A053904"/>
    <w:rsid w:val="3A0B0650"/>
    <w:rsid w:val="3A0E7BC6"/>
    <w:rsid w:val="3A133271"/>
    <w:rsid w:val="3A142B51"/>
    <w:rsid w:val="3A145757"/>
    <w:rsid w:val="3A172CDE"/>
    <w:rsid w:val="3A190217"/>
    <w:rsid w:val="3A1A4D37"/>
    <w:rsid w:val="3A1D66C3"/>
    <w:rsid w:val="3A1D77C7"/>
    <w:rsid w:val="3A222AD8"/>
    <w:rsid w:val="3A2357BF"/>
    <w:rsid w:val="3A244A4C"/>
    <w:rsid w:val="3A2469E6"/>
    <w:rsid w:val="3A2A31CC"/>
    <w:rsid w:val="3A2F38ED"/>
    <w:rsid w:val="3A2F3AEC"/>
    <w:rsid w:val="3A322081"/>
    <w:rsid w:val="3A326D9D"/>
    <w:rsid w:val="3A3758E9"/>
    <w:rsid w:val="3A3B4233"/>
    <w:rsid w:val="3A3C6A5B"/>
    <w:rsid w:val="3A3F5066"/>
    <w:rsid w:val="3A4240DA"/>
    <w:rsid w:val="3A42432D"/>
    <w:rsid w:val="3A43603C"/>
    <w:rsid w:val="3A4E7899"/>
    <w:rsid w:val="3A500759"/>
    <w:rsid w:val="3A51097F"/>
    <w:rsid w:val="3A5174E9"/>
    <w:rsid w:val="3A522172"/>
    <w:rsid w:val="3A523120"/>
    <w:rsid w:val="3A53737F"/>
    <w:rsid w:val="3A5405D4"/>
    <w:rsid w:val="3A54308A"/>
    <w:rsid w:val="3A55571C"/>
    <w:rsid w:val="3A555D6F"/>
    <w:rsid w:val="3A5615EE"/>
    <w:rsid w:val="3A581CFB"/>
    <w:rsid w:val="3A5C6624"/>
    <w:rsid w:val="3A6201F5"/>
    <w:rsid w:val="3A6212CC"/>
    <w:rsid w:val="3A63644F"/>
    <w:rsid w:val="3A64708C"/>
    <w:rsid w:val="3A72529B"/>
    <w:rsid w:val="3A756463"/>
    <w:rsid w:val="3A774B09"/>
    <w:rsid w:val="3A780855"/>
    <w:rsid w:val="3A783242"/>
    <w:rsid w:val="3A7903BF"/>
    <w:rsid w:val="3A794B9A"/>
    <w:rsid w:val="3A7B57D6"/>
    <w:rsid w:val="3A821244"/>
    <w:rsid w:val="3A824DB6"/>
    <w:rsid w:val="3A836841"/>
    <w:rsid w:val="3A844874"/>
    <w:rsid w:val="3A844DE6"/>
    <w:rsid w:val="3A881CA1"/>
    <w:rsid w:val="3A8B5A8C"/>
    <w:rsid w:val="3A8D7822"/>
    <w:rsid w:val="3A8F2034"/>
    <w:rsid w:val="3A8F5F3B"/>
    <w:rsid w:val="3A930BD6"/>
    <w:rsid w:val="3A981121"/>
    <w:rsid w:val="3A994487"/>
    <w:rsid w:val="3A9968B2"/>
    <w:rsid w:val="3A9A41B8"/>
    <w:rsid w:val="3A9B514C"/>
    <w:rsid w:val="3A9E2A1F"/>
    <w:rsid w:val="3A9E3BC4"/>
    <w:rsid w:val="3A9E4479"/>
    <w:rsid w:val="3AA20FB4"/>
    <w:rsid w:val="3AA229ED"/>
    <w:rsid w:val="3AA50AA5"/>
    <w:rsid w:val="3AA51585"/>
    <w:rsid w:val="3AA5781E"/>
    <w:rsid w:val="3AA72495"/>
    <w:rsid w:val="3AAE636A"/>
    <w:rsid w:val="3AAF722D"/>
    <w:rsid w:val="3AB1520D"/>
    <w:rsid w:val="3AB17449"/>
    <w:rsid w:val="3AB225CB"/>
    <w:rsid w:val="3AB371FF"/>
    <w:rsid w:val="3AB60B96"/>
    <w:rsid w:val="3AC0768C"/>
    <w:rsid w:val="3AC54CA3"/>
    <w:rsid w:val="3AC56A51"/>
    <w:rsid w:val="3AC62D54"/>
    <w:rsid w:val="3AC76A43"/>
    <w:rsid w:val="3AC80F9C"/>
    <w:rsid w:val="3ACB6CF7"/>
    <w:rsid w:val="3ACE2C03"/>
    <w:rsid w:val="3ACF7486"/>
    <w:rsid w:val="3AD2773C"/>
    <w:rsid w:val="3AD27884"/>
    <w:rsid w:val="3AD5329A"/>
    <w:rsid w:val="3AD535AC"/>
    <w:rsid w:val="3ADA6EE3"/>
    <w:rsid w:val="3ADC131D"/>
    <w:rsid w:val="3AE02561"/>
    <w:rsid w:val="3AE0388B"/>
    <w:rsid w:val="3AE10452"/>
    <w:rsid w:val="3AE363D1"/>
    <w:rsid w:val="3AE43A31"/>
    <w:rsid w:val="3AE50E19"/>
    <w:rsid w:val="3AE6240D"/>
    <w:rsid w:val="3AE651D0"/>
    <w:rsid w:val="3AE669DE"/>
    <w:rsid w:val="3AEC106A"/>
    <w:rsid w:val="3AEC6309"/>
    <w:rsid w:val="3AEF4686"/>
    <w:rsid w:val="3AF14F0A"/>
    <w:rsid w:val="3AF2201B"/>
    <w:rsid w:val="3AF360B8"/>
    <w:rsid w:val="3AF64E5C"/>
    <w:rsid w:val="3AF70BD4"/>
    <w:rsid w:val="3AF70CF9"/>
    <w:rsid w:val="3AF72C7D"/>
    <w:rsid w:val="3AF743D9"/>
    <w:rsid w:val="3AF94C21"/>
    <w:rsid w:val="3AFB6295"/>
    <w:rsid w:val="3AFE3AA8"/>
    <w:rsid w:val="3AFF79B7"/>
    <w:rsid w:val="3B01176E"/>
    <w:rsid w:val="3B041787"/>
    <w:rsid w:val="3B042005"/>
    <w:rsid w:val="3B043A1D"/>
    <w:rsid w:val="3B05410B"/>
    <w:rsid w:val="3B082CE0"/>
    <w:rsid w:val="3B0E6089"/>
    <w:rsid w:val="3B0F23C2"/>
    <w:rsid w:val="3B12084B"/>
    <w:rsid w:val="3B131EB2"/>
    <w:rsid w:val="3B135A0E"/>
    <w:rsid w:val="3B14592F"/>
    <w:rsid w:val="3B1459FC"/>
    <w:rsid w:val="3B1672AC"/>
    <w:rsid w:val="3B17312B"/>
    <w:rsid w:val="3B1B2B15"/>
    <w:rsid w:val="3B1C18BE"/>
    <w:rsid w:val="3B1E7ADC"/>
    <w:rsid w:val="3B2051CE"/>
    <w:rsid w:val="3B244560"/>
    <w:rsid w:val="3B246312"/>
    <w:rsid w:val="3B2A4B2F"/>
    <w:rsid w:val="3B2D4C0E"/>
    <w:rsid w:val="3B314F27"/>
    <w:rsid w:val="3B3360B0"/>
    <w:rsid w:val="3B365C3F"/>
    <w:rsid w:val="3B381698"/>
    <w:rsid w:val="3B394FD0"/>
    <w:rsid w:val="3B3A4B50"/>
    <w:rsid w:val="3B3A52B3"/>
    <w:rsid w:val="3B3A743F"/>
    <w:rsid w:val="3B3F51A6"/>
    <w:rsid w:val="3B413C0F"/>
    <w:rsid w:val="3B433806"/>
    <w:rsid w:val="3B4475A9"/>
    <w:rsid w:val="3B470949"/>
    <w:rsid w:val="3B4756B8"/>
    <w:rsid w:val="3B4772A2"/>
    <w:rsid w:val="3B4C0518"/>
    <w:rsid w:val="3B4D5E70"/>
    <w:rsid w:val="3B4F0A10"/>
    <w:rsid w:val="3B4F1638"/>
    <w:rsid w:val="3B533262"/>
    <w:rsid w:val="3B555CB7"/>
    <w:rsid w:val="3B590718"/>
    <w:rsid w:val="3B5978C2"/>
    <w:rsid w:val="3B5A16C6"/>
    <w:rsid w:val="3B5A1996"/>
    <w:rsid w:val="3B5C42B8"/>
    <w:rsid w:val="3B5D0CF7"/>
    <w:rsid w:val="3B614894"/>
    <w:rsid w:val="3B62588A"/>
    <w:rsid w:val="3B626D17"/>
    <w:rsid w:val="3B660234"/>
    <w:rsid w:val="3B6637BE"/>
    <w:rsid w:val="3B674ACC"/>
    <w:rsid w:val="3B675695"/>
    <w:rsid w:val="3B675CEC"/>
    <w:rsid w:val="3B6875C3"/>
    <w:rsid w:val="3B6D7A52"/>
    <w:rsid w:val="3B720521"/>
    <w:rsid w:val="3B7357DF"/>
    <w:rsid w:val="3B7519E6"/>
    <w:rsid w:val="3B7578A3"/>
    <w:rsid w:val="3B762441"/>
    <w:rsid w:val="3B7636BD"/>
    <w:rsid w:val="3B7D61A1"/>
    <w:rsid w:val="3B7F01E6"/>
    <w:rsid w:val="3B813FF0"/>
    <w:rsid w:val="3B81506E"/>
    <w:rsid w:val="3B8310C3"/>
    <w:rsid w:val="3B834FA0"/>
    <w:rsid w:val="3B846F8C"/>
    <w:rsid w:val="3B852106"/>
    <w:rsid w:val="3B852FBB"/>
    <w:rsid w:val="3B8E2986"/>
    <w:rsid w:val="3B913E23"/>
    <w:rsid w:val="3B952CE7"/>
    <w:rsid w:val="3B9B3B03"/>
    <w:rsid w:val="3B9D352A"/>
    <w:rsid w:val="3B9F7287"/>
    <w:rsid w:val="3BA0301A"/>
    <w:rsid w:val="3BA74056"/>
    <w:rsid w:val="3BA94E2C"/>
    <w:rsid w:val="3BAB4D14"/>
    <w:rsid w:val="3BAC6CD4"/>
    <w:rsid w:val="3BAD4A9A"/>
    <w:rsid w:val="3BAF581D"/>
    <w:rsid w:val="3BB05953"/>
    <w:rsid w:val="3BB262A8"/>
    <w:rsid w:val="3BB45184"/>
    <w:rsid w:val="3BB54D17"/>
    <w:rsid w:val="3BB63761"/>
    <w:rsid w:val="3BB64BF1"/>
    <w:rsid w:val="3BB66A0E"/>
    <w:rsid w:val="3BB72278"/>
    <w:rsid w:val="3BB92BBD"/>
    <w:rsid w:val="3BBB499C"/>
    <w:rsid w:val="3BBC21FE"/>
    <w:rsid w:val="3BBF0E96"/>
    <w:rsid w:val="3BBF13FA"/>
    <w:rsid w:val="3BC1546A"/>
    <w:rsid w:val="3BC2023A"/>
    <w:rsid w:val="3BCB0097"/>
    <w:rsid w:val="3BCB1A2A"/>
    <w:rsid w:val="3BCD1EBD"/>
    <w:rsid w:val="3BCE5993"/>
    <w:rsid w:val="3BD14849"/>
    <w:rsid w:val="3BD1622F"/>
    <w:rsid w:val="3BD166C5"/>
    <w:rsid w:val="3BD218D5"/>
    <w:rsid w:val="3BD4087B"/>
    <w:rsid w:val="3BD614B7"/>
    <w:rsid w:val="3BD72EE0"/>
    <w:rsid w:val="3BDE1B40"/>
    <w:rsid w:val="3BDF3DFC"/>
    <w:rsid w:val="3BDF4683"/>
    <w:rsid w:val="3BE13BE9"/>
    <w:rsid w:val="3BE13D5E"/>
    <w:rsid w:val="3BE41159"/>
    <w:rsid w:val="3BEA58E2"/>
    <w:rsid w:val="3BEC1462"/>
    <w:rsid w:val="3BF279CB"/>
    <w:rsid w:val="3BF32220"/>
    <w:rsid w:val="3BF342A7"/>
    <w:rsid w:val="3BF55114"/>
    <w:rsid w:val="3BF5780A"/>
    <w:rsid w:val="3BF65ED8"/>
    <w:rsid w:val="3BF73DCB"/>
    <w:rsid w:val="3BF955EF"/>
    <w:rsid w:val="3BFA14B5"/>
    <w:rsid w:val="3BFE0815"/>
    <w:rsid w:val="3BFE3489"/>
    <w:rsid w:val="3BFF41E4"/>
    <w:rsid w:val="3C003718"/>
    <w:rsid w:val="3C011F6E"/>
    <w:rsid w:val="3C067E6D"/>
    <w:rsid w:val="3C0A4492"/>
    <w:rsid w:val="3C0D5E90"/>
    <w:rsid w:val="3C126EBA"/>
    <w:rsid w:val="3C140BE7"/>
    <w:rsid w:val="3C1B79A0"/>
    <w:rsid w:val="3C243F5C"/>
    <w:rsid w:val="3C255832"/>
    <w:rsid w:val="3C2726E5"/>
    <w:rsid w:val="3C291261"/>
    <w:rsid w:val="3C2D5E53"/>
    <w:rsid w:val="3C2E5B0C"/>
    <w:rsid w:val="3C2E6A41"/>
    <w:rsid w:val="3C2F3E9D"/>
    <w:rsid w:val="3C333E8E"/>
    <w:rsid w:val="3C33731A"/>
    <w:rsid w:val="3C3757AA"/>
    <w:rsid w:val="3C3C020C"/>
    <w:rsid w:val="3C3E2F5F"/>
    <w:rsid w:val="3C3F26F8"/>
    <w:rsid w:val="3C3F5B3D"/>
    <w:rsid w:val="3C4147FD"/>
    <w:rsid w:val="3C43337E"/>
    <w:rsid w:val="3C475CC3"/>
    <w:rsid w:val="3C4B11D8"/>
    <w:rsid w:val="3C4B742A"/>
    <w:rsid w:val="3C4D1430"/>
    <w:rsid w:val="3C4E0CC8"/>
    <w:rsid w:val="3C4F3D2C"/>
    <w:rsid w:val="3C552323"/>
    <w:rsid w:val="3C573507"/>
    <w:rsid w:val="3C603046"/>
    <w:rsid w:val="3C6151F9"/>
    <w:rsid w:val="3C647CED"/>
    <w:rsid w:val="3C654647"/>
    <w:rsid w:val="3C677353"/>
    <w:rsid w:val="3C6C4377"/>
    <w:rsid w:val="3C6D3E4D"/>
    <w:rsid w:val="3C6F3B83"/>
    <w:rsid w:val="3C7544A7"/>
    <w:rsid w:val="3C7626F9"/>
    <w:rsid w:val="3C7828B2"/>
    <w:rsid w:val="3C7C75E3"/>
    <w:rsid w:val="3C7F70D3"/>
    <w:rsid w:val="3C805A59"/>
    <w:rsid w:val="3C810CF9"/>
    <w:rsid w:val="3C817A7A"/>
    <w:rsid w:val="3C834E15"/>
    <w:rsid w:val="3C836D16"/>
    <w:rsid w:val="3C874AB0"/>
    <w:rsid w:val="3C8A164C"/>
    <w:rsid w:val="3C8A75AA"/>
    <w:rsid w:val="3C8D24ED"/>
    <w:rsid w:val="3C8E3C87"/>
    <w:rsid w:val="3C8E442E"/>
    <w:rsid w:val="3C8E5B9D"/>
    <w:rsid w:val="3C903924"/>
    <w:rsid w:val="3C925A4B"/>
    <w:rsid w:val="3C931EBE"/>
    <w:rsid w:val="3C9428EE"/>
    <w:rsid w:val="3C953DDC"/>
    <w:rsid w:val="3C985013"/>
    <w:rsid w:val="3C9A300A"/>
    <w:rsid w:val="3C9A3D45"/>
    <w:rsid w:val="3C9C3CE4"/>
    <w:rsid w:val="3C9E6DCB"/>
    <w:rsid w:val="3CA32DC2"/>
    <w:rsid w:val="3CA54D8C"/>
    <w:rsid w:val="3CA849D7"/>
    <w:rsid w:val="3CA870AD"/>
    <w:rsid w:val="3CA9148B"/>
    <w:rsid w:val="3CAB0C8B"/>
    <w:rsid w:val="3CAB308A"/>
    <w:rsid w:val="3CAB3574"/>
    <w:rsid w:val="3CAC611A"/>
    <w:rsid w:val="3CAD1C84"/>
    <w:rsid w:val="3CAD6E9A"/>
    <w:rsid w:val="3CAE3557"/>
    <w:rsid w:val="3CB06697"/>
    <w:rsid w:val="3CB13741"/>
    <w:rsid w:val="3CB45473"/>
    <w:rsid w:val="3CB50FD8"/>
    <w:rsid w:val="3CB83707"/>
    <w:rsid w:val="3CC61CFF"/>
    <w:rsid w:val="3CC74704"/>
    <w:rsid w:val="3CC8422F"/>
    <w:rsid w:val="3CC904E9"/>
    <w:rsid w:val="3CCA118E"/>
    <w:rsid w:val="3CCB479D"/>
    <w:rsid w:val="3CCD6091"/>
    <w:rsid w:val="3CD87369"/>
    <w:rsid w:val="3CDC49E2"/>
    <w:rsid w:val="3CE079B0"/>
    <w:rsid w:val="3CE21F03"/>
    <w:rsid w:val="3CE22405"/>
    <w:rsid w:val="3CE25F1F"/>
    <w:rsid w:val="3CE65A62"/>
    <w:rsid w:val="3CE70839"/>
    <w:rsid w:val="3CE83126"/>
    <w:rsid w:val="3CE9745B"/>
    <w:rsid w:val="3CEB33F8"/>
    <w:rsid w:val="3CEC1573"/>
    <w:rsid w:val="3CED2111"/>
    <w:rsid w:val="3CEE297C"/>
    <w:rsid w:val="3CEE7EE2"/>
    <w:rsid w:val="3CF02B3F"/>
    <w:rsid w:val="3CF655E7"/>
    <w:rsid w:val="3CFB2BFE"/>
    <w:rsid w:val="3CFD0DF0"/>
    <w:rsid w:val="3CFD6976"/>
    <w:rsid w:val="3CFE42CE"/>
    <w:rsid w:val="3CFE5B16"/>
    <w:rsid w:val="3D0213C9"/>
    <w:rsid w:val="3D05207B"/>
    <w:rsid w:val="3D053A7C"/>
    <w:rsid w:val="3D094571"/>
    <w:rsid w:val="3D0B4A4E"/>
    <w:rsid w:val="3D0C4895"/>
    <w:rsid w:val="3D0D2931"/>
    <w:rsid w:val="3D100584"/>
    <w:rsid w:val="3D104F55"/>
    <w:rsid w:val="3D121CF5"/>
    <w:rsid w:val="3D166D5D"/>
    <w:rsid w:val="3D1859BB"/>
    <w:rsid w:val="3D185EA1"/>
    <w:rsid w:val="3D19589D"/>
    <w:rsid w:val="3D1B1286"/>
    <w:rsid w:val="3D1B3D51"/>
    <w:rsid w:val="3D1C3A6B"/>
    <w:rsid w:val="3D1D6E95"/>
    <w:rsid w:val="3D1E4B3E"/>
    <w:rsid w:val="3D204EED"/>
    <w:rsid w:val="3D231A2F"/>
    <w:rsid w:val="3D232155"/>
    <w:rsid w:val="3D2757A1"/>
    <w:rsid w:val="3D2A4D8E"/>
    <w:rsid w:val="3D2E6EA5"/>
    <w:rsid w:val="3D307B88"/>
    <w:rsid w:val="3D314871"/>
    <w:rsid w:val="3D3C24E8"/>
    <w:rsid w:val="3D3D6575"/>
    <w:rsid w:val="3D3D6BCC"/>
    <w:rsid w:val="3D3D6E92"/>
    <w:rsid w:val="3D3E037F"/>
    <w:rsid w:val="3D4010D7"/>
    <w:rsid w:val="3D404AB5"/>
    <w:rsid w:val="3D41766C"/>
    <w:rsid w:val="3D445684"/>
    <w:rsid w:val="3D4471C6"/>
    <w:rsid w:val="3D4553F5"/>
    <w:rsid w:val="3D4A4188"/>
    <w:rsid w:val="3D4C00E4"/>
    <w:rsid w:val="3D4F1BEB"/>
    <w:rsid w:val="3D4F421D"/>
    <w:rsid w:val="3D51592D"/>
    <w:rsid w:val="3D5812DD"/>
    <w:rsid w:val="3D595B76"/>
    <w:rsid w:val="3D5F318D"/>
    <w:rsid w:val="3D5F35D0"/>
    <w:rsid w:val="3D635879"/>
    <w:rsid w:val="3D6478B5"/>
    <w:rsid w:val="3D6858D5"/>
    <w:rsid w:val="3D686BE0"/>
    <w:rsid w:val="3D6B0A8B"/>
    <w:rsid w:val="3D6D72AC"/>
    <w:rsid w:val="3D7306A2"/>
    <w:rsid w:val="3D751FCF"/>
    <w:rsid w:val="3D7A6218"/>
    <w:rsid w:val="3D7B789B"/>
    <w:rsid w:val="3D7D39C6"/>
    <w:rsid w:val="3D827DBA"/>
    <w:rsid w:val="3D8507E0"/>
    <w:rsid w:val="3D851D0D"/>
    <w:rsid w:val="3D8570AA"/>
    <w:rsid w:val="3D863E59"/>
    <w:rsid w:val="3D867814"/>
    <w:rsid w:val="3D8B31BB"/>
    <w:rsid w:val="3D8C4848"/>
    <w:rsid w:val="3D8E1842"/>
    <w:rsid w:val="3D8E3295"/>
    <w:rsid w:val="3D8E38E0"/>
    <w:rsid w:val="3D8E5820"/>
    <w:rsid w:val="3D904A01"/>
    <w:rsid w:val="3D9077EA"/>
    <w:rsid w:val="3D9324BB"/>
    <w:rsid w:val="3D935C56"/>
    <w:rsid w:val="3D950ED5"/>
    <w:rsid w:val="3D974A3A"/>
    <w:rsid w:val="3D9B2B19"/>
    <w:rsid w:val="3D9D087F"/>
    <w:rsid w:val="3D9D62A6"/>
    <w:rsid w:val="3D9F0F5F"/>
    <w:rsid w:val="3D9F3413"/>
    <w:rsid w:val="3D9F495F"/>
    <w:rsid w:val="3DA142EB"/>
    <w:rsid w:val="3DA90EF9"/>
    <w:rsid w:val="3DAB697F"/>
    <w:rsid w:val="3DAF540A"/>
    <w:rsid w:val="3DB00360"/>
    <w:rsid w:val="3DB841CB"/>
    <w:rsid w:val="3DBA5E38"/>
    <w:rsid w:val="3DBB1BA6"/>
    <w:rsid w:val="3DBC58A9"/>
    <w:rsid w:val="3DC31907"/>
    <w:rsid w:val="3DC523E1"/>
    <w:rsid w:val="3DC52E68"/>
    <w:rsid w:val="3DC54A86"/>
    <w:rsid w:val="3DC54FBA"/>
    <w:rsid w:val="3DC643AC"/>
    <w:rsid w:val="3DC803BD"/>
    <w:rsid w:val="3DC86B46"/>
    <w:rsid w:val="3DC92CFC"/>
    <w:rsid w:val="3DCB524C"/>
    <w:rsid w:val="3DCB58C2"/>
    <w:rsid w:val="3DCF2E79"/>
    <w:rsid w:val="3DD01D33"/>
    <w:rsid w:val="3DD07B05"/>
    <w:rsid w:val="3DD42B85"/>
    <w:rsid w:val="3DD70031"/>
    <w:rsid w:val="3DD851B4"/>
    <w:rsid w:val="3DDB7244"/>
    <w:rsid w:val="3DDC1A74"/>
    <w:rsid w:val="3DDD05AD"/>
    <w:rsid w:val="3DDE4FF9"/>
    <w:rsid w:val="3DDF4B52"/>
    <w:rsid w:val="3DE04C2E"/>
    <w:rsid w:val="3DE0577E"/>
    <w:rsid w:val="3DE11F6F"/>
    <w:rsid w:val="3DE21C10"/>
    <w:rsid w:val="3DE2632D"/>
    <w:rsid w:val="3DE548B0"/>
    <w:rsid w:val="3DE55EB2"/>
    <w:rsid w:val="3DEB7F24"/>
    <w:rsid w:val="3DED13A8"/>
    <w:rsid w:val="3DED4400"/>
    <w:rsid w:val="3DEF013E"/>
    <w:rsid w:val="3DF07218"/>
    <w:rsid w:val="3DF24001"/>
    <w:rsid w:val="3DF338B5"/>
    <w:rsid w:val="3DF96E5F"/>
    <w:rsid w:val="3DFA4AB4"/>
    <w:rsid w:val="3DFB03D8"/>
    <w:rsid w:val="3DFC5657"/>
    <w:rsid w:val="3DFE24BD"/>
    <w:rsid w:val="3E003AE4"/>
    <w:rsid w:val="3E00614B"/>
    <w:rsid w:val="3E006490"/>
    <w:rsid w:val="3E0071A5"/>
    <w:rsid w:val="3E047890"/>
    <w:rsid w:val="3E053AD9"/>
    <w:rsid w:val="3E057611"/>
    <w:rsid w:val="3E066150"/>
    <w:rsid w:val="3E076A19"/>
    <w:rsid w:val="3E09490F"/>
    <w:rsid w:val="3E094923"/>
    <w:rsid w:val="3E0A3DC3"/>
    <w:rsid w:val="3E0B19A5"/>
    <w:rsid w:val="3E0B6E71"/>
    <w:rsid w:val="3E1039CB"/>
    <w:rsid w:val="3E130E62"/>
    <w:rsid w:val="3E1403F5"/>
    <w:rsid w:val="3E150160"/>
    <w:rsid w:val="3E162F6E"/>
    <w:rsid w:val="3E173924"/>
    <w:rsid w:val="3E173A67"/>
    <w:rsid w:val="3E17434F"/>
    <w:rsid w:val="3E197B99"/>
    <w:rsid w:val="3E200ADF"/>
    <w:rsid w:val="3E224186"/>
    <w:rsid w:val="3E22456F"/>
    <w:rsid w:val="3E246184"/>
    <w:rsid w:val="3E2642DC"/>
    <w:rsid w:val="3E2D460A"/>
    <w:rsid w:val="3E2F1ADA"/>
    <w:rsid w:val="3E300A32"/>
    <w:rsid w:val="3E30494E"/>
    <w:rsid w:val="3E321E4F"/>
    <w:rsid w:val="3E35544A"/>
    <w:rsid w:val="3E3B474C"/>
    <w:rsid w:val="3E3B796C"/>
    <w:rsid w:val="3E3C34CE"/>
    <w:rsid w:val="3E3C796E"/>
    <w:rsid w:val="3E42624E"/>
    <w:rsid w:val="3E473341"/>
    <w:rsid w:val="3E474B17"/>
    <w:rsid w:val="3E483C21"/>
    <w:rsid w:val="3E4B7E2B"/>
    <w:rsid w:val="3E4D7B46"/>
    <w:rsid w:val="3E502AD5"/>
    <w:rsid w:val="3E52518D"/>
    <w:rsid w:val="3E526FAD"/>
    <w:rsid w:val="3E563125"/>
    <w:rsid w:val="3E57610A"/>
    <w:rsid w:val="3E580CE6"/>
    <w:rsid w:val="3E5A1844"/>
    <w:rsid w:val="3E5C147A"/>
    <w:rsid w:val="3E5F4AA5"/>
    <w:rsid w:val="3E5F5CE2"/>
    <w:rsid w:val="3E622809"/>
    <w:rsid w:val="3E62722A"/>
    <w:rsid w:val="3E6B5B61"/>
    <w:rsid w:val="3E72445E"/>
    <w:rsid w:val="3E7561B1"/>
    <w:rsid w:val="3E773849"/>
    <w:rsid w:val="3E7B7D16"/>
    <w:rsid w:val="3E7E7BB4"/>
    <w:rsid w:val="3E8310FD"/>
    <w:rsid w:val="3E84016A"/>
    <w:rsid w:val="3E854E75"/>
    <w:rsid w:val="3E86735F"/>
    <w:rsid w:val="3E8A6F8D"/>
    <w:rsid w:val="3E8B2071"/>
    <w:rsid w:val="3E8B5FF3"/>
    <w:rsid w:val="3E8B7D8E"/>
    <w:rsid w:val="3E8C6401"/>
    <w:rsid w:val="3E8D1F7B"/>
    <w:rsid w:val="3E8F6B4B"/>
    <w:rsid w:val="3E954801"/>
    <w:rsid w:val="3E955D97"/>
    <w:rsid w:val="3E990745"/>
    <w:rsid w:val="3E9A6446"/>
    <w:rsid w:val="3E9B47D7"/>
    <w:rsid w:val="3E9D33F3"/>
    <w:rsid w:val="3EA12152"/>
    <w:rsid w:val="3EA6717E"/>
    <w:rsid w:val="3EAB0A31"/>
    <w:rsid w:val="3EAB197A"/>
    <w:rsid w:val="3EAC4C2C"/>
    <w:rsid w:val="3EB10EEF"/>
    <w:rsid w:val="3EB174D3"/>
    <w:rsid w:val="3EB60367"/>
    <w:rsid w:val="3EB63817"/>
    <w:rsid w:val="3EB75E9C"/>
    <w:rsid w:val="3EB87251"/>
    <w:rsid w:val="3EB91796"/>
    <w:rsid w:val="3EB92D6E"/>
    <w:rsid w:val="3EBA0559"/>
    <w:rsid w:val="3EBB4189"/>
    <w:rsid w:val="3EBF1A09"/>
    <w:rsid w:val="3EBF3F87"/>
    <w:rsid w:val="3EBF5484"/>
    <w:rsid w:val="3EC02D0B"/>
    <w:rsid w:val="3EC321EE"/>
    <w:rsid w:val="3EC80BF5"/>
    <w:rsid w:val="3EC95D86"/>
    <w:rsid w:val="3ECB2BF0"/>
    <w:rsid w:val="3ECD202D"/>
    <w:rsid w:val="3ED050BD"/>
    <w:rsid w:val="3ED15B5B"/>
    <w:rsid w:val="3ED41958"/>
    <w:rsid w:val="3EDB6A38"/>
    <w:rsid w:val="3EDC25BB"/>
    <w:rsid w:val="3EDE5FEE"/>
    <w:rsid w:val="3EE0646F"/>
    <w:rsid w:val="3EE1621B"/>
    <w:rsid w:val="3EE22010"/>
    <w:rsid w:val="3EE53B65"/>
    <w:rsid w:val="3EE56B45"/>
    <w:rsid w:val="3EEA2505"/>
    <w:rsid w:val="3EEB1504"/>
    <w:rsid w:val="3EEB2467"/>
    <w:rsid w:val="3EED6576"/>
    <w:rsid w:val="3EF040BC"/>
    <w:rsid w:val="3EF22F19"/>
    <w:rsid w:val="3EF7319B"/>
    <w:rsid w:val="3EFA2B3E"/>
    <w:rsid w:val="3EFB4B24"/>
    <w:rsid w:val="3EFC3DC5"/>
    <w:rsid w:val="3EFD17C1"/>
    <w:rsid w:val="3EFD69CE"/>
    <w:rsid w:val="3EFE4C27"/>
    <w:rsid w:val="3EFF274B"/>
    <w:rsid w:val="3F031E9B"/>
    <w:rsid w:val="3F040C3C"/>
    <w:rsid w:val="3F0826B6"/>
    <w:rsid w:val="3F0D5847"/>
    <w:rsid w:val="3F100B54"/>
    <w:rsid w:val="3F110C6C"/>
    <w:rsid w:val="3F1210E4"/>
    <w:rsid w:val="3F12323C"/>
    <w:rsid w:val="3F131C24"/>
    <w:rsid w:val="3F1D650A"/>
    <w:rsid w:val="3F1E0E25"/>
    <w:rsid w:val="3F21053C"/>
    <w:rsid w:val="3F214472"/>
    <w:rsid w:val="3F260AC0"/>
    <w:rsid w:val="3F295E75"/>
    <w:rsid w:val="3F2B565F"/>
    <w:rsid w:val="3F2C3F45"/>
    <w:rsid w:val="3F2E3B78"/>
    <w:rsid w:val="3F2E5303"/>
    <w:rsid w:val="3F36100B"/>
    <w:rsid w:val="3F36247B"/>
    <w:rsid w:val="3F375A43"/>
    <w:rsid w:val="3F394A59"/>
    <w:rsid w:val="3F395C5F"/>
    <w:rsid w:val="3F3A0B1A"/>
    <w:rsid w:val="3F3B4C3C"/>
    <w:rsid w:val="3F3E44BE"/>
    <w:rsid w:val="3F3F333C"/>
    <w:rsid w:val="3F400F22"/>
    <w:rsid w:val="3F45783C"/>
    <w:rsid w:val="3F497EB1"/>
    <w:rsid w:val="3F4A34F3"/>
    <w:rsid w:val="3F4C1DC3"/>
    <w:rsid w:val="3F4C5C20"/>
    <w:rsid w:val="3F5374CE"/>
    <w:rsid w:val="3F5401F2"/>
    <w:rsid w:val="3F547A3D"/>
    <w:rsid w:val="3F5572DE"/>
    <w:rsid w:val="3F5577E0"/>
    <w:rsid w:val="3F5811FA"/>
    <w:rsid w:val="3F5B13BB"/>
    <w:rsid w:val="3F5B3D7F"/>
    <w:rsid w:val="3F5B5BD6"/>
    <w:rsid w:val="3F5D7767"/>
    <w:rsid w:val="3F5F3992"/>
    <w:rsid w:val="3F670616"/>
    <w:rsid w:val="3F67457A"/>
    <w:rsid w:val="3F6B2841"/>
    <w:rsid w:val="3F6D24D6"/>
    <w:rsid w:val="3F6D626B"/>
    <w:rsid w:val="3F7041B8"/>
    <w:rsid w:val="3F784E72"/>
    <w:rsid w:val="3F79486F"/>
    <w:rsid w:val="3F7B1D20"/>
    <w:rsid w:val="3F7C1932"/>
    <w:rsid w:val="3F7E3CE4"/>
    <w:rsid w:val="3F7F066D"/>
    <w:rsid w:val="3F8425B7"/>
    <w:rsid w:val="3F84392E"/>
    <w:rsid w:val="3F870A55"/>
    <w:rsid w:val="3F8A3063"/>
    <w:rsid w:val="3F8A4A04"/>
    <w:rsid w:val="3F8C2233"/>
    <w:rsid w:val="3F915055"/>
    <w:rsid w:val="3F9178A4"/>
    <w:rsid w:val="3F935763"/>
    <w:rsid w:val="3F947F45"/>
    <w:rsid w:val="3F981351"/>
    <w:rsid w:val="3F9B3902"/>
    <w:rsid w:val="3F9C6DC6"/>
    <w:rsid w:val="3F9F236E"/>
    <w:rsid w:val="3FA05CDE"/>
    <w:rsid w:val="3FA1535D"/>
    <w:rsid w:val="3FA37CB4"/>
    <w:rsid w:val="3FA40226"/>
    <w:rsid w:val="3FA416A0"/>
    <w:rsid w:val="3FA551B0"/>
    <w:rsid w:val="3FA86638"/>
    <w:rsid w:val="3FA94B93"/>
    <w:rsid w:val="3FAF5251"/>
    <w:rsid w:val="3FAF6784"/>
    <w:rsid w:val="3FB13FB4"/>
    <w:rsid w:val="3FB1678D"/>
    <w:rsid w:val="3FB6237A"/>
    <w:rsid w:val="3FB9033E"/>
    <w:rsid w:val="3FB912A1"/>
    <w:rsid w:val="3FB94BA5"/>
    <w:rsid w:val="3FBA18A9"/>
    <w:rsid w:val="3FBD1C66"/>
    <w:rsid w:val="3FC55304"/>
    <w:rsid w:val="3FC73196"/>
    <w:rsid w:val="3FC736B1"/>
    <w:rsid w:val="3FCC3191"/>
    <w:rsid w:val="3FCD17B6"/>
    <w:rsid w:val="3FCD282A"/>
    <w:rsid w:val="3FCE0156"/>
    <w:rsid w:val="3FCE3BD5"/>
    <w:rsid w:val="3FD17C46"/>
    <w:rsid w:val="3FD6724D"/>
    <w:rsid w:val="3FD7170F"/>
    <w:rsid w:val="3FDB715D"/>
    <w:rsid w:val="3FE1063B"/>
    <w:rsid w:val="3FE16803"/>
    <w:rsid w:val="3FE57645"/>
    <w:rsid w:val="3FE627C5"/>
    <w:rsid w:val="3FE67A7D"/>
    <w:rsid w:val="3FEB39D0"/>
    <w:rsid w:val="3FEF27BC"/>
    <w:rsid w:val="3FF25E6E"/>
    <w:rsid w:val="3FF45B99"/>
    <w:rsid w:val="3FF46A69"/>
    <w:rsid w:val="3FF673A7"/>
    <w:rsid w:val="40003A47"/>
    <w:rsid w:val="400131CD"/>
    <w:rsid w:val="400144E2"/>
    <w:rsid w:val="40025480"/>
    <w:rsid w:val="400B2CF7"/>
    <w:rsid w:val="400F1CB3"/>
    <w:rsid w:val="400F1DB6"/>
    <w:rsid w:val="401258C4"/>
    <w:rsid w:val="40167D4F"/>
    <w:rsid w:val="401C5365"/>
    <w:rsid w:val="401D10DD"/>
    <w:rsid w:val="401E50FF"/>
    <w:rsid w:val="401F275D"/>
    <w:rsid w:val="401F4E55"/>
    <w:rsid w:val="402204A1"/>
    <w:rsid w:val="402539A8"/>
    <w:rsid w:val="4028049C"/>
    <w:rsid w:val="402A6D50"/>
    <w:rsid w:val="402A7653"/>
    <w:rsid w:val="402E5098"/>
    <w:rsid w:val="403008AB"/>
    <w:rsid w:val="40307062"/>
    <w:rsid w:val="40383B92"/>
    <w:rsid w:val="403A2FC0"/>
    <w:rsid w:val="403B098F"/>
    <w:rsid w:val="403D26A1"/>
    <w:rsid w:val="40402324"/>
    <w:rsid w:val="40414DCB"/>
    <w:rsid w:val="4042308D"/>
    <w:rsid w:val="40474EEC"/>
    <w:rsid w:val="404C1BD4"/>
    <w:rsid w:val="404F1D4A"/>
    <w:rsid w:val="404F405D"/>
    <w:rsid w:val="4050426F"/>
    <w:rsid w:val="40504E85"/>
    <w:rsid w:val="405234BB"/>
    <w:rsid w:val="40545272"/>
    <w:rsid w:val="40556AC9"/>
    <w:rsid w:val="405C085C"/>
    <w:rsid w:val="405E0CA1"/>
    <w:rsid w:val="405E3C94"/>
    <w:rsid w:val="405F3257"/>
    <w:rsid w:val="40692574"/>
    <w:rsid w:val="406E2578"/>
    <w:rsid w:val="407B2777"/>
    <w:rsid w:val="407D392A"/>
    <w:rsid w:val="40814AE7"/>
    <w:rsid w:val="40881662"/>
    <w:rsid w:val="40896772"/>
    <w:rsid w:val="408C0FBC"/>
    <w:rsid w:val="408E7341"/>
    <w:rsid w:val="408F4600"/>
    <w:rsid w:val="4090046F"/>
    <w:rsid w:val="40912665"/>
    <w:rsid w:val="409273D5"/>
    <w:rsid w:val="409405F8"/>
    <w:rsid w:val="4095795F"/>
    <w:rsid w:val="409732D4"/>
    <w:rsid w:val="409D7290"/>
    <w:rsid w:val="409E05AF"/>
    <w:rsid w:val="409E66DA"/>
    <w:rsid w:val="40A10D10"/>
    <w:rsid w:val="40A13ABC"/>
    <w:rsid w:val="40A6562D"/>
    <w:rsid w:val="40AD656F"/>
    <w:rsid w:val="40B33E41"/>
    <w:rsid w:val="40B45FC0"/>
    <w:rsid w:val="40B51C9B"/>
    <w:rsid w:val="40BC6B48"/>
    <w:rsid w:val="40BE555C"/>
    <w:rsid w:val="40C22FC0"/>
    <w:rsid w:val="40C23E8F"/>
    <w:rsid w:val="40C61775"/>
    <w:rsid w:val="40CC0F11"/>
    <w:rsid w:val="40CD2F92"/>
    <w:rsid w:val="40CF1620"/>
    <w:rsid w:val="40CF1B6E"/>
    <w:rsid w:val="40CF23D7"/>
    <w:rsid w:val="40CF6F9D"/>
    <w:rsid w:val="40D02DE0"/>
    <w:rsid w:val="40D07A79"/>
    <w:rsid w:val="40D659F7"/>
    <w:rsid w:val="40D7128C"/>
    <w:rsid w:val="40DD6D52"/>
    <w:rsid w:val="40DF5E63"/>
    <w:rsid w:val="40E2450E"/>
    <w:rsid w:val="40E638D8"/>
    <w:rsid w:val="40E750A0"/>
    <w:rsid w:val="40E77274"/>
    <w:rsid w:val="40EA49FF"/>
    <w:rsid w:val="40EC54ED"/>
    <w:rsid w:val="40EF43EC"/>
    <w:rsid w:val="40F17118"/>
    <w:rsid w:val="40F273ED"/>
    <w:rsid w:val="40F47688"/>
    <w:rsid w:val="40F47E2D"/>
    <w:rsid w:val="40F54D89"/>
    <w:rsid w:val="40F72151"/>
    <w:rsid w:val="40F74B9A"/>
    <w:rsid w:val="40FA5839"/>
    <w:rsid w:val="40FE400D"/>
    <w:rsid w:val="410061AC"/>
    <w:rsid w:val="4101455B"/>
    <w:rsid w:val="410A771C"/>
    <w:rsid w:val="410B027C"/>
    <w:rsid w:val="411029F0"/>
    <w:rsid w:val="411372D5"/>
    <w:rsid w:val="4114404A"/>
    <w:rsid w:val="41180CA3"/>
    <w:rsid w:val="411917F4"/>
    <w:rsid w:val="411B1373"/>
    <w:rsid w:val="41211C91"/>
    <w:rsid w:val="41232723"/>
    <w:rsid w:val="4124317D"/>
    <w:rsid w:val="41270465"/>
    <w:rsid w:val="41286F0B"/>
    <w:rsid w:val="4129455A"/>
    <w:rsid w:val="412C1CD5"/>
    <w:rsid w:val="412C6429"/>
    <w:rsid w:val="412D5350"/>
    <w:rsid w:val="412D79B9"/>
    <w:rsid w:val="41321CD8"/>
    <w:rsid w:val="41362456"/>
    <w:rsid w:val="4136341B"/>
    <w:rsid w:val="41367BB2"/>
    <w:rsid w:val="413811ED"/>
    <w:rsid w:val="41387922"/>
    <w:rsid w:val="413977B6"/>
    <w:rsid w:val="413A0B2D"/>
    <w:rsid w:val="413A1BB8"/>
    <w:rsid w:val="413A6496"/>
    <w:rsid w:val="413C30F4"/>
    <w:rsid w:val="413C5593"/>
    <w:rsid w:val="413E3EE9"/>
    <w:rsid w:val="413F0039"/>
    <w:rsid w:val="41410DB1"/>
    <w:rsid w:val="41411263"/>
    <w:rsid w:val="414132AA"/>
    <w:rsid w:val="41425C96"/>
    <w:rsid w:val="41484A97"/>
    <w:rsid w:val="414A0A35"/>
    <w:rsid w:val="414C257F"/>
    <w:rsid w:val="414C2FE2"/>
    <w:rsid w:val="414C60A1"/>
    <w:rsid w:val="414D5C28"/>
    <w:rsid w:val="41536DC3"/>
    <w:rsid w:val="41540B2E"/>
    <w:rsid w:val="415428DD"/>
    <w:rsid w:val="41543FA7"/>
    <w:rsid w:val="41562B98"/>
    <w:rsid w:val="41570055"/>
    <w:rsid w:val="4157145A"/>
    <w:rsid w:val="415835B4"/>
    <w:rsid w:val="4159523E"/>
    <w:rsid w:val="41597DC9"/>
    <w:rsid w:val="415B010F"/>
    <w:rsid w:val="415B61D8"/>
    <w:rsid w:val="415C6413"/>
    <w:rsid w:val="41600E1A"/>
    <w:rsid w:val="416B6DAF"/>
    <w:rsid w:val="416C15D9"/>
    <w:rsid w:val="416C3198"/>
    <w:rsid w:val="416C5E78"/>
    <w:rsid w:val="416D70EF"/>
    <w:rsid w:val="416E6667"/>
    <w:rsid w:val="417317C9"/>
    <w:rsid w:val="4176473A"/>
    <w:rsid w:val="41786A61"/>
    <w:rsid w:val="417967E7"/>
    <w:rsid w:val="417A5A2B"/>
    <w:rsid w:val="417C114C"/>
    <w:rsid w:val="41807B75"/>
    <w:rsid w:val="41810341"/>
    <w:rsid w:val="418479B8"/>
    <w:rsid w:val="418541FB"/>
    <w:rsid w:val="41856869"/>
    <w:rsid w:val="418963BF"/>
    <w:rsid w:val="418A107C"/>
    <w:rsid w:val="418A491B"/>
    <w:rsid w:val="418B5E7D"/>
    <w:rsid w:val="418C2268"/>
    <w:rsid w:val="418D5DEE"/>
    <w:rsid w:val="418E7C8B"/>
    <w:rsid w:val="41901586"/>
    <w:rsid w:val="41974FA5"/>
    <w:rsid w:val="41980462"/>
    <w:rsid w:val="4199356D"/>
    <w:rsid w:val="419A33E4"/>
    <w:rsid w:val="419A6CBB"/>
    <w:rsid w:val="419C4A6C"/>
    <w:rsid w:val="419D3729"/>
    <w:rsid w:val="41A04356"/>
    <w:rsid w:val="41A067F4"/>
    <w:rsid w:val="41A06BDB"/>
    <w:rsid w:val="41A37FCB"/>
    <w:rsid w:val="41A621AE"/>
    <w:rsid w:val="41A6520F"/>
    <w:rsid w:val="41A77BCC"/>
    <w:rsid w:val="41AA1C5A"/>
    <w:rsid w:val="41AF1272"/>
    <w:rsid w:val="41B25E54"/>
    <w:rsid w:val="41B411E1"/>
    <w:rsid w:val="41B4236E"/>
    <w:rsid w:val="41B4781F"/>
    <w:rsid w:val="41B55D1B"/>
    <w:rsid w:val="41B63597"/>
    <w:rsid w:val="41B7340F"/>
    <w:rsid w:val="41B80C5C"/>
    <w:rsid w:val="41B810BD"/>
    <w:rsid w:val="41B95CBD"/>
    <w:rsid w:val="41BB6E00"/>
    <w:rsid w:val="41C30CD7"/>
    <w:rsid w:val="41C61D12"/>
    <w:rsid w:val="41C82DE4"/>
    <w:rsid w:val="41C87080"/>
    <w:rsid w:val="41CA2B9F"/>
    <w:rsid w:val="41CA3EA7"/>
    <w:rsid w:val="41CB4DF1"/>
    <w:rsid w:val="41CC3178"/>
    <w:rsid w:val="41CC7DDB"/>
    <w:rsid w:val="41D05515"/>
    <w:rsid w:val="41D50D2E"/>
    <w:rsid w:val="41D74882"/>
    <w:rsid w:val="41D81760"/>
    <w:rsid w:val="41DF28BD"/>
    <w:rsid w:val="41E14071"/>
    <w:rsid w:val="41E26A4B"/>
    <w:rsid w:val="41E33C60"/>
    <w:rsid w:val="41E52879"/>
    <w:rsid w:val="41E97F8B"/>
    <w:rsid w:val="41EA713F"/>
    <w:rsid w:val="41EB5D1F"/>
    <w:rsid w:val="41ED1624"/>
    <w:rsid w:val="41EE26C9"/>
    <w:rsid w:val="41EE4ADF"/>
    <w:rsid w:val="41F0244C"/>
    <w:rsid w:val="41F14572"/>
    <w:rsid w:val="41F320F5"/>
    <w:rsid w:val="41F33FC2"/>
    <w:rsid w:val="41F504EF"/>
    <w:rsid w:val="41F80D3E"/>
    <w:rsid w:val="41F84884"/>
    <w:rsid w:val="41FA4892"/>
    <w:rsid w:val="41FA52B4"/>
    <w:rsid w:val="41FB6DB9"/>
    <w:rsid w:val="41FC7C22"/>
    <w:rsid w:val="41FE2170"/>
    <w:rsid w:val="420049FD"/>
    <w:rsid w:val="420267DC"/>
    <w:rsid w:val="420460B1"/>
    <w:rsid w:val="42081615"/>
    <w:rsid w:val="42093ABE"/>
    <w:rsid w:val="420A2212"/>
    <w:rsid w:val="420B2ED4"/>
    <w:rsid w:val="420D418B"/>
    <w:rsid w:val="42124237"/>
    <w:rsid w:val="42125AED"/>
    <w:rsid w:val="4212615C"/>
    <w:rsid w:val="42145190"/>
    <w:rsid w:val="42155ED0"/>
    <w:rsid w:val="4216269E"/>
    <w:rsid w:val="421729DE"/>
    <w:rsid w:val="42186000"/>
    <w:rsid w:val="421906CE"/>
    <w:rsid w:val="421A293F"/>
    <w:rsid w:val="421A58D4"/>
    <w:rsid w:val="421B198D"/>
    <w:rsid w:val="421B5630"/>
    <w:rsid w:val="421C5F3B"/>
    <w:rsid w:val="42224789"/>
    <w:rsid w:val="42242413"/>
    <w:rsid w:val="42246753"/>
    <w:rsid w:val="42251930"/>
    <w:rsid w:val="42364826"/>
    <w:rsid w:val="42365072"/>
    <w:rsid w:val="423A41C8"/>
    <w:rsid w:val="423B417B"/>
    <w:rsid w:val="423F7019"/>
    <w:rsid w:val="4242450A"/>
    <w:rsid w:val="42440BA3"/>
    <w:rsid w:val="42444AC6"/>
    <w:rsid w:val="424757AB"/>
    <w:rsid w:val="42482511"/>
    <w:rsid w:val="424A56E4"/>
    <w:rsid w:val="424B568F"/>
    <w:rsid w:val="424C1EAF"/>
    <w:rsid w:val="424D48A7"/>
    <w:rsid w:val="42501F8B"/>
    <w:rsid w:val="4251142E"/>
    <w:rsid w:val="4251506E"/>
    <w:rsid w:val="425451F1"/>
    <w:rsid w:val="4257435F"/>
    <w:rsid w:val="42591487"/>
    <w:rsid w:val="425A6618"/>
    <w:rsid w:val="425D308B"/>
    <w:rsid w:val="425E0413"/>
    <w:rsid w:val="425F1B51"/>
    <w:rsid w:val="42673CBE"/>
    <w:rsid w:val="42693067"/>
    <w:rsid w:val="426C6D1E"/>
    <w:rsid w:val="426E2980"/>
    <w:rsid w:val="426E4935"/>
    <w:rsid w:val="426F3221"/>
    <w:rsid w:val="4271068E"/>
    <w:rsid w:val="42753F2E"/>
    <w:rsid w:val="42756136"/>
    <w:rsid w:val="42766B54"/>
    <w:rsid w:val="42777BF0"/>
    <w:rsid w:val="427A1ACA"/>
    <w:rsid w:val="427B0C7C"/>
    <w:rsid w:val="427C6278"/>
    <w:rsid w:val="4281157F"/>
    <w:rsid w:val="4283535B"/>
    <w:rsid w:val="4283791D"/>
    <w:rsid w:val="4287540F"/>
    <w:rsid w:val="42880A40"/>
    <w:rsid w:val="428D6C68"/>
    <w:rsid w:val="428E1E1E"/>
    <w:rsid w:val="428F7FCF"/>
    <w:rsid w:val="42903769"/>
    <w:rsid w:val="42942E80"/>
    <w:rsid w:val="42944153"/>
    <w:rsid w:val="4295062A"/>
    <w:rsid w:val="42970BED"/>
    <w:rsid w:val="429B4D5F"/>
    <w:rsid w:val="429E0438"/>
    <w:rsid w:val="429F3E3B"/>
    <w:rsid w:val="429F402B"/>
    <w:rsid w:val="42A359F3"/>
    <w:rsid w:val="42A85E8D"/>
    <w:rsid w:val="42AC1F67"/>
    <w:rsid w:val="42B00B95"/>
    <w:rsid w:val="42B215D3"/>
    <w:rsid w:val="42B22EE1"/>
    <w:rsid w:val="42B555FD"/>
    <w:rsid w:val="42BA086A"/>
    <w:rsid w:val="42BC45A7"/>
    <w:rsid w:val="42BD67E8"/>
    <w:rsid w:val="42BE31AA"/>
    <w:rsid w:val="42C121F4"/>
    <w:rsid w:val="42C359AA"/>
    <w:rsid w:val="42C52FD7"/>
    <w:rsid w:val="42C64C0A"/>
    <w:rsid w:val="42C764B6"/>
    <w:rsid w:val="42C768BF"/>
    <w:rsid w:val="42D0072B"/>
    <w:rsid w:val="42D27F5D"/>
    <w:rsid w:val="42D34521"/>
    <w:rsid w:val="42D5453C"/>
    <w:rsid w:val="42D66736"/>
    <w:rsid w:val="42D66C73"/>
    <w:rsid w:val="42D80AF1"/>
    <w:rsid w:val="42DC0DDB"/>
    <w:rsid w:val="42DE34FB"/>
    <w:rsid w:val="42E23C0C"/>
    <w:rsid w:val="42E4268D"/>
    <w:rsid w:val="42E43514"/>
    <w:rsid w:val="42E436CE"/>
    <w:rsid w:val="42E67EAC"/>
    <w:rsid w:val="42E70532"/>
    <w:rsid w:val="42E942DF"/>
    <w:rsid w:val="42EA1B91"/>
    <w:rsid w:val="42EB6C4A"/>
    <w:rsid w:val="42EF2E64"/>
    <w:rsid w:val="42EF4FB3"/>
    <w:rsid w:val="42F078E0"/>
    <w:rsid w:val="42F1683B"/>
    <w:rsid w:val="42FC5F2B"/>
    <w:rsid w:val="42FD47B2"/>
    <w:rsid w:val="42FE4AAC"/>
    <w:rsid w:val="43021DC4"/>
    <w:rsid w:val="43044165"/>
    <w:rsid w:val="43052838"/>
    <w:rsid w:val="430656B0"/>
    <w:rsid w:val="430A4D97"/>
    <w:rsid w:val="430B3E56"/>
    <w:rsid w:val="430C3C05"/>
    <w:rsid w:val="43132D91"/>
    <w:rsid w:val="4315253F"/>
    <w:rsid w:val="43164CCF"/>
    <w:rsid w:val="4317399E"/>
    <w:rsid w:val="43174E68"/>
    <w:rsid w:val="431813AB"/>
    <w:rsid w:val="431B3B2F"/>
    <w:rsid w:val="4322160E"/>
    <w:rsid w:val="43233383"/>
    <w:rsid w:val="43234E4F"/>
    <w:rsid w:val="43236469"/>
    <w:rsid w:val="432664FB"/>
    <w:rsid w:val="4327387A"/>
    <w:rsid w:val="43296A7A"/>
    <w:rsid w:val="432B495E"/>
    <w:rsid w:val="432C320B"/>
    <w:rsid w:val="432D3AD7"/>
    <w:rsid w:val="432D5ADB"/>
    <w:rsid w:val="43317379"/>
    <w:rsid w:val="4333447D"/>
    <w:rsid w:val="4334445E"/>
    <w:rsid w:val="43346407"/>
    <w:rsid w:val="43360F7A"/>
    <w:rsid w:val="43374449"/>
    <w:rsid w:val="433E3692"/>
    <w:rsid w:val="434436DB"/>
    <w:rsid w:val="43456981"/>
    <w:rsid w:val="43466528"/>
    <w:rsid w:val="43470E11"/>
    <w:rsid w:val="434834E3"/>
    <w:rsid w:val="43490CFF"/>
    <w:rsid w:val="43496350"/>
    <w:rsid w:val="434B1DFE"/>
    <w:rsid w:val="434C3C97"/>
    <w:rsid w:val="434C6FF4"/>
    <w:rsid w:val="435242DC"/>
    <w:rsid w:val="4355407A"/>
    <w:rsid w:val="435771A0"/>
    <w:rsid w:val="43580780"/>
    <w:rsid w:val="435917B7"/>
    <w:rsid w:val="435968D0"/>
    <w:rsid w:val="435D02C0"/>
    <w:rsid w:val="435D4A4B"/>
    <w:rsid w:val="435E3EE6"/>
    <w:rsid w:val="435E41F6"/>
    <w:rsid w:val="435E488A"/>
    <w:rsid w:val="436112E1"/>
    <w:rsid w:val="43631FCA"/>
    <w:rsid w:val="43652C7B"/>
    <w:rsid w:val="43675A55"/>
    <w:rsid w:val="43681043"/>
    <w:rsid w:val="436866A7"/>
    <w:rsid w:val="436A5126"/>
    <w:rsid w:val="436E06EB"/>
    <w:rsid w:val="436F1C50"/>
    <w:rsid w:val="436F66AA"/>
    <w:rsid w:val="43700083"/>
    <w:rsid w:val="43712516"/>
    <w:rsid w:val="43770999"/>
    <w:rsid w:val="43771ECC"/>
    <w:rsid w:val="4378324A"/>
    <w:rsid w:val="437A36EB"/>
    <w:rsid w:val="437A6643"/>
    <w:rsid w:val="437B23A2"/>
    <w:rsid w:val="437B7663"/>
    <w:rsid w:val="437C5863"/>
    <w:rsid w:val="438515B1"/>
    <w:rsid w:val="43855C84"/>
    <w:rsid w:val="43881319"/>
    <w:rsid w:val="438A75D9"/>
    <w:rsid w:val="438F5E4E"/>
    <w:rsid w:val="438F6099"/>
    <w:rsid w:val="4390679E"/>
    <w:rsid w:val="43917E18"/>
    <w:rsid w:val="439416B6"/>
    <w:rsid w:val="439711A6"/>
    <w:rsid w:val="43972A9D"/>
    <w:rsid w:val="43972F54"/>
    <w:rsid w:val="439C4B7A"/>
    <w:rsid w:val="439C7C75"/>
    <w:rsid w:val="439F4615"/>
    <w:rsid w:val="43A044FF"/>
    <w:rsid w:val="43A04CA0"/>
    <w:rsid w:val="43A12593"/>
    <w:rsid w:val="43A1330E"/>
    <w:rsid w:val="43A40AF1"/>
    <w:rsid w:val="43A461F6"/>
    <w:rsid w:val="43A750D9"/>
    <w:rsid w:val="43A86110"/>
    <w:rsid w:val="43AC07ED"/>
    <w:rsid w:val="43AD4526"/>
    <w:rsid w:val="43B14016"/>
    <w:rsid w:val="43BA6AE8"/>
    <w:rsid w:val="43BC2CF4"/>
    <w:rsid w:val="43BD17FC"/>
    <w:rsid w:val="43BF6928"/>
    <w:rsid w:val="43C024AB"/>
    <w:rsid w:val="43C11A86"/>
    <w:rsid w:val="43C37940"/>
    <w:rsid w:val="43C52DD9"/>
    <w:rsid w:val="43C718D2"/>
    <w:rsid w:val="43C86379"/>
    <w:rsid w:val="43CA5BC6"/>
    <w:rsid w:val="43CB391D"/>
    <w:rsid w:val="43CB3CBC"/>
    <w:rsid w:val="43CB3DE3"/>
    <w:rsid w:val="43D1387B"/>
    <w:rsid w:val="43D16FFD"/>
    <w:rsid w:val="43D2355D"/>
    <w:rsid w:val="43D36549"/>
    <w:rsid w:val="43D41760"/>
    <w:rsid w:val="43D8569B"/>
    <w:rsid w:val="43D9356D"/>
    <w:rsid w:val="43D9479F"/>
    <w:rsid w:val="43DA67B6"/>
    <w:rsid w:val="43DC49F6"/>
    <w:rsid w:val="43DE0B83"/>
    <w:rsid w:val="43E16EED"/>
    <w:rsid w:val="43E234BF"/>
    <w:rsid w:val="43E2633E"/>
    <w:rsid w:val="43E70E4E"/>
    <w:rsid w:val="43E757F1"/>
    <w:rsid w:val="43EA00B3"/>
    <w:rsid w:val="43EA1508"/>
    <w:rsid w:val="43EA5364"/>
    <w:rsid w:val="43EB34E7"/>
    <w:rsid w:val="43EC72BE"/>
    <w:rsid w:val="43EE526A"/>
    <w:rsid w:val="43F44D34"/>
    <w:rsid w:val="43F61248"/>
    <w:rsid w:val="43F81C45"/>
    <w:rsid w:val="43FC2EE4"/>
    <w:rsid w:val="43FE181D"/>
    <w:rsid w:val="4401215F"/>
    <w:rsid w:val="44016D44"/>
    <w:rsid w:val="44034074"/>
    <w:rsid w:val="440409FA"/>
    <w:rsid w:val="44046630"/>
    <w:rsid w:val="44050603"/>
    <w:rsid w:val="440B5876"/>
    <w:rsid w:val="440D6AFA"/>
    <w:rsid w:val="440E4C73"/>
    <w:rsid w:val="441101DB"/>
    <w:rsid w:val="4411049D"/>
    <w:rsid w:val="441137F1"/>
    <w:rsid w:val="44127B87"/>
    <w:rsid w:val="44130CD4"/>
    <w:rsid w:val="44153270"/>
    <w:rsid w:val="441A2C3A"/>
    <w:rsid w:val="441B4E06"/>
    <w:rsid w:val="441C08BD"/>
    <w:rsid w:val="441D174D"/>
    <w:rsid w:val="441E1F24"/>
    <w:rsid w:val="4425344B"/>
    <w:rsid w:val="44272BFC"/>
    <w:rsid w:val="4427748B"/>
    <w:rsid w:val="4428485C"/>
    <w:rsid w:val="44290655"/>
    <w:rsid w:val="442A5B49"/>
    <w:rsid w:val="442C0D07"/>
    <w:rsid w:val="442D5198"/>
    <w:rsid w:val="442F34C9"/>
    <w:rsid w:val="443600D1"/>
    <w:rsid w:val="443831BD"/>
    <w:rsid w:val="443B224B"/>
    <w:rsid w:val="443C2926"/>
    <w:rsid w:val="44416637"/>
    <w:rsid w:val="444218C6"/>
    <w:rsid w:val="444249CD"/>
    <w:rsid w:val="44437C71"/>
    <w:rsid w:val="444518ED"/>
    <w:rsid w:val="44464FBC"/>
    <w:rsid w:val="444906A4"/>
    <w:rsid w:val="444B751E"/>
    <w:rsid w:val="444C0EE3"/>
    <w:rsid w:val="444C2589"/>
    <w:rsid w:val="444C2E64"/>
    <w:rsid w:val="444E5AC8"/>
    <w:rsid w:val="445009B7"/>
    <w:rsid w:val="44507CD3"/>
    <w:rsid w:val="445177BB"/>
    <w:rsid w:val="44542D53"/>
    <w:rsid w:val="4455528C"/>
    <w:rsid w:val="44562A0B"/>
    <w:rsid w:val="445723BD"/>
    <w:rsid w:val="44591BF5"/>
    <w:rsid w:val="445A20F5"/>
    <w:rsid w:val="445F1EF3"/>
    <w:rsid w:val="445F7F77"/>
    <w:rsid w:val="4461572C"/>
    <w:rsid w:val="44633718"/>
    <w:rsid w:val="446552AC"/>
    <w:rsid w:val="44686170"/>
    <w:rsid w:val="44687B60"/>
    <w:rsid w:val="446A6C18"/>
    <w:rsid w:val="446C63BC"/>
    <w:rsid w:val="446C7895"/>
    <w:rsid w:val="44727C49"/>
    <w:rsid w:val="44760DBC"/>
    <w:rsid w:val="447B2155"/>
    <w:rsid w:val="447E34CE"/>
    <w:rsid w:val="44800CC0"/>
    <w:rsid w:val="448103C2"/>
    <w:rsid w:val="44841F92"/>
    <w:rsid w:val="44894F93"/>
    <w:rsid w:val="448B0D0B"/>
    <w:rsid w:val="44937BC0"/>
    <w:rsid w:val="44940544"/>
    <w:rsid w:val="449565F4"/>
    <w:rsid w:val="44957D62"/>
    <w:rsid w:val="44986F84"/>
    <w:rsid w:val="449E1768"/>
    <w:rsid w:val="44A55A8C"/>
    <w:rsid w:val="44A62271"/>
    <w:rsid w:val="44A666EE"/>
    <w:rsid w:val="44A71A4C"/>
    <w:rsid w:val="44A83E45"/>
    <w:rsid w:val="44AA5435"/>
    <w:rsid w:val="44B042CE"/>
    <w:rsid w:val="44B14502"/>
    <w:rsid w:val="44B30262"/>
    <w:rsid w:val="44B43B53"/>
    <w:rsid w:val="44B62FF7"/>
    <w:rsid w:val="44B96E17"/>
    <w:rsid w:val="44BB7B1F"/>
    <w:rsid w:val="44BF4438"/>
    <w:rsid w:val="44C12732"/>
    <w:rsid w:val="44C22034"/>
    <w:rsid w:val="44C45D51"/>
    <w:rsid w:val="44C534B8"/>
    <w:rsid w:val="44C6368A"/>
    <w:rsid w:val="44C81A04"/>
    <w:rsid w:val="44C95D4D"/>
    <w:rsid w:val="44CD5C33"/>
    <w:rsid w:val="44CE66B5"/>
    <w:rsid w:val="44CF4462"/>
    <w:rsid w:val="44D0671E"/>
    <w:rsid w:val="44D176F2"/>
    <w:rsid w:val="44D35F39"/>
    <w:rsid w:val="44D7121D"/>
    <w:rsid w:val="44D7510C"/>
    <w:rsid w:val="44D7579C"/>
    <w:rsid w:val="44D87296"/>
    <w:rsid w:val="44D90DA7"/>
    <w:rsid w:val="44DD0E3B"/>
    <w:rsid w:val="44DE1833"/>
    <w:rsid w:val="44E034E6"/>
    <w:rsid w:val="44E11E98"/>
    <w:rsid w:val="44E346A3"/>
    <w:rsid w:val="44E623E5"/>
    <w:rsid w:val="44E65893"/>
    <w:rsid w:val="44E67CEF"/>
    <w:rsid w:val="44E73A68"/>
    <w:rsid w:val="44E80FE1"/>
    <w:rsid w:val="44E82B6A"/>
    <w:rsid w:val="44E84227"/>
    <w:rsid w:val="44EB3354"/>
    <w:rsid w:val="44EE5C61"/>
    <w:rsid w:val="44F561CE"/>
    <w:rsid w:val="44F806D5"/>
    <w:rsid w:val="44F84A7C"/>
    <w:rsid w:val="44FB7320"/>
    <w:rsid w:val="45002AEF"/>
    <w:rsid w:val="45010FB7"/>
    <w:rsid w:val="450338D7"/>
    <w:rsid w:val="45096A92"/>
    <w:rsid w:val="450C508D"/>
    <w:rsid w:val="450E23BE"/>
    <w:rsid w:val="45116DAB"/>
    <w:rsid w:val="4518125A"/>
    <w:rsid w:val="45183C8F"/>
    <w:rsid w:val="4519688B"/>
    <w:rsid w:val="451D1C20"/>
    <w:rsid w:val="451E4A16"/>
    <w:rsid w:val="451F3201"/>
    <w:rsid w:val="45211CE7"/>
    <w:rsid w:val="45230F44"/>
    <w:rsid w:val="45244CBC"/>
    <w:rsid w:val="45246FC5"/>
    <w:rsid w:val="452948FF"/>
    <w:rsid w:val="452B5679"/>
    <w:rsid w:val="452B6C46"/>
    <w:rsid w:val="452F5785"/>
    <w:rsid w:val="452F5FE5"/>
    <w:rsid w:val="453142E1"/>
    <w:rsid w:val="45316B66"/>
    <w:rsid w:val="45324B3C"/>
    <w:rsid w:val="45344EFF"/>
    <w:rsid w:val="45370FB2"/>
    <w:rsid w:val="4538593A"/>
    <w:rsid w:val="453F0B9F"/>
    <w:rsid w:val="453F7CD4"/>
    <w:rsid w:val="45442192"/>
    <w:rsid w:val="45466251"/>
    <w:rsid w:val="454669E0"/>
    <w:rsid w:val="45467BF7"/>
    <w:rsid w:val="454924B2"/>
    <w:rsid w:val="454A74FC"/>
    <w:rsid w:val="454B7BE4"/>
    <w:rsid w:val="454D3738"/>
    <w:rsid w:val="45515537"/>
    <w:rsid w:val="45531780"/>
    <w:rsid w:val="45546192"/>
    <w:rsid w:val="45555483"/>
    <w:rsid w:val="455603E1"/>
    <w:rsid w:val="45566B73"/>
    <w:rsid w:val="45576E3F"/>
    <w:rsid w:val="455C26A8"/>
    <w:rsid w:val="455D6F84"/>
    <w:rsid w:val="45621579"/>
    <w:rsid w:val="45660E30"/>
    <w:rsid w:val="456618B9"/>
    <w:rsid w:val="45692A85"/>
    <w:rsid w:val="456A0EBE"/>
    <w:rsid w:val="456A38E2"/>
    <w:rsid w:val="456C7646"/>
    <w:rsid w:val="45735073"/>
    <w:rsid w:val="457479F1"/>
    <w:rsid w:val="45752FCB"/>
    <w:rsid w:val="457640AD"/>
    <w:rsid w:val="45791A4F"/>
    <w:rsid w:val="45854DE0"/>
    <w:rsid w:val="45877724"/>
    <w:rsid w:val="45891586"/>
    <w:rsid w:val="458B205E"/>
    <w:rsid w:val="458B7F8D"/>
    <w:rsid w:val="458C4563"/>
    <w:rsid w:val="458D32E3"/>
    <w:rsid w:val="458D413E"/>
    <w:rsid w:val="458F65D9"/>
    <w:rsid w:val="45924AAF"/>
    <w:rsid w:val="459726E5"/>
    <w:rsid w:val="4598319A"/>
    <w:rsid w:val="459C4979"/>
    <w:rsid w:val="45A100BA"/>
    <w:rsid w:val="45A16D05"/>
    <w:rsid w:val="45A22C1D"/>
    <w:rsid w:val="45A706E8"/>
    <w:rsid w:val="45A831F7"/>
    <w:rsid w:val="45AB389E"/>
    <w:rsid w:val="45B20519"/>
    <w:rsid w:val="45B222C8"/>
    <w:rsid w:val="45B75688"/>
    <w:rsid w:val="45B818DE"/>
    <w:rsid w:val="45B9209E"/>
    <w:rsid w:val="45B93314"/>
    <w:rsid w:val="45BB5620"/>
    <w:rsid w:val="45BC0017"/>
    <w:rsid w:val="45BC4C52"/>
    <w:rsid w:val="45BF4F18"/>
    <w:rsid w:val="45C11531"/>
    <w:rsid w:val="45C43E40"/>
    <w:rsid w:val="45C44937"/>
    <w:rsid w:val="45C5371A"/>
    <w:rsid w:val="45C673B5"/>
    <w:rsid w:val="45C7368D"/>
    <w:rsid w:val="45CC032A"/>
    <w:rsid w:val="45CC15DB"/>
    <w:rsid w:val="45CC461F"/>
    <w:rsid w:val="45D3741A"/>
    <w:rsid w:val="45D521FC"/>
    <w:rsid w:val="45D60C75"/>
    <w:rsid w:val="45D91A13"/>
    <w:rsid w:val="45D95167"/>
    <w:rsid w:val="45D96E12"/>
    <w:rsid w:val="45DE30BD"/>
    <w:rsid w:val="45DF7A69"/>
    <w:rsid w:val="45E87A97"/>
    <w:rsid w:val="45EB652F"/>
    <w:rsid w:val="45EE527D"/>
    <w:rsid w:val="45EF0E26"/>
    <w:rsid w:val="45F14B9E"/>
    <w:rsid w:val="45F4643C"/>
    <w:rsid w:val="45F62703"/>
    <w:rsid w:val="45F744C2"/>
    <w:rsid w:val="45F74E60"/>
    <w:rsid w:val="45FB77F2"/>
    <w:rsid w:val="45FD1795"/>
    <w:rsid w:val="45FE6D38"/>
    <w:rsid w:val="46003033"/>
    <w:rsid w:val="46006B9F"/>
    <w:rsid w:val="46030E09"/>
    <w:rsid w:val="46040D75"/>
    <w:rsid w:val="46052D96"/>
    <w:rsid w:val="460D1265"/>
    <w:rsid w:val="460E646B"/>
    <w:rsid w:val="460E6D93"/>
    <w:rsid w:val="46133C06"/>
    <w:rsid w:val="4614182A"/>
    <w:rsid w:val="46152F37"/>
    <w:rsid w:val="4619543E"/>
    <w:rsid w:val="461A1242"/>
    <w:rsid w:val="461B25BD"/>
    <w:rsid w:val="461D07E8"/>
    <w:rsid w:val="461E55A5"/>
    <w:rsid w:val="4621660C"/>
    <w:rsid w:val="46241129"/>
    <w:rsid w:val="4625758B"/>
    <w:rsid w:val="46263AC6"/>
    <w:rsid w:val="4626675E"/>
    <w:rsid w:val="462738DE"/>
    <w:rsid w:val="46284860"/>
    <w:rsid w:val="462C0809"/>
    <w:rsid w:val="462E5798"/>
    <w:rsid w:val="4631189F"/>
    <w:rsid w:val="4631673D"/>
    <w:rsid w:val="46366A55"/>
    <w:rsid w:val="46380A1F"/>
    <w:rsid w:val="463C1F0E"/>
    <w:rsid w:val="463D1922"/>
    <w:rsid w:val="463E76B1"/>
    <w:rsid w:val="46420BB9"/>
    <w:rsid w:val="46423992"/>
    <w:rsid w:val="4644178C"/>
    <w:rsid w:val="46494DC3"/>
    <w:rsid w:val="464E0451"/>
    <w:rsid w:val="46511841"/>
    <w:rsid w:val="4651388E"/>
    <w:rsid w:val="465718C4"/>
    <w:rsid w:val="465842CD"/>
    <w:rsid w:val="46587F31"/>
    <w:rsid w:val="465C071B"/>
    <w:rsid w:val="465D6B7C"/>
    <w:rsid w:val="465F5AD7"/>
    <w:rsid w:val="4661432D"/>
    <w:rsid w:val="4661533A"/>
    <w:rsid w:val="46642F49"/>
    <w:rsid w:val="466813A5"/>
    <w:rsid w:val="46681D7E"/>
    <w:rsid w:val="46696E2A"/>
    <w:rsid w:val="466E3345"/>
    <w:rsid w:val="466F7E45"/>
    <w:rsid w:val="46703733"/>
    <w:rsid w:val="467250EA"/>
    <w:rsid w:val="46725648"/>
    <w:rsid w:val="46733805"/>
    <w:rsid w:val="46753A21"/>
    <w:rsid w:val="46774A0D"/>
    <w:rsid w:val="4678192D"/>
    <w:rsid w:val="46791483"/>
    <w:rsid w:val="467A46AE"/>
    <w:rsid w:val="467B158E"/>
    <w:rsid w:val="467C05A9"/>
    <w:rsid w:val="467C593B"/>
    <w:rsid w:val="467F21AA"/>
    <w:rsid w:val="468123C6"/>
    <w:rsid w:val="4682208F"/>
    <w:rsid w:val="4682766C"/>
    <w:rsid w:val="46831269"/>
    <w:rsid w:val="46840388"/>
    <w:rsid w:val="4686308E"/>
    <w:rsid w:val="46872DD3"/>
    <w:rsid w:val="46873CC2"/>
    <w:rsid w:val="46880EDE"/>
    <w:rsid w:val="469257C1"/>
    <w:rsid w:val="46932A1F"/>
    <w:rsid w:val="469B3F5D"/>
    <w:rsid w:val="469E2E44"/>
    <w:rsid w:val="469F0303"/>
    <w:rsid w:val="46A00372"/>
    <w:rsid w:val="46A1377E"/>
    <w:rsid w:val="46A211BE"/>
    <w:rsid w:val="46A443CA"/>
    <w:rsid w:val="46A77952"/>
    <w:rsid w:val="46A77F98"/>
    <w:rsid w:val="46B064E9"/>
    <w:rsid w:val="46B1432D"/>
    <w:rsid w:val="46B31780"/>
    <w:rsid w:val="46B67767"/>
    <w:rsid w:val="46B67DB9"/>
    <w:rsid w:val="46BA2461"/>
    <w:rsid w:val="46BA5E25"/>
    <w:rsid w:val="46BA6C65"/>
    <w:rsid w:val="46BB2246"/>
    <w:rsid w:val="46BB51AC"/>
    <w:rsid w:val="46BB6449"/>
    <w:rsid w:val="46C40CB6"/>
    <w:rsid w:val="46C756B1"/>
    <w:rsid w:val="46C82812"/>
    <w:rsid w:val="46C86C65"/>
    <w:rsid w:val="46CA1489"/>
    <w:rsid w:val="46D75F92"/>
    <w:rsid w:val="46DC2672"/>
    <w:rsid w:val="46DC75FC"/>
    <w:rsid w:val="46E110B6"/>
    <w:rsid w:val="46E6047B"/>
    <w:rsid w:val="46E66DCA"/>
    <w:rsid w:val="46E820C4"/>
    <w:rsid w:val="46E841F3"/>
    <w:rsid w:val="46EF4D27"/>
    <w:rsid w:val="46F2611D"/>
    <w:rsid w:val="46F362D0"/>
    <w:rsid w:val="46F80733"/>
    <w:rsid w:val="46F876F5"/>
    <w:rsid w:val="46FF0EB5"/>
    <w:rsid w:val="47017063"/>
    <w:rsid w:val="4702109E"/>
    <w:rsid w:val="470D1EAB"/>
    <w:rsid w:val="470D5323"/>
    <w:rsid w:val="47127B49"/>
    <w:rsid w:val="4714671E"/>
    <w:rsid w:val="47163D7B"/>
    <w:rsid w:val="471728F8"/>
    <w:rsid w:val="471A5AC2"/>
    <w:rsid w:val="471C7F42"/>
    <w:rsid w:val="471D5B4C"/>
    <w:rsid w:val="471F573B"/>
    <w:rsid w:val="472206DD"/>
    <w:rsid w:val="47240FA3"/>
    <w:rsid w:val="47255E82"/>
    <w:rsid w:val="47256CE6"/>
    <w:rsid w:val="472B3A30"/>
    <w:rsid w:val="472D42FC"/>
    <w:rsid w:val="472E5A5B"/>
    <w:rsid w:val="472F21BA"/>
    <w:rsid w:val="47321912"/>
    <w:rsid w:val="47353849"/>
    <w:rsid w:val="47355B33"/>
    <w:rsid w:val="47364A70"/>
    <w:rsid w:val="47395DE1"/>
    <w:rsid w:val="473977CD"/>
    <w:rsid w:val="473B3CC9"/>
    <w:rsid w:val="473E2065"/>
    <w:rsid w:val="47401F74"/>
    <w:rsid w:val="474156B1"/>
    <w:rsid w:val="474305F6"/>
    <w:rsid w:val="474376EE"/>
    <w:rsid w:val="47484214"/>
    <w:rsid w:val="474D22A8"/>
    <w:rsid w:val="474F0E89"/>
    <w:rsid w:val="474F15F0"/>
    <w:rsid w:val="47523D62"/>
    <w:rsid w:val="4753013D"/>
    <w:rsid w:val="475472A3"/>
    <w:rsid w:val="4755115C"/>
    <w:rsid w:val="47557401"/>
    <w:rsid w:val="47582402"/>
    <w:rsid w:val="475A6773"/>
    <w:rsid w:val="475A68B7"/>
    <w:rsid w:val="475A6C56"/>
    <w:rsid w:val="475E00A1"/>
    <w:rsid w:val="47615AEB"/>
    <w:rsid w:val="4763625C"/>
    <w:rsid w:val="47656D35"/>
    <w:rsid w:val="476615BC"/>
    <w:rsid w:val="47687A6B"/>
    <w:rsid w:val="476A3928"/>
    <w:rsid w:val="476D46F8"/>
    <w:rsid w:val="47721723"/>
    <w:rsid w:val="47763C69"/>
    <w:rsid w:val="477E3505"/>
    <w:rsid w:val="477E5B65"/>
    <w:rsid w:val="477F7EC9"/>
    <w:rsid w:val="478E3B70"/>
    <w:rsid w:val="478F67EB"/>
    <w:rsid w:val="47901BF5"/>
    <w:rsid w:val="4791488A"/>
    <w:rsid w:val="47965E76"/>
    <w:rsid w:val="47993F6A"/>
    <w:rsid w:val="479A4F7C"/>
    <w:rsid w:val="47A14940"/>
    <w:rsid w:val="47A65E5C"/>
    <w:rsid w:val="47A81FE0"/>
    <w:rsid w:val="47AA3B29"/>
    <w:rsid w:val="47AA76FA"/>
    <w:rsid w:val="47AC40B7"/>
    <w:rsid w:val="47AD2F6C"/>
    <w:rsid w:val="47AD71EA"/>
    <w:rsid w:val="47AE4EC4"/>
    <w:rsid w:val="47AE6123"/>
    <w:rsid w:val="47B65A6F"/>
    <w:rsid w:val="47B7112F"/>
    <w:rsid w:val="47B71E23"/>
    <w:rsid w:val="47C26B6A"/>
    <w:rsid w:val="47C4195A"/>
    <w:rsid w:val="47C5495A"/>
    <w:rsid w:val="47C71264"/>
    <w:rsid w:val="47C77857"/>
    <w:rsid w:val="47C87EAF"/>
    <w:rsid w:val="47C87FB4"/>
    <w:rsid w:val="47CB7671"/>
    <w:rsid w:val="47CD6C07"/>
    <w:rsid w:val="47CF40EA"/>
    <w:rsid w:val="47CF7F5E"/>
    <w:rsid w:val="47D010B9"/>
    <w:rsid w:val="47D05559"/>
    <w:rsid w:val="47D16EAD"/>
    <w:rsid w:val="47D2311A"/>
    <w:rsid w:val="47D55473"/>
    <w:rsid w:val="47D60649"/>
    <w:rsid w:val="47DE55F6"/>
    <w:rsid w:val="47E30E5E"/>
    <w:rsid w:val="47E66258"/>
    <w:rsid w:val="47E7502D"/>
    <w:rsid w:val="47E80223"/>
    <w:rsid w:val="47EA5D49"/>
    <w:rsid w:val="47EC0C1A"/>
    <w:rsid w:val="47EF745B"/>
    <w:rsid w:val="47F0193F"/>
    <w:rsid w:val="47F37ACB"/>
    <w:rsid w:val="47F701A1"/>
    <w:rsid w:val="47F80F37"/>
    <w:rsid w:val="480037BE"/>
    <w:rsid w:val="480177D1"/>
    <w:rsid w:val="480224E2"/>
    <w:rsid w:val="48023A77"/>
    <w:rsid w:val="4803505C"/>
    <w:rsid w:val="48035B15"/>
    <w:rsid w:val="48050490"/>
    <w:rsid w:val="48054B73"/>
    <w:rsid w:val="48096246"/>
    <w:rsid w:val="480A63EB"/>
    <w:rsid w:val="480C4544"/>
    <w:rsid w:val="480E6E00"/>
    <w:rsid w:val="48111D82"/>
    <w:rsid w:val="481132D5"/>
    <w:rsid w:val="481334F1"/>
    <w:rsid w:val="48135CD5"/>
    <w:rsid w:val="48153579"/>
    <w:rsid w:val="48163D38"/>
    <w:rsid w:val="48171365"/>
    <w:rsid w:val="481B3E57"/>
    <w:rsid w:val="481B4065"/>
    <w:rsid w:val="481C0C4A"/>
    <w:rsid w:val="48213DBB"/>
    <w:rsid w:val="48222AAC"/>
    <w:rsid w:val="48233009"/>
    <w:rsid w:val="482E5F75"/>
    <w:rsid w:val="48325F9D"/>
    <w:rsid w:val="483638DE"/>
    <w:rsid w:val="4839282C"/>
    <w:rsid w:val="48395070"/>
    <w:rsid w:val="483C1A85"/>
    <w:rsid w:val="483D231C"/>
    <w:rsid w:val="483D71EF"/>
    <w:rsid w:val="4840133A"/>
    <w:rsid w:val="48422E0F"/>
    <w:rsid w:val="48455C5F"/>
    <w:rsid w:val="48457423"/>
    <w:rsid w:val="48457D0E"/>
    <w:rsid w:val="484A64B6"/>
    <w:rsid w:val="484B1AB6"/>
    <w:rsid w:val="484C255F"/>
    <w:rsid w:val="48507E4F"/>
    <w:rsid w:val="48514049"/>
    <w:rsid w:val="48515DC8"/>
    <w:rsid w:val="485732C0"/>
    <w:rsid w:val="485809C9"/>
    <w:rsid w:val="485B38B8"/>
    <w:rsid w:val="485E2293"/>
    <w:rsid w:val="48620BC0"/>
    <w:rsid w:val="48623B31"/>
    <w:rsid w:val="486320B5"/>
    <w:rsid w:val="48635489"/>
    <w:rsid w:val="48643D4D"/>
    <w:rsid w:val="48650C1B"/>
    <w:rsid w:val="48651A38"/>
    <w:rsid w:val="48667E96"/>
    <w:rsid w:val="48672F4D"/>
    <w:rsid w:val="486A41CB"/>
    <w:rsid w:val="486C4C9A"/>
    <w:rsid w:val="486E6938"/>
    <w:rsid w:val="486F11F8"/>
    <w:rsid w:val="4870211A"/>
    <w:rsid w:val="48721A5B"/>
    <w:rsid w:val="487845B1"/>
    <w:rsid w:val="48795655"/>
    <w:rsid w:val="487A094A"/>
    <w:rsid w:val="487D678D"/>
    <w:rsid w:val="487D68E3"/>
    <w:rsid w:val="487E4ED2"/>
    <w:rsid w:val="48805AE4"/>
    <w:rsid w:val="48825DB2"/>
    <w:rsid w:val="48840C29"/>
    <w:rsid w:val="488428DB"/>
    <w:rsid w:val="48894203"/>
    <w:rsid w:val="488C00F6"/>
    <w:rsid w:val="488C78DF"/>
    <w:rsid w:val="488D17AC"/>
    <w:rsid w:val="48904333"/>
    <w:rsid w:val="489104B8"/>
    <w:rsid w:val="48971F6C"/>
    <w:rsid w:val="489B2425"/>
    <w:rsid w:val="489E2EA8"/>
    <w:rsid w:val="48A455E2"/>
    <w:rsid w:val="48A56A35"/>
    <w:rsid w:val="48A70109"/>
    <w:rsid w:val="48AF040C"/>
    <w:rsid w:val="48B01349"/>
    <w:rsid w:val="48B12E05"/>
    <w:rsid w:val="48B5518F"/>
    <w:rsid w:val="48B60321"/>
    <w:rsid w:val="48B6136C"/>
    <w:rsid w:val="48B6621F"/>
    <w:rsid w:val="48BA00C6"/>
    <w:rsid w:val="48BA1BBF"/>
    <w:rsid w:val="48BD3661"/>
    <w:rsid w:val="48BD4B8B"/>
    <w:rsid w:val="48C22229"/>
    <w:rsid w:val="48C555CE"/>
    <w:rsid w:val="48C667E1"/>
    <w:rsid w:val="48CA44CF"/>
    <w:rsid w:val="48D056B3"/>
    <w:rsid w:val="48D10ECA"/>
    <w:rsid w:val="48D336FE"/>
    <w:rsid w:val="48D431BC"/>
    <w:rsid w:val="48D569F9"/>
    <w:rsid w:val="48D57E94"/>
    <w:rsid w:val="48D82045"/>
    <w:rsid w:val="48D83DF3"/>
    <w:rsid w:val="48D9376E"/>
    <w:rsid w:val="48DD10FF"/>
    <w:rsid w:val="48DE1680"/>
    <w:rsid w:val="48DE4D02"/>
    <w:rsid w:val="48DF1D38"/>
    <w:rsid w:val="48DF5182"/>
    <w:rsid w:val="48E03C4D"/>
    <w:rsid w:val="48E137E2"/>
    <w:rsid w:val="48E31090"/>
    <w:rsid w:val="48E7009F"/>
    <w:rsid w:val="48E766F3"/>
    <w:rsid w:val="48E94A02"/>
    <w:rsid w:val="48EC51A7"/>
    <w:rsid w:val="48F52CB7"/>
    <w:rsid w:val="48F55816"/>
    <w:rsid w:val="48F81DB7"/>
    <w:rsid w:val="48F84495"/>
    <w:rsid w:val="48FB30B1"/>
    <w:rsid w:val="48FE168D"/>
    <w:rsid w:val="48FE5AEA"/>
    <w:rsid w:val="48FF3E1F"/>
    <w:rsid w:val="48FF722C"/>
    <w:rsid w:val="49013C88"/>
    <w:rsid w:val="49014440"/>
    <w:rsid w:val="4905518A"/>
    <w:rsid w:val="490815FC"/>
    <w:rsid w:val="49090450"/>
    <w:rsid w:val="49101D70"/>
    <w:rsid w:val="49115557"/>
    <w:rsid w:val="49142BE3"/>
    <w:rsid w:val="49156DF5"/>
    <w:rsid w:val="491632AA"/>
    <w:rsid w:val="49174270"/>
    <w:rsid w:val="491C1BF1"/>
    <w:rsid w:val="491C33FB"/>
    <w:rsid w:val="491E014D"/>
    <w:rsid w:val="491E523A"/>
    <w:rsid w:val="491F0141"/>
    <w:rsid w:val="492127D2"/>
    <w:rsid w:val="492267C1"/>
    <w:rsid w:val="49246512"/>
    <w:rsid w:val="49261002"/>
    <w:rsid w:val="49271A61"/>
    <w:rsid w:val="49281554"/>
    <w:rsid w:val="492A6532"/>
    <w:rsid w:val="492E435B"/>
    <w:rsid w:val="49332AA1"/>
    <w:rsid w:val="493337BF"/>
    <w:rsid w:val="49370908"/>
    <w:rsid w:val="49371303"/>
    <w:rsid w:val="493846CE"/>
    <w:rsid w:val="493F0188"/>
    <w:rsid w:val="493F0316"/>
    <w:rsid w:val="493F56BC"/>
    <w:rsid w:val="49433378"/>
    <w:rsid w:val="494D5008"/>
    <w:rsid w:val="495111CB"/>
    <w:rsid w:val="49520049"/>
    <w:rsid w:val="495A502F"/>
    <w:rsid w:val="495B35B2"/>
    <w:rsid w:val="495C2C76"/>
    <w:rsid w:val="495C67D2"/>
    <w:rsid w:val="495E56C0"/>
    <w:rsid w:val="49611227"/>
    <w:rsid w:val="4961542A"/>
    <w:rsid w:val="496268A9"/>
    <w:rsid w:val="49634005"/>
    <w:rsid w:val="49642207"/>
    <w:rsid w:val="496627C9"/>
    <w:rsid w:val="49667F32"/>
    <w:rsid w:val="496978F3"/>
    <w:rsid w:val="496B77C6"/>
    <w:rsid w:val="496C4368"/>
    <w:rsid w:val="496E36CA"/>
    <w:rsid w:val="49733877"/>
    <w:rsid w:val="497555E1"/>
    <w:rsid w:val="49757782"/>
    <w:rsid w:val="497602FE"/>
    <w:rsid w:val="49767F54"/>
    <w:rsid w:val="4977360C"/>
    <w:rsid w:val="49777AB0"/>
    <w:rsid w:val="497C70CB"/>
    <w:rsid w:val="497F6DEB"/>
    <w:rsid w:val="4981448B"/>
    <w:rsid w:val="4982705C"/>
    <w:rsid w:val="4983452C"/>
    <w:rsid w:val="49842232"/>
    <w:rsid w:val="49845D29"/>
    <w:rsid w:val="49853FFB"/>
    <w:rsid w:val="49872331"/>
    <w:rsid w:val="49872BA9"/>
    <w:rsid w:val="498B355B"/>
    <w:rsid w:val="498F5E3A"/>
    <w:rsid w:val="49900B72"/>
    <w:rsid w:val="4991376E"/>
    <w:rsid w:val="499248EA"/>
    <w:rsid w:val="49A27DAC"/>
    <w:rsid w:val="49A632F3"/>
    <w:rsid w:val="49A80C11"/>
    <w:rsid w:val="49A9722F"/>
    <w:rsid w:val="49AB76FB"/>
    <w:rsid w:val="49AC7E75"/>
    <w:rsid w:val="49AE2D18"/>
    <w:rsid w:val="49AE783B"/>
    <w:rsid w:val="49B06023"/>
    <w:rsid w:val="49B5722B"/>
    <w:rsid w:val="49B60D3E"/>
    <w:rsid w:val="49C071EE"/>
    <w:rsid w:val="49C13C88"/>
    <w:rsid w:val="49C33FC0"/>
    <w:rsid w:val="49C51D1F"/>
    <w:rsid w:val="49C64561"/>
    <w:rsid w:val="49C73A6B"/>
    <w:rsid w:val="49C77533"/>
    <w:rsid w:val="49C8030C"/>
    <w:rsid w:val="49C83E68"/>
    <w:rsid w:val="49C901A8"/>
    <w:rsid w:val="49CA3769"/>
    <w:rsid w:val="49CE3624"/>
    <w:rsid w:val="49D320DD"/>
    <w:rsid w:val="49D61D32"/>
    <w:rsid w:val="49DE47D9"/>
    <w:rsid w:val="49E12722"/>
    <w:rsid w:val="49E1317B"/>
    <w:rsid w:val="49E35788"/>
    <w:rsid w:val="49E37AF5"/>
    <w:rsid w:val="49E541FB"/>
    <w:rsid w:val="49E54B4B"/>
    <w:rsid w:val="49E57CBF"/>
    <w:rsid w:val="49EA64D4"/>
    <w:rsid w:val="49EC05BC"/>
    <w:rsid w:val="49ED7A7E"/>
    <w:rsid w:val="49F01C5B"/>
    <w:rsid w:val="49F0470F"/>
    <w:rsid w:val="49F103B5"/>
    <w:rsid w:val="49F478C1"/>
    <w:rsid w:val="49F65021"/>
    <w:rsid w:val="49F76C5D"/>
    <w:rsid w:val="49FD4640"/>
    <w:rsid w:val="49FE4CF1"/>
    <w:rsid w:val="4A027FB0"/>
    <w:rsid w:val="4A050C18"/>
    <w:rsid w:val="4A0519EB"/>
    <w:rsid w:val="4A0550BC"/>
    <w:rsid w:val="4A08476F"/>
    <w:rsid w:val="4A0B5F8C"/>
    <w:rsid w:val="4A0E506B"/>
    <w:rsid w:val="4A1043C2"/>
    <w:rsid w:val="4A1353EF"/>
    <w:rsid w:val="4A140984"/>
    <w:rsid w:val="4A16118F"/>
    <w:rsid w:val="4A16320C"/>
    <w:rsid w:val="4A16451E"/>
    <w:rsid w:val="4A1D6937"/>
    <w:rsid w:val="4A1E01EC"/>
    <w:rsid w:val="4A206F29"/>
    <w:rsid w:val="4A2512E3"/>
    <w:rsid w:val="4A283110"/>
    <w:rsid w:val="4A2A2D74"/>
    <w:rsid w:val="4A2F039D"/>
    <w:rsid w:val="4A315770"/>
    <w:rsid w:val="4A346A99"/>
    <w:rsid w:val="4A363423"/>
    <w:rsid w:val="4A3818BA"/>
    <w:rsid w:val="4A3A5B14"/>
    <w:rsid w:val="4A3D4AEB"/>
    <w:rsid w:val="4A3F35D9"/>
    <w:rsid w:val="4A401DCE"/>
    <w:rsid w:val="4A427319"/>
    <w:rsid w:val="4A431AD6"/>
    <w:rsid w:val="4A433563"/>
    <w:rsid w:val="4A4839B4"/>
    <w:rsid w:val="4A4D7344"/>
    <w:rsid w:val="4A5117A8"/>
    <w:rsid w:val="4A54195E"/>
    <w:rsid w:val="4A56467B"/>
    <w:rsid w:val="4A590F64"/>
    <w:rsid w:val="4A5A13F5"/>
    <w:rsid w:val="4A5A1F60"/>
    <w:rsid w:val="4A5A3314"/>
    <w:rsid w:val="4A5A69B6"/>
    <w:rsid w:val="4A5B4CDC"/>
    <w:rsid w:val="4A5C047E"/>
    <w:rsid w:val="4A625331"/>
    <w:rsid w:val="4A660D15"/>
    <w:rsid w:val="4A672EA1"/>
    <w:rsid w:val="4A6C5DA9"/>
    <w:rsid w:val="4A6D23BA"/>
    <w:rsid w:val="4A6D4A0F"/>
    <w:rsid w:val="4A6F415E"/>
    <w:rsid w:val="4A712751"/>
    <w:rsid w:val="4A745BD3"/>
    <w:rsid w:val="4A7578B3"/>
    <w:rsid w:val="4A782675"/>
    <w:rsid w:val="4A7B35D0"/>
    <w:rsid w:val="4A7D2351"/>
    <w:rsid w:val="4A806386"/>
    <w:rsid w:val="4A875F38"/>
    <w:rsid w:val="4A8A5EEE"/>
    <w:rsid w:val="4A8B0A38"/>
    <w:rsid w:val="4A8B527F"/>
    <w:rsid w:val="4A8B64A2"/>
    <w:rsid w:val="4A8D6194"/>
    <w:rsid w:val="4A90196A"/>
    <w:rsid w:val="4A90687D"/>
    <w:rsid w:val="4A906BB1"/>
    <w:rsid w:val="4A9106FD"/>
    <w:rsid w:val="4A925500"/>
    <w:rsid w:val="4A926D5C"/>
    <w:rsid w:val="4A9406D4"/>
    <w:rsid w:val="4A946440"/>
    <w:rsid w:val="4A957EA7"/>
    <w:rsid w:val="4A9659D6"/>
    <w:rsid w:val="4A9E6251"/>
    <w:rsid w:val="4AA30431"/>
    <w:rsid w:val="4AA5064D"/>
    <w:rsid w:val="4AA723FE"/>
    <w:rsid w:val="4AA92EB4"/>
    <w:rsid w:val="4AAA17BF"/>
    <w:rsid w:val="4AB15C8B"/>
    <w:rsid w:val="4AB2348A"/>
    <w:rsid w:val="4AB42D77"/>
    <w:rsid w:val="4AB60164"/>
    <w:rsid w:val="4AB74CC7"/>
    <w:rsid w:val="4ABF18AA"/>
    <w:rsid w:val="4ABF27B9"/>
    <w:rsid w:val="4AC05ED9"/>
    <w:rsid w:val="4AC7342A"/>
    <w:rsid w:val="4ACB29B0"/>
    <w:rsid w:val="4ACF1D26"/>
    <w:rsid w:val="4AD131E1"/>
    <w:rsid w:val="4AD131F0"/>
    <w:rsid w:val="4AD428FE"/>
    <w:rsid w:val="4AD50D10"/>
    <w:rsid w:val="4AD518A6"/>
    <w:rsid w:val="4AD60806"/>
    <w:rsid w:val="4AD62169"/>
    <w:rsid w:val="4AD759EA"/>
    <w:rsid w:val="4AD9096C"/>
    <w:rsid w:val="4ADD05DC"/>
    <w:rsid w:val="4ADE0BDC"/>
    <w:rsid w:val="4ADE47A4"/>
    <w:rsid w:val="4AE01D4E"/>
    <w:rsid w:val="4AE149A8"/>
    <w:rsid w:val="4AE50D33"/>
    <w:rsid w:val="4AEA2813"/>
    <w:rsid w:val="4AEA416F"/>
    <w:rsid w:val="4AEB7C03"/>
    <w:rsid w:val="4AEE1326"/>
    <w:rsid w:val="4AEE5B50"/>
    <w:rsid w:val="4AF126BD"/>
    <w:rsid w:val="4AF46F7D"/>
    <w:rsid w:val="4AF8782A"/>
    <w:rsid w:val="4AFA2F81"/>
    <w:rsid w:val="4AFC2E3C"/>
    <w:rsid w:val="4AFD2237"/>
    <w:rsid w:val="4B0074A9"/>
    <w:rsid w:val="4B014896"/>
    <w:rsid w:val="4B0215FB"/>
    <w:rsid w:val="4B0259FA"/>
    <w:rsid w:val="4B0426D6"/>
    <w:rsid w:val="4B052E78"/>
    <w:rsid w:val="4B070CD6"/>
    <w:rsid w:val="4B091CBD"/>
    <w:rsid w:val="4B092247"/>
    <w:rsid w:val="4B0A2731"/>
    <w:rsid w:val="4B0B0314"/>
    <w:rsid w:val="4B0B37CB"/>
    <w:rsid w:val="4B0D5465"/>
    <w:rsid w:val="4B0D663F"/>
    <w:rsid w:val="4B0E6A94"/>
    <w:rsid w:val="4B111877"/>
    <w:rsid w:val="4B144018"/>
    <w:rsid w:val="4B1B7794"/>
    <w:rsid w:val="4B1E0B71"/>
    <w:rsid w:val="4B1F004C"/>
    <w:rsid w:val="4B217CD3"/>
    <w:rsid w:val="4B257D95"/>
    <w:rsid w:val="4B26353C"/>
    <w:rsid w:val="4B2809BD"/>
    <w:rsid w:val="4B284252"/>
    <w:rsid w:val="4B2D2916"/>
    <w:rsid w:val="4B2E23F0"/>
    <w:rsid w:val="4B2F28D0"/>
    <w:rsid w:val="4B3078C0"/>
    <w:rsid w:val="4B311B4F"/>
    <w:rsid w:val="4B311D66"/>
    <w:rsid w:val="4B315A3D"/>
    <w:rsid w:val="4B32371E"/>
    <w:rsid w:val="4B3C041F"/>
    <w:rsid w:val="4B3C236E"/>
    <w:rsid w:val="4B4554F8"/>
    <w:rsid w:val="4B456049"/>
    <w:rsid w:val="4B4722BB"/>
    <w:rsid w:val="4B481704"/>
    <w:rsid w:val="4B4C49D3"/>
    <w:rsid w:val="4B4D1904"/>
    <w:rsid w:val="4B4D322A"/>
    <w:rsid w:val="4B4F11E9"/>
    <w:rsid w:val="4B531E57"/>
    <w:rsid w:val="4B5736F5"/>
    <w:rsid w:val="4B5A1437"/>
    <w:rsid w:val="4B5C242D"/>
    <w:rsid w:val="4B5C3543"/>
    <w:rsid w:val="4B5E3949"/>
    <w:rsid w:val="4B5F25AA"/>
    <w:rsid w:val="4B611E98"/>
    <w:rsid w:val="4B653B63"/>
    <w:rsid w:val="4B654AB7"/>
    <w:rsid w:val="4B696336"/>
    <w:rsid w:val="4B6978CC"/>
    <w:rsid w:val="4B6F2159"/>
    <w:rsid w:val="4B702839"/>
    <w:rsid w:val="4B70404F"/>
    <w:rsid w:val="4B711250"/>
    <w:rsid w:val="4B7248D2"/>
    <w:rsid w:val="4B736197"/>
    <w:rsid w:val="4B741453"/>
    <w:rsid w:val="4B751DCD"/>
    <w:rsid w:val="4B755E4C"/>
    <w:rsid w:val="4B79591C"/>
    <w:rsid w:val="4B7D6ED4"/>
    <w:rsid w:val="4B7F304D"/>
    <w:rsid w:val="4B863FDA"/>
    <w:rsid w:val="4B87609A"/>
    <w:rsid w:val="4B8844CF"/>
    <w:rsid w:val="4B8944D0"/>
    <w:rsid w:val="4B937F84"/>
    <w:rsid w:val="4B9A118F"/>
    <w:rsid w:val="4BA22B83"/>
    <w:rsid w:val="4BA2370A"/>
    <w:rsid w:val="4BA319D3"/>
    <w:rsid w:val="4BAA48EB"/>
    <w:rsid w:val="4BAA63E3"/>
    <w:rsid w:val="4BAB1B2B"/>
    <w:rsid w:val="4BAC5DDC"/>
    <w:rsid w:val="4BB059CF"/>
    <w:rsid w:val="4BB25061"/>
    <w:rsid w:val="4BB548C0"/>
    <w:rsid w:val="4BB94E5E"/>
    <w:rsid w:val="4BBA68BA"/>
    <w:rsid w:val="4BBB168F"/>
    <w:rsid w:val="4BBD25B5"/>
    <w:rsid w:val="4BBD5522"/>
    <w:rsid w:val="4BC0220E"/>
    <w:rsid w:val="4BC66AD5"/>
    <w:rsid w:val="4BCA084D"/>
    <w:rsid w:val="4BCA6233"/>
    <w:rsid w:val="4BCB232C"/>
    <w:rsid w:val="4BCC1C4F"/>
    <w:rsid w:val="4BCC3E24"/>
    <w:rsid w:val="4BCC4187"/>
    <w:rsid w:val="4BD23BDD"/>
    <w:rsid w:val="4BD30D4E"/>
    <w:rsid w:val="4BD50ABE"/>
    <w:rsid w:val="4BD72549"/>
    <w:rsid w:val="4BDA4326"/>
    <w:rsid w:val="4BE01E4D"/>
    <w:rsid w:val="4BE07B8E"/>
    <w:rsid w:val="4BE15489"/>
    <w:rsid w:val="4BE255A8"/>
    <w:rsid w:val="4BE258EB"/>
    <w:rsid w:val="4BE31A63"/>
    <w:rsid w:val="4BEB64CF"/>
    <w:rsid w:val="4BED4780"/>
    <w:rsid w:val="4BEE652D"/>
    <w:rsid w:val="4BEF4DD3"/>
    <w:rsid w:val="4BF844ED"/>
    <w:rsid w:val="4C0240CB"/>
    <w:rsid w:val="4C047857"/>
    <w:rsid w:val="4C0521F5"/>
    <w:rsid w:val="4C0807EB"/>
    <w:rsid w:val="4C0846F3"/>
    <w:rsid w:val="4C087D80"/>
    <w:rsid w:val="4C0A5DA5"/>
    <w:rsid w:val="4C0A6135"/>
    <w:rsid w:val="4C0C0983"/>
    <w:rsid w:val="4C0E1539"/>
    <w:rsid w:val="4C0F3C00"/>
    <w:rsid w:val="4C104F98"/>
    <w:rsid w:val="4C106470"/>
    <w:rsid w:val="4C1415E6"/>
    <w:rsid w:val="4C150230"/>
    <w:rsid w:val="4C16330A"/>
    <w:rsid w:val="4C164AFB"/>
    <w:rsid w:val="4C211F55"/>
    <w:rsid w:val="4C21363E"/>
    <w:rsid w:val="4C221EE6"/>
    <w:rsid w:val="4C263D9D"/>
    <w:rsid w:val="4C272AA3"/>
    <w:rsid w:val="4C285091"/>
    <w:rsid w:val="4C286E78"/>
    <w:rsid w:val="4C297B7D"/>
    <w:rsid w:val="4C2D078B"/>
    <w:rsid w:val="4C312D16"/>
    <w:rsid w:val="4C320FBD"/>
    <w:rsid w:val="4C350CC1"/>
    <w:rsid w:val="4C382EC4"/>
    <w:rsid w:val="4C3E6663"/>
    <w:rsid w:val="4C3F315F"/>
    <w:rsid w:val="4C3F4B19"/>
    <w:rsid w:val="4C4079E1"/>
    <w:rsid w:val="4C4113CF"/>
    <w:rsid w:val="4C413C47"/>
    <w:rsid w:val="4C433C79"/>
    <w:rsid w:val="4C457FA8"/>
    <w:rsid w:val="4C484BE0"/>
    <w:rsid w:val="4C571903"/>
    <w:rsid w:val="4C59226D"/>
    <w:rsid w:val="4C5C2F8D"/>
    <w:rsid w:val="4C5C4EA4"/>
    <w:rsid w:val="4C5F185D"/>
    <w:rsid w:val="4C600AB1"/>
    <w:rsid w:val="4C691FD5"/>
    <w:rsid w:val="4C6A60D3"/>
    <w:rsid w:val="4C6A633F"/>
    <w:rsid w:val="4C6B4F7E"/>
    <w:rsid w:val="4C6D6F48"/>
    <w:rsid w:val="4C6E0E52"/>
    <w:rsid w:val="4C7223A4"/>
    <w:rsid w:val="4C7457F0"/>
    <w:rsid w:val="4C77247D"/>
    <w:rsid w:val="4C7A7219"/>
    <w:rsid w:val="4C7B253D"/>
    <w:rsid w:val="4C815E38"/>
    <w:rsid w:val="4C824B9A"/>
    <w:rsid w:val="4C8352FC"/>
    <w:rsid w:val="4C83556E"/>
    <w:rsid w:val="4C844D9B"/>
    <w:rsid w:val="4C866200"/>
    <w:rsid w:val="4C87625C"/>
    <w:rsid w:val="4C877D6B"/>
    <w:rsid w:val="4C8936DD"/>
    <w:rsid w:val="4C8B19F5"/>
    <w:rsid w:val="4C916752"/>
    <w:rsid w:val="4C95573E"/>
    <w:rsid w:val="4C9702F9"/>
    <w:rsid w:val="4C98598E"/>
    <w:rsid w:val="4C9D097D"/>
    <w:rsid w:val="4C9D2B05"/>
    <w:rsid w:val="4C9E5039"/>
    <w:rsid w:val="4C9F6BBC"/>
    <w:rsid w:val="4CA36F8E"/>
    <w:rsid w:val="4CA5038F"/>
    <w:rsid w:val="4CA6104F"/>
    <w:rsid w:val="4CA81517"/>
    <w:rsid w:val="4CA82A4E"/>
    <w:rsid w:val="4CAA57C4"/>
    <w:rsid w:val="4CAD5E4E"/>
    <w:rsid w:val="4CB1450C"/>
    <w:rsid w:val="4CB6269D"/>
    <w:rsid w:val="4CB90865"/>
    <w:rsid w:val="4CBA76CC"/>
    <w:rsid w:val="4CBB5F06"/>
    <w:rsid w:val="4CC45091"/>
    <w:rsid w:val="4CD01462"/>
    <w:rsid w:val="4CD237E9"/>
    <w:rsid w:val="4CD45A75"/>
    <w:rsid w:val="4CD6689C"/>
    <w:rsid w:val="4CD833B7"/>
    <w:rsid w:val="4CDA498C"/>
    <w:rsid w:val="4CDE368B"/>
    <w:rsid w:val="4CDF2A2D"/>
    <w:rsid w:val="4CE1055B"/>
    <w:rsid w:val="4CE171CB"/>
    <w:rsid w:val="4CE2174B"/>
    <w:rsid w:val="4CE21AF1"/>
    <w:rsid w:val="4CE4545C"/>
    <w:rsid w:val="4CE900F5"/>
    <w:rsid w:val="4CEA0D96"/>
    <w:rsid w:val="4CED06E9"/>
    <w:rsid w:val="4CED0F1D"/>
    <w:rsid w:val="4CED4093"/>
    <w:rsid w:val="4CEE2512"/>
    <w:rsid w:val="4CF039D6"/>
    <w:rsid w:val="4CF0529F"/>
    <w:rsid w:val="4CF14F72"/>
    <w:rsid w:val="4CF15754"/>
    <w:rsid w:val="4CF52D7B"/>
    <w:rsid w:val="4CFA203D"/>
    <w:rsid w:val="4CFA7406"/>
    <w:rsid w:val="4CFB6302"/>
    <w:rsid w:val="4CFC2073"/>
    <w:rsid w:val="4CFC7663"/>
    <w:rsid w:val="4D01600E"/>
    <w:rsid w:val="4D0553D3"/>
    <w:rsid w:val="4D066A49"/>
    <w:rsid w:val="4D124C21"/>
    <w:rsid w:val="4D142565"/>
    <w:rsid w:val="4D1473C4"/>
    <w:rsid w:val="4D153452"/>
    <w:rsid w:val="4D19449E"/>
    <w:rsid w:val="4D1C256E"/>
    <w:rsid w:val="4D1D44CA"/>
    <w:rsid w:val="4D2376C0"/>
    <w:rsid w:val="4D243AAB"/>
    <w:rsid w:val="4D2B27CC"/>
    <w:rsid w:val="4D2C18EA"/>
    <w:rsid w:val="4D2F0798"/>
    <w:rsid w:val="4D30352B"/>
    <w:rsid w:val="4D304F8F"/>
    <w:rsid w:val="4D35413B"/>
    <w:rsid w:val="4D396708"/>
    <w:rsid w:val="4D3A3971"/>
    <w:rsid w:val="4D3D45B3"/>
    <w:rsid w:val="4D42045C"/>
    <w:rsid w:val="4D461C73"/>
    <w:rsid w:val="4D4828C8"/>
    <w:rsid w:val="4D4A6C80"/>
    <w:rsid w:val="4D4C33CB"/>
    <w:rsid w:val="4D5024CD"/>
    <w:rsid w:val="4D522188"/>
    <w:rsid w:val="4D553A2D"/>
    <w:rsid w:val="4D566131"/>
    <w:rsid w:val="4D5679DC"/>
    <w:rsid w:val="4D574494"/>
    <w:rsid w:val="4D575BB8"/>
    <w:rsid w:val="4D582C27"/>
    <w:rsid w:val="4D583FCF"/>
    <w:rsid w:val="4D5B3023"/>
    <w:rsid w:val="4D5C7B7E"/>
    <w:rsid w:val="4D5D484D"/>
    <w:rsid w:val="4D5D4A02"/>
    <w:rsid w:val="4D5D68EF"/>
    <w:rsid w:val="4D5E73B1"/>
    <w:rsid w:val="4D601F04"/>
    <w:rsid w:val="4D654BAF"/>
    <w:rsid w:val="4D6711E9"/>
    <w:rsid w:val="4D6935E3"/>
    <w:rsid w:val="4D697D00"/>
    <w:rsid w:val="4D710D02"/>
    <w:rsid w:val="4D735B83"/>
    <w:rsid w:val="4D75253B"/>
    <w:rsid w:val="4D754257"/>
    <w:rsid w:val="4D771049"/>
    <w:rsid w:val="4D772832"/>
    <w:rsid w:val="4D7827BC"/>
    <w:rsid w:val="4D783DF7"/>
    <w:rsid w:val="4D797A97"/>
    <w:rsid w:val="4D7B5D3D"/>
    <w:rsid w:val="4D7F61A4"/>
    <w:rsid w:val="4D810EFD"/>
    <w:rsid w:val="4D83790E"/>
    <w:rsid w:val="4D85735D"/>
    <w:rsid w:val="4D8602C2"/>
    <w:rsid w:val="4D866514"/>
    <w:rsid w:val="4D8712BE"/>
    <w:rsid w:val="4D880FB4"/>
    <w:rsid w:val="4D896C25"/>
    <w:rsid w:val="4D8D2215"/>
    <w:rsid w:val="4D8D2BFC"/>
    <w:rsid w:val="4D8E361A"/>
    <w:rsid w:val="4D8E4CCD"/>
    <w:rsid w:val="4D947A13"/>
    <w:rsid w:val="4D9D79DA"/>
    <w:rsid w:val="4D9E0F3F"/>
    <w:rsid w:val="4D9E3106"/>
    <w:rsid w:val="4D9E6A34"/>
    <w:rsid w:val="4D9E721C"/>
    <w:rsid w:val="4DA02B5D"/>
    <w:rsid w:val="4DA228A7"/>
    <w:rsid w:val="4DA2483A"/>
    <w:rsid w:val="4DA50DCE"/>
    <w:rsid w:val="4DA71D53"/>
    <w:rsid w:val="4DB23A93"/>
    <w:rsid w:val="4DB24313"/>
    <w:rsid w:val="4DB3511F"/>
    <w:rsid w:val="4DB741CB"/>
    <w:rsid w:val="4DB76B0A"/>
    <w:rsid w:val="4DB82445"/>
    <w:rsid w:val="4DB85F8E"/>
    <w:rsid w:val="4DB90182"/>
    <w:rsid w:val="4DBA020E"/>
    <w:rsid w:val="4DBA6BD8"/>
    <w:rsid w:val="4DBA7F6B"/>
    <w:rsid w:val="4DBC3CE3"/>
    <w:rsid w:val="4DC3638F"/>
    <w:rsid w:val="4DC46CA1"/>
    <w:rsid w:val="4DC77DB3"/>
    <w:rsid w:val="4DCB2A58"/>
    <w:rsid w:val="4DCC4422"/>
    <w:rsid w:val="4DCC7F5E"/>
    <w:rsid w:val="4DCD4A89"/>
    <w:rsid w:val="4DD06FA1"/>
    <w:rsid w:val="4DD1609C"/>
    <w:rsid w:val="4DD835B2"/>
    <w:rsid w:val="4DD93D50"/>
    <w:rsid w:val="4DD94895"/>
    <w:rsid w:val="4DDB46DE"/>
    <w:rsid w:val="4DDF2411"/>
    <w:rsid w:val="4DE31663"/>
    <w:rsid w:val="4DE41189"/>
    <w:rsid w:val="4DE50F58"/>
    <w:rsid w:val="4DE535FF"/>
    <w:rsid w:val="4DE60967"/>
    <w:rsid w:val="4DE763B6"/>
    <w:rsid w:val="4DE82D2A"/>
    <w:rsid w:val="4DE9422C"/>
    <w:rsid w:val="4DEA3E2A"/>
    <w:rsid w:val="4DEA6478"/>
    <w:rsid w:val="4DEB696F"/>
    <w:rsid w:val="4DF0617A"/>
    <w:rsid w:val="4DF10658"/>
    <w:rsid w:val="4DF32DFB"/>
    <w:rsid w:val="4DF844BD"/>
    <w:rsid w:val="4E021B56"/>
    <w:rsid w:val="4E0828F5"/>
    <w:rsid w:val="4E082AC0"/>
    <w:rsid w:val="4E090CA6"/>
    <w:rsid w:val="4E101B9D"/>
    <w:rsid w:val="4E102281"/>
    <w:rsid w:val="4E1517BE"/>
    <w:rsid w:val="4E1626A9"/>
    <w:rsid w:val="4E1C4782"/>
    <w:rsid w:val="4E1E04FA"/>
    <w:rsid w:val="4E1E5397"/>
    <w:rsid w:val="4E1F6A45"/>
    <w:rsid w:val="4E21448E"/>
    <w:rsid w:val="4E272E8D"/>
    <w:rsid w:val="4E29031F"/>
    <w:rsid w:val="4E290CD4"/>
    <w:rsid w:val="4E292CD9"/>
    <w:rsid w:val="4E2A0852"/>
    <w:rsid w:val="4E2F2DD1"/>
    <w:rsid w:val="4E2F3DF2"/>
    <w:rsid w:val="4E331BE4"/>
    <w:rsid w:val="4E3715BC"/>
    <w:rsid w:val="4E375C5C"/>
    <w:rsid w:val="4E3F649D"/>
    <w:rsid w:val="4E4168DE"/>
    <w:rsid w:val="4E436DBE"/>
    <w:rsid w:val="4E443F77"/>
    <w:rsid w:val="4E465CA3"/>
    <w:rsid w:val="4E467A51"/>
    <w:rsid w:val="4E4966F7"/>
    <w:rsid w:val="4E4C051F"/>
    <w:rsid w:val="4E4C150B"/>
    <w:rsid w:val="4E4D31D1"/>
    <w:rsid w:val="4E4F0F85"/>
    <w:rsid w:val="4E4F3B28"/>
    <w:rsid w:val="4E512358"/>
    <w:rsid w:val="4E523D53"/>
    <w:rsid w:val="4E54241A"/>
    <w:rsid w:val="4E556FE9"/>
    <w:rsid w:val="4E5728DF"/>
    <w:rsid w:val="4E58553D"/>
    <w:rsid w:val="4E5A0004"/>
    <w:rsid w:val="4E5A224A"/>
    <w:rsid w:val="4E5B57DC"/>
    <w:rsid w:val="4E6012F3"/>
    <w:rsid w:val="4E601AB9"/>
    <w:rsid w:val="4E6040AB"/>
    <w:rsid w:val="4E624C32"/>
    <w:rsid w:val="4E633605"/>
    <w:rsid w:val="4E636D4E"/>
    <w:rsid w:val="4E676345"/>
    <w:rsid w:val="4E69052F"/>
    <w:rsid w:val="4E6D3230"/>
    <w:rsid w:val="4E6F3772"/>
    <w:rsid w:val="4E722F95"/>
    <w:rsid w:val="4E737EB1"/>
    <w:rsid w:val="4E765695"/>
    <w:rsid w:val="4E783250"/>
    <w:rsid w:val="4E7A0A87"/>
    <w:rsid w:val="4E7A5E8A"/>
    <w:rsid w:val="4E7B2225"/>
    <w:rsid w:val="4E7C3473"/>
    <w:rsid w:val="4E7E2684"/>
    <w:rsid w:val="4E7E3E7C"/>
    <w:rsid w:val="4E7E543D"/>
    <w:rsid w:val="4E8062DA"/>
    <w:rsid w:val="4E8118CC"/>
    <w:rsid w:val="4E821B43"/>
    <w:rsid w:val="4E873A3C"/>
    <w:rsid w:val="4E8752CD"/>
    <w:rsid w:val="4E884559"/>
    <w:rsid w:val="4E8B1EE0"/>
    <w:rsid w:val="4E960054"/>
    <w:rsid w:val="4E992F9E"/>
    <w:rsid w:val="4E9A62A5"/>
    <w:rsid w:val="4E9D56D9"/>
    <w:rsid w:val="4EA2112B"/>
    <w:rsid w:val="4EA35073"/>
    <w:rsid w:val="4EA41181"/>
    <w:rsid w:val="4EA46F42"/>
    <w:rsid w:val="4EA8692B"/>
    <w:rsid w:val="4EA93518"/>
    <w:rsid w:val="4EAC1BC5"/>
    <w:rsid w:val="4EAC1FAA"/>
    <w:rsid w:val="4EAD33E4"/>
    <w:rsid w:val="4EAF077C"/>
    <w:rsid w:val="4EB56570"/>
    <w:rsid w:val="4EB96475"/>
    <w:rsid w:val="4EBD1AA2"/>
    <w:rsid w:val="4EBE395D"/>
    <w:rsid w:val="4EC07803"/>
    <w:rsid w:val="4EC15936"/>
    <w:rsid w:val="4EC25E00"/>
    <w:rsid w:val="4EC310A1"/>
    <w:rsid w:val="4EC4226F"/>
    <w:rsid w:val="4EC5306C"/>
    <w:rsid w:val="4EC96C45"/>
    <w:rsid w:val="4ECA0682"/>
    <w:rsid w:val="4ECB0D67"/>
    <w:rsid w:val="4ECB2A7D"/>
    <w:rsid w:val="4ECC264C"/>
    <w:rsid w:val="4ECC6B98"/>
    <w:rsid w:val="4ECE050F"/>
    <w:rsid w:val="4ECE7183"/>
    <w:rsid w:val="4ECF3A6C"/>
    <w:rsid w:val="4ECF5C98"/>
    <w:rsid w:val="4ED145AB"/>
    <w:rsid w:val="4ED17C23"/>
    <w:rsid w:val="4ED244EC"/>
    <w:rsid w:val="4ED81C14"/>
    <w:rsid w:val="4ED92673"/>
    <w:rsid w:val="4ED92A69"/>
    <w:rsid w:val="4EDD1DFE"/>
    <w:rsid w:val="4EE34D02"/>
    <w:rsid w:val="4EE47996"/>
    <w:rsid w:val="4EE540C5"/>
    <w:rsid w:val="4EE72FE2"/>
    <w:rsid w:val="4EE940AA"/>
    <w:rsid w:val="4EE94FAC"/>
    <w:rsid w:val="4EEA5CAC"/>
    <w:rsid w:val="4EEA7FD8"/>
    <w:rsid w:val="4EEB1631"/>
    <w:rsid w:val="4EF063F8"/>
    <w:rsid w:val="4EF37BD9"/>
    <w:rsid w:val="4EF67D19"/>
    <w:rsid w:val="4EF71B04"/>
    <w:rsid w:val="4EF727D8"/>
    <w:rsid w:val="4EF92D15"/>
    <w:rsid w:val="4EFA4595"/>
    <w:rsid w:val="4EFA4B51"/>
    <w:rsid w:val="4EFC4D40"/>
    <w:rsid w:val="4EFD7270"/>
    <w:rsid w:val="4EFF7FF5"/>
    <w:rsid w:val="4F010770"/>
    <w:rsid w:val="4F0373C1"/>
    <w:rsid w:val="4F047EA2"/>
    <w:rsid w:val="4F053468"/>
    <w:rsid w:val="4F065B23"/>
    <w:rsid w:val="4F0F0008"/>
    <w:rsid w:val="4F0F41C9"/>
    <w:rsid w:val="4F113206"/>
    <w:rsid w:val="4F1171AB"/>
    <w:rsid w:val="4F131A98"/>
    <w:rsid w:val="4F155DA1"/>
    <w:rsid w:val="4F165EC1"/>
    <w:rsid w:val="4F1813ED"/>
    <w:rsid w:val="4F18148B"/>
    <w:rsid w:val="4F1B2C8C"/>
    <w:rsid w:val="4F215707"/>
    <w:rsid w:val="4F223243"/>
    <w:rsid w:val="4F265146"/>
    <w:rsid w:val="4F266806"/>
    <w:rsid w:val="4F2D2C7C"/>
    <w:rsid w:val="4F2E29BF"/>
    <w:rsid w:val="4F2F63CC"/>
    <w:rsid w:val="4F3501F1"/>
    <w:rsid w:val="4F350606"/>
    <w:rsid w:val="4F380851"/>
    <w:rsid w:val="4F3B1580"/>
    <w:rsid w:val="4F3E798A"/>
    <w:rsid w:val="4F485B04"/>
    <w:rsid w:val="4F486509"/>
    <w:rsid w:val="4F4E12B3"/>
    <w:rsid w:val="4F4E4E0F"/>
    <w:rsid w:val="4F4F43F0"/>
    <w:rsid w:val="4F506DF4"/>
    <w:rsid w:val="4F51447E"/>
    <w:rsid w:val="4F52018C"/>
    <w:rsid w:val="4F521D5C"/>
    <w:rsid w:val="4F526DE8"/>
    <w:rsid w:val="4F530677"/>
    <w:rsid w:val="4F5607C9"/>
    <w:rsid w:val="4F5835F5"/>
    <w:rsid w:val="4F5B752C"/>
    <w:rsid w:val="4F616B49"/>
    <w:rsid w:val="4F625FBC"/>
    <w:rsid w:val="4F636158"/>
    <w:rsid w:val="4F664600"/>
    <w:rsid w:val="4F666848"/>
    <w:rsid w:val="4F6D44D3"/>
    <w:rsid w:val="4F710AFD"/>
    <w:rsid w:val="4F712E54"/>
    <w:rsid w:val="4F714111"/>
    <w:rsid w:val="4F717FEA"/>
    <w:rsid w:val="4F796AF3"/>
    <w:rsid w:val="4F7C7BCE"/>
    <w:rsid w:val="4F803735"/>
    <w:rsid w:val="4F852047"/>
    <w:rsid w:val="4F894099"/>
    <w:rsid w:val="4F8A23F4"/>
    <w:rsid w:val="4F8A7538"/>
    <w:rsid w:val="4F8A7ED6"/>
    <w:rsid w:val="4F975AE1"/>
    <w:rsid w:val="4F9A34B3"/>
    <w:rsid w:val="4F9E1EF5"/>
    <w:rsid w:val="4F9F009D"/>
    <w:rsid w:val="4FA113E3"/>
    <w:rsid w:val="4FA14194"/>
    <w:rsid w:val="4FA4470B"/>
    <w:rsid w:val="4FA574A8"/>
    <w:rsid w:val="4FA61264"/>
    <w:rsid w:val="4FA76D93"/>
    <w:rsid w:val="4FA830FD"/>
    <w:rsid w:val="4FA96F84"/>
    <w:rsid w:val="4FAC136F"/>
    <w:rsid w:val="4FAC51BF"/>
    <w:rsid w:val="4FAD4BDA"/>
    <w:rsid w:val="4FAE17A8"/>
    <w:rsid w:val="4FB37368"/>
    <w:rsid w:val="4FB4273E"/>
    <w:rsid w:val="4FB52ABC"/>
    <w:rsid w:val="4FB707A4"/>
    <w:rsid w:val="4FBB1D6C"/>
    <w:rsid w:val="4FBD72D0"/>
    <w:rsid w:val="4FC17C1E"/>
    <w:rsid w:val="4FC40DE4"/>
    <w:rsid w:val="4FC459F8"/>
    <w:rsid w:val="4FC4667F"/>
    <w:rsid w:val="4FC6496F"/>
    <w:rsid w:val="4FC70BFD"/>
    <w:rsid w:val="4FC77D89"/>
    <w:rsid w:val="4FC87600"/>
    <w:rsid w:val="4FC90929"/>
    <w:rsid w:val="4FC92BEF"/>
    <w:rsid w:val="4FCA1C5F"/>
    <w:rsid w:val="4FCD6773"/>
    <w:rsid w:val="4FD22436"/>
    <w:rsid w:val="4FD757E5"/>
    <w:rsid w:val="4FD8597B"/>
    <w:rsid w:val="4FD96448"/>
    <w:rsid w:val="4FDA61A2"/>
    <w:rsid w:val="4FDC17DF"/>
    <w:rsid w:val="4FE077F1"/>
    <w:rsid w:val="4FE20CDC"/>
    <w:rsid w:val="4FE400DA"/>
    <w:rsid w:val="4FE50A0C"/>
    <w:rsid w:val="4FE52485"/>
    <w:rsid w:val="4FED5CA2"/>
    <w:rsid w:val="4FF16D2E"/>
    <w:rsid w:val="4FF27E90"/>
    <w:rsid w:val="4FF43314"/>
    <w:rsid w:val="4FF53B27"/>
    <w:rsid w:val="4FF752DC"/>
    <w:rsid w:val="4FF825C9"/>
    <w:rsid w:val="4FFB1A09"/>
    <w:rsid w:val="4FFC0D0F"/>
    <w:rsid w:val="4FFD595B"/>
    <w:rsid w:val="500139E3"/>
    <w:rsid w:val="5003209D"/>
    <w:rsid w:val="50055E16"/>
    <w:rsid w:val="500621E1"/>
    <w:rsid w:val="50067073"/>
    <w:rsid w:val="50096F88"/>
    <w:rsid w:val="500A602F"/>
    <w:rsid w:val="501352E2"/>
    <w:rsid w:val="501364FD"/>
    <w:rsid w:val="50153B7F"/>
    <w:rsid w:val="50172407"/>
    <w:rsid w:val="50183D19"/>
    <w:rsid w:val="50195DF3"/>
    <w:rsid w:val="501B7D45"/>
    <w:rsid w:val="501D04CE"/>
    <w:rsid w:val="501F7E5A"/>
    <w:rsid w:val="50203C86"/>
    <w:rsid w:val="5020757C"/>
    <w:rsid w:val="50221337"/>
    <w:rsid w:val="50253FAD"/>
    <w:rsid w:val="5026719E"/>
    <w:rsid w:val="50281B04"/>
    <w:rsid w:val="50283F8A"/>
    <w:rsid w:val="50295E52"/>
    <w:rsid w:val="502A3B2E"/>
    <w:rsid w:val="502B1A06"/>
    <w:rsid w:val="502E16DF"/>
    <w:rsid w:val="50323E9E"/>
    <w:rsid w:val="50341249"/>
    <w:rsid w:val="503A4330"/>
    <w:rsid w:val="503F0BFC"/>
    <w:rsid w:val="50403400"/>
    <w:rsid w:val="5043427F"/>
    <w:rsid w:val="50450E70"/>
    <w:rsid w:val="50451A62"/>
    <w:rsid w:val="50467C77"/>
    <w:rsid w:val="50492D0E"/>
    <w:rsid w:val="504A1A7A"/>
    <w:rsid w:val="504D22D0"/>
    <w:rsid w:val="504E2135"/>
    <w:rsid w:val="504E6789"/>
    <w:rsid w:val="50502F43"/>
    <w:rsid w:val="50511DCD"/>
    <w:rsid w:val="50526502"/>
    <w:rsid w:val="50537FDF"/>
    <w:rsid w:val="505406EA"/>
    <w:rsid w:val="505418F5"/>
    <w:rsid w:val="5056251F"/>
    <w:rsid w:val="50586E42"/>
    <w:rsid w:val="505A2995"/>
    <w:rsid w:val="505B0B0E"/>
    <w:rsid w:val="505D3BEA"/>
    <w:rsid w:val="506109A5"/>
    <w:rsid w:val="50613A80"/>
    <w:rsid w:val="50614121"/>
    <w:rsid w:val="50631789"/>
    <w:rsid w:val="50667122"/>
    <w:rsid w:val="506A1AE5"/>
    <w:rsid w:val="506C5CA1"/>
    <w:rsid w:val="506E21F3"/>
    <w:rsid w:val="507360DF"/>
    <w:rsid w:val="5075729B"/>
    <w:rsid w:val="5076286F"/>
    <w:rsid w:val="507629FF"/>
    <w:rsid w:val="507708C9"/>
    <w:rsid w:val="507B60D8"/>
    <w:rsid w:val="507D1DDB"/>
    <w:rsid w:val="507E1BB5"/>
    <w:rsid w:val="508071CF"/>
    <w:rsid w:val="50824801"/>
    <w:rsid w:val="50840A0C"/>
    <w:rsid w:val="508464F0"/>
    <w:rsid w:val="50874A7C"/>
    <w:rsid w:val="508A0845"/>
    <w:rsid w:val="508B1CFC"/>
    <w:rsid w:val="508B78D9"/>
    <w:rsid w:val="50904A67"/>
    <w:rsid w:val="509121E9"/>
    <w:rsid w:val="50916612"/>
    <w:rsid w:val="5094271B"/>
    <w:rsid w:val="5098176E"/>
    <w:rsid w:val="509A269F"/>
    <w:rsid w:val="509E3095"/>
    <w:rsid w:val="509F5C1D"/>
    <w:rsid w:val="50A576B2"/>
    <w:rsid w:val="50A66AE7"/>
    <w:rsid w:val="50AA42C7"/>
    <w:rsid w:val="50B00106"/>
    <w:rsid w:val="50B96C00"/>
    <w:rsid w:val="50B97C12"/>
    <w:rsid w:val="50BC0F04"/>
    <w:rsid w:val="50BC4EBF"/>
    <w:rsid w:val="50C0213E"/>
    <w:rsid w:val="50C20A02"/>
    <w:rsid w:val="50C31DB7"/>
    <w:rsid w:val="50C7612E"/>
    <w:rsid w:val="50C81643"/>
    <w:rsid w:val="50CD4459"/>
    <w:rsid w:val="50D049A9"/>
    <w:rsid w:val="50D17AA6"/>
    <w:rsid w:val="50D219EE"/>
    <w:rsid w:val="50D7144B"/>
    <w:rsid w:val="50D94BAC"/>
    <w:rsid w:val="50DB0924"/>
    <w:rsid w:val="50DC1F83"/>
    <w:rsid w:val="50DD37FA"/>
    <w:rsid w:val="50DE39E2"/>
    <w:rsid w:val="50E7307F"/>
    <w:rsid w:val="50EC7FE3"/>
    <w:rsid w:val="50ED0658"/>
    <w:rsid w:val="50ED6651"/>
    <w:rsid w:val="50EE5FD6"/>
    <w:rsid w:val="50F21C26"/>
    <w:rsid w:val="50F472B4"/>
    <w:rsid w:val="50F500CA"/>
    <w:rsid w:val="50F51526"/>
    <w:rsid w:val="50F63299"/>
    <w:rsid w:val="50F814D6"/>
    <w:rsid w:val="50F87F12"/>
    <w:rsid w:val="50FA12AC"/>
    <w:rsid w:val="50FC089B"/>
    <w:rsid w:val="50FD6AED"/>
    <w:rsid w:val="50FE2F41"/>
    <w:rsid w:val="51054B07"/>
    <w:rsid w:val="51056328"/>
    <w:rsid w:val="51081827"/>
    <w:rsid w:val="51081B1D"/>
    <w:rsid w:val="510B76CF"/>
    <w:rsid w:val="510C31D4"/>
    <w:rsid w:val="510D65B9"/>
    <w:rsid w:val="510D731C"/>
    <w:rsid w:val="51134562"/>
    <w:rsid w:val="5115386D"/>
    <w:rsid w:val="51155AAE"/>
    <w:rsid w:val="511A1959"/>
    <w:rsid w:val="511A58F1"/>
    <w:rsid w:val="511B5D12"/>
    <w:rsid w:val="511D55F2"/>
    <w:rsid w:val="511D5897"/>
    <w:rsid w:val="51234079"/>
    <w:rsid w:val="51246B4D"/>
    <w:rsid w:val="51256043"/>
    <w:rsid w:val="512749D4"/>
    <w:rsid w:val="51296EC1"/>
    <w:rsid w:val="51297D8E"/>
    <w:rsid w:val="512D20F5"/>
    <w:rsid w:val="513272DA"/>
    <w:rsid w:val="51340B7A"/>
    <w:rsid w:val="513514A8"/>
    <w:rsid w:val="51387638"/>
    <w:rsid w:val="513A0761"/>
    <w:rsid w:val="513F5357"/>
    <w:rsid w:val="51402E7D"/>
    <w:rsid w:val="51416F08"/>
    <w:rsid w:val="51420BD2"/>
    <w:rsid w:val="514566E6"/>
    <w:rsid w:val="51484FCB"/>
    <w:rsid w:val="514C35D0"/>
    <w:rsid w:val="514C735B"/>
    <w:rsid w:val="514E0A28"/>
    <w:rsid w:val="514F2C74"/>
    <w:rsid w:val="51530621"/>
    <w:rsid w:val="51556929"/>
    <w:rsid w:val="51582A61"/>
    <w:rsid w:val="51595CED"/>
    <w:rsid w:val="515E4AFF"/>
    <w:rsid w:val="515F3303"/>
    <w:rsid w:val="51643789"/>
    <w:rsid w:val="516903A4"/>
    <w:rsid w:val="516A1CA8"/>
    <w:rsid w:val="516E0EFF"/>
    <w:rsid w:val="51711289"/>
    <w:rsid w:val="51735001"/>
    <w:rsid w:val="51782617"/>
    <w:rsid w:val="51791C2D"/>
    <w:rsid w:val="517B1FAE"/>
    <w:rsid w:val="517B639D"/>
    <w:rsid w:val="517D2F40"/>
    <w:rsid w:val="517D3CFB"/>
    <w:rsid w:val="517F464A"/>
    <w:rsid w:val="51806468"/>
    <w:rsid w:val="51827ED6"/>
    <w:rsid w:val="518C1C1F"/>
    <w:rsid w:val="518C47CD"/>
    <w:rsid w:val="518D1861"/>
    <w:rsid w:val="518F150C"/>
    <w:rsid w:val="51903FB3"/>
    <w:rsid w:val="51965337"/>
    <w:rsid w:val="51984A67"/>
    <w:rsid w:val="519A44EF"/>
    <w:rsid w:val="519B1EA6"/>
    <w:rsid w:val="519B6A79"/>
    <w:rsid w:val="519C180B"/>
    <w:rsid w:val="51A05804"/>
    <w:rsid w:val="51A11B6E"/>
    <w:rsid w:val="51A12630"/>
    <w:rsid w:val="51A5345B"/>
    <w:rsid w:val="51A702DD"/>
    <w:rsid w:val="51A8290C"/>
    <w:rsid w:val="51A847DE"/>
    <w:rsid w:val="51AB2904"/>
    <w:rsid w:val="51AC3DF2"/>
    <w:rsid w:val="51B358E2"/>
    <w:rsid w:val="51B41EEC"/>
    <w:rsid w:val="51B82A14"/>
    <w:rsid w:val="51B9296E"/>
    <w:rsid w:val="51BC1258"/>
    <w:rsid w:val="51BD10BB"/>
    <w:rsid w:val="51BD44CE"/>
    <w:rsid w:val="51C94D42"/>
    <w:rsid w:val="51CE5807"/>
    <w:rsid w:val="51D1429F"/>
    <w:rsid w:val="51D2220A"/>
    <w:rsid w:val="51D76030"/>
    <w:rsid w:val="51D80064"/>
    <w:rsid w:val="51D875D1"/>
    <w:rsid w:val="51D8777E"/>
    <w:rsid w:val="51D96C4C"/>
    <w:rsid w:val="51DA16C8"/>
    <w:rsid w:val="51DF2A8C"/>
    <w:rsid w:val="51DF4444"/>
    <w:rsid w:val="51E07F14"/>
    <w:rsid w:val="51E24C0A"/>
    <w:rsid w:val="51E25CE3"/>
    <w:rsid w:val="51E3441C"/>
    <w:rsid w:val="51E414FC"/>
    <w:rsid w:val="51E732F9"/>
    <w:rsid w:val="51F336B6"/>
    <w:rsid w:val="51F34648"/>
    <w:rsid w:val="51F37EF0"/>
    <w:rsid w:val="51FF0643"/>
    <w:rsid w:val="52006B5A"/>
    <w:rsid w:val="52030B51"/>
    <w:rsid w:val="5204544E"/>
    <w:rsid w:val="52071443"/>
    <w:rsid w:val="52093B72"/>
    <w:rsid w:val="52101CFA"/>
    <w:rsid w:val="52110A39"/>
    <w:rsid w:val="521110C4"/>
    <w:rsid w:val="521178E8"/>
    <w:rsid w:val="52176CC7"/>
    <w:rsid w:val="521E0B6A"/>
    <w:rsid w:val="52213BDF"/>
    <w:rsid w:val="52223F36"/>
    <w:rsid w:val="52236509"/>
    <w:rsid w:val="52263E21"/>
    <w:rsid w:val="522848AF"/>
    <w:rsid w:val="52284A8B"/>
    <w:rsid w:val="522A286E"/>
    <w:rsid w:val="522E0F28"/>
    <w:rsid w:val="522E2EB6"/>
    <w:rsid w:val="52302599"/>
    <w:rsid w:val="52302EF2"/>
    <w:rsid w:val="52310D91"/>
    <w:rsid w:val="52350508"/>
    <w:rsid w:val="52365752"/>
    <w:rsid w:val="52382C7E"/>
    <w:rsid w:val="52383B54"/>
    <w:rsid w:val="523A675D"/>
    <w:rsid w:val="523B6118"/>
    <w:rsid w:val="523F2294"/>
    <w:rsid w:val="524023B1"/>
    <w:rsid w:val="52410C5B"/>
    <w:rsid w:val="52416FED"/>
    <w:rsid w:val="524644C3"/>
    <w:rsid w:val="524753FF"/>
    <w:rsid w:val="52486264"/>
    <w:rsid w:val="5249494D"/>
    <w:rsid w:val="524F69B6"/>
    <w:rsid w:val="5252069F"/>
    <w:rsid w:val="52524C16"/>
    <w:rsid w:val="5257047F"/>
    <w:rsid w:val="525A3ACB"/>
    <w:rsid w:val="525E1FE6"/>
    <w:rsid w:val="52635075"/>
    <w:rsid w:val="52707792"/>
    <w:rsid w:val="52726F73"/>
    <w:rsid w:val="52740582"/>
    <w:rsid w:val="52754DA9"/>
    <w:rsid w:val="52770C36"/>
    <w:rsid w:val="5278236D"/>
    <w:rsid w:val="527B3E85"/>
    <w:rsid w:val="527C2856"/>
    <w:rsid w:val="527F1783"/>
    <w:rsid w:val="527F342D"/>
    <w:rsid w:val="528101C5"/>
    <w:rsid w:val="528124CD"/>
    <w:rsid w:val="5281374D"/>
    <w:rsid w:val="52823613"/>
    <w:rsid w:val="52830639"/>
    <w:rsid w:val="52831C36"/>
    <w:rsid w:val="52884ADC"/>
    <w:rsid w:val="528A2602"/>
    <w:rsid w:val="528B1BF6"/>
    <w:rsid w:val="528E38A6"/>
    <w:rsid w:val="528E46E8"/>
    <w:rsid w:val="529600C0"/>
    <w:rsid w:val="52966AAF"/>
    <w:rsid w:val="52990E0E"/>
    <w:rsid w:val="5299445E"/>
    <w:rsid w:val="529D220B"/>
    <w:rsid w:val="52A12F74"/>
    <w:rsid w:val="52A1587A"/>
    <w:rsid w:val="52A25283"/>
    <w:rsid w:val="52A55ECC"/>
    <w:rsid w:val="52A770B3"/>
    <w:rsid w:val="52A92BA3"/>
    <w:rsid w:val="52AA70C1"/>
    <w:rsid w:val="52AB1138"/>
    <w:rsid w:val="52AB2578"/>
    <w:rsid w:val="52AC3207"/>
    <w:rsid w:val="52B244EC"/>
    <w:rsid w:val="52B403CD"/>
    <w:rsid w:val="52B509E5"/>
    <w:rsid w:val="52B64C37"/>
    <w:rsid w:val="52B94C95"/>
    <w:rsid w:val="52B9726B"/>
    <w:rsid w:val="52C11B7E"/>
    <w:rsid w:val="52C237DC"/>
    <w:rsid w:val="52C2513C"/>
    <w:rsid w:val="52C36173"/>
    <w:rsid w:val="52C524B3"/>
    <w:rsid w:val="52C648B5"/>
    <w:rsid w:val="52C67F32"/>
    <w:rsid w:val="52C84ED8"/>
    <w:rsid w:val="52C94AC4"/>
    <w:rsid w:val="52C975DC"/>
    <w:rsid w:val="52CA29FF"/>
    <w:rsid w:val="52CB130A"/>
    <w:rsid w:val="52CE1AF3"/>
    <w:rsid w:val="52D17328"/>
    <w:rsid w:val="52D46679"/>
    <w:rsid w:val="52DA2B85"/>
    <w:rsid w:val="52DC7783"/>
    <w:rsid w:val="52DE0176"/>
    <w:rsid w:val="52DE2E69"/>
    <w:rsid w:val="52E066C6"/>
    <w:rsid w:val="52E10E24"/>
    <w:rsid w:val="52E148C8"/>
    <w:rsid w:val="52E15BA4"/>
    <w:rsid w:val="52E21C63"/>
    <w:rsid w:val="52E26EAC"/>
    <w:rsid w:val="52E57980"/>
    <w:rsid w:val="52F064E9"/>
    <w:rsid w:val="52F23A62"/>
    <w:rsid w:val="52F41FED"/>
    <w:rsid w:val="52F43869"/>
    <w:rsid w:val="52F65EE9"/>
    <w:rsid w:val="52FC107A"/>
    <w:rsid w:val="53014A50"/>
    <w:rsid w:val="53051C89"/>
    <w:rsid w:val="530750F1"/>
    <w:rsid w:val="530C10F9"/>
    <w:rsid w:val="530C197F"/>
    <w:rsid w:val="53124F20"/>
    <w:rsid w:val="53126856"/>
    <w:rsid w:val="531277CC"/>
    <w:rsid w:val="53127E83"/>
    <w:rsid w:val="53140BE3"/>
    <w:rsid w:val="5314426D"/>
    <w:rsid w:val="531445D8"/>
    <w:rsid w:val="53146370"/>
    <w:rsid w:val="531772F5"/>
    <w:rsid w:val="531923F5"/>
    <w:rsid w:val="531A6AED"/>
    <w:rsid w:val="531C32DA"/>
    <w:rsid w:val="531E0BA1"/>
    <w:rsid w:val="53202F66"/>
    <w:rsid w:val="532047E5"/>
    <w:rsid w:val="532A7977"/>
    <w:rsid w:val="532D5416"/>
    <w:rsid w:val="53305608"/>
    <w:rsid w:val="5331362D"/>
    <w:rsid w:val="53332C9A"/>
    <w:rsid w:val="53335FF9"/>
    <w:rsid w:val="53387B0E"/>
    <w:rsid w:val="53395DD6"/>
    <w:rsid w:val="533C1422"/>
    <w:rsid w:val="533D4EAB"/>
    <w:rsid w:val="533D58C6"/>
    <w:rsid w:val="533D72E7"/>
    <w:rsid w:val="533F5F53"/>
    <w:rsid w:val="53420DCF"/>
    <w:rsid w:val="53427DBC"/>
    <w:rsid w:val="534413DF"/>
    <w:rsid w:val="53451DE1"/>
    <w:rsid w:val="53482F05"/>
    <w:rsid w:val="53496841"/>
    <w:rsid w:val="534C2DAA"/>
    <w:rsid w:val="534F625E"/>
    <w:rsid w:val="535421C9"/>
    <w:rsid w:val="53580803"/>
    <w:rsid w:val="5358625C"/>
    <w:rsid w:val="535950BD"/>
    <w:rsid w:val="535A6478"/>
    <w:rsid w:val="535B2E93"/>
    <w:rsid w:val="535B3A87"/>
    <w:rsid w:val="53645083"/>
    <w:rsid w:val="53656C8D"/>
    <w:rsid w:val="53680DC4"/>
    <w:rsid w:val="53696A26"/>
    <w:rsid w:val="536A41E2"/>
    <w:rsid w:val="536A6B90"/>
    <w:rsid w:val="536D5E34"/>
    <w:rsid w:val="536E11E4"/>
    <w:rsid w:val="536F1BBE"/>
    <w:rsid w:val="5372282B"/>
    <w:rsid w:val="5373753A"/>
    <w:rsid w:val="537535F9"/>
    <w:rsid w:val="53764934"/>
    <w:rsid w:val="5377324A"/>
    <w:rsid w:val="537A21B0"/>
    <w:rsid w:val="53830A46"/>
    <w:rsid w:val="53831A46"/>
    <w:rsid w:val="538434F5"/>
    <w:rsid w:val="538452A3"/>
    <w:rsid w:val="538612FA"/>
    <w:rsid w:val="538930A9"/>
    <w:rsid w:val="538A109D"/>
    <w:rsid w:val="538D08BC"/>
    <w:rsid w:val="538F5AF2"/>
    <w:rsid w:val="539A4AC7"/>
    <w:rsid w:val="539A738B"/>
    <w:rsid w:val="539B6E0C"/>
    <w:rsid w:val="539C2D37"/>
    <w:rsid w:val="539D2764"/>
    <w:rsid w:val="53A0499C"/>
    <w:rsid w:val="53A76717"/>
    <w:rsid w:val="53A94D0A"/>
    <w:rsid w:val="53AC421F"/>
    <w:rsid w:val="53AC6B88"/>
    <w:rsid w:val="53B272F5"/>
    <w:rsid w:val="53B27FC3"/>
    <w:rsid w:val="53B460FE"/>
    <w:rsid w:val="53B52CA3"/>
    <w:rsid w:val="53B62635"/>
    <w:rsid w:val="53BB0E6F"/>
    <w:rsid w:val="53BF15BE"/>
    <w:rsid w:val="53C03079"/>
    <w:rsid w:val="53C224C4"/>
    <w:rsid w:val="53C53E1F"/>
    <w:rsid w:val="53C56991"/>
    <w:rsid w:val="53CC5379"/>
    <w:rsid w:val="53CF6539"/>
    <w:rsid w:val="53D004E8"/>
    <w:rsid w:val="53D224B3"/>
    <w:rsid w:val="53D31091"/>
    <w:rsid w:val="53D37A1B"/>
    <w:rsid w:val="53D54E63"/>
    <w:rsid w:val="53D752D1"/>
    <w:rsid w:val="53D920AD"/>
    <w:rsid w:val="53D959ED"/>
    <w:rsid w:val="53DC7545"/>
    <w:rsid w:val="53E0348E"/>
    <w:rsid w:val="53E24517"/>
    <w:rsid w:val="53E30A2C"/>
    <w:rsid w:val="53E474EF"/>
    <w:rsid w:val="53EC0145"/>
    <w:rsid w:val="53EC0FD5"/>
    <w:rsid w:val="53EE050E"/>
    <w:rsid w:val="53F41ED8"/>
    <w:rsid w:val="53FB24A6"/>
    <w:rsid w:val="53FC2F5D"/>
    <w:rsid w:val="53FC5135"/>
    <w:rsid w:val="54000001"/>
    <w:rsid w:val="5402205C"/>
    <w:rsid w:val="54037016"/>
    <w:rsid w:val="5405307B"/>
    <w:rsid w:val="54065348"/>
    <w:rsid w:val="54066F97"/>
    <w:rsid w:val="54083E46"/>
    <w:rsid w:val="540852BF"/>
    <w:rsid w:val="540D2F78"/>
    <w:rsid w:val="540E5BD4"/>
    <w:rsid w:val="541603CA"/>
    <w:rsid w:val="541751A7"/>
    <w:rsid w:val="54184193"/>
    <w:rsid w:val="541850A7"/>
    <w:rsid w:val="54190580"/>
    <w:rsid w:val="541977FF"/>
    <w:rsid w:val="541D1254"/>
    <w:rsid w:val="542138B3"/>
    <w:rsid w:val="54241A85"/>
    <w:rsid w:val="542B7803"/>
    <w:rsid w:val="542C08D2"/>
    <w:rsid w:val="542E57E5"/>
    <w:rsid w:val="54305DF3"/>
    <w:rsid w:val="543105CB"/>
    <w:rsid w:val="5431073C"/>
    <w:rsid w:val="54336EB5"/>
    <w:rsid w:val="543750B4"/>
    <w:rsid w:val="54383C82"/>
    <w:rsid w:val="5439151A"/>
    <w:rsid w:val="543E2C5B"/>
    <w:rsid w:val="543F11CA"/>
    <w:rsid w:val="54426489"/>
    <w:rsid w:val="5443022B"/>
    <w:rsid w:val="54430477"/>
    <w:rsid w:val="54466D71"/>
    <w:rsid w:val="54492AE4"/>
    <w:rsid w:val="54496AD3"/>
    <w:rsid w:val="544970BC"/>
    <w:rsid w:val="544E222C"/>
    <w:rsid w:val="54501DB2"/>
    <w:rsid w:val="54505E01"/>
    <w:rsid w:val="54525B01"/>
    <w:rsid w:val="54533025"/>
    <w:rsid w:val="5455494A"/>
    <w:rsid w:val="545A1D22"/>
    <w:rsid w:val="545C1D7C"/>
    <w:rsid w:val="545C3B2A"/>
    <w:rsid w:val="545D3327"/>
    <w:rsid w:val="545D78A2"/>
    <w:rsid w:val="545E3D46"/>
    <w:rsid w:val="54606BC7"/>
    <w:rsid w:val="546261C4"/>
    <w:rsid w:val="54680F26"/>
    <w:rsid w:val="54682CE5"/>
    <w:rsid w:val="546B6463"/>
    <w:rsid w:val="546D3429"/>
    <w:rsid w:val="546E06A3"/>
    <w:rsid w:val="546E6AB5"/>
    <w:rsid w:val="546E760A"/>
    <w:rsid w:val="5471647D"/>
    <w:rsid w:val="547216DA"/>
    <w:rsid w:val="54752E3E"/>
    <w:rsid w:val="5477630D"/>
    <w:rsid w:val="547A5721"/>
    <w:rsid w:val="547E00EE"/>
    <w:rsid w:val="547E5347"/>
    <w:rsid w:val="5480408D"/>
    <w:rsid w:val="5487553B"/>
    <w:rsid w:val="548C60A9"/>
    <w:rsid w:val="54914D47"/>
    <w:rsid w:val="549257CF"/>
    <w:rsid w:val="5493581D"/>
    <w:rsid w:val="549A4653"/>
    <w:rsid w:val="549C121B"/>
    <w:rsid w:val="549C400B"/>
    <w:rsid w:val="549D7684"/>
    <w:rsid w:val="54A25FDB"/>
    <w:rsid w:val="54A342F3"/>
    <w:rsid w:val="54A4596D"/>
    <w:rsid w:val="54A53585"/>
    <w:rsid w:val="54A567D2"/>
    <w:rsid w:val="54A76C35"/>
    <w:rsid w:val="54AB4954"/>
    <w:rsid w:val="54AC5855"/>
    <w:rsid w:val="54B70849"/>
    <w:rsid w:val="54B716A8"/>
    <w:rsid w:val="54BA3F9A"/>
    <w:rsid w:val="54BA6AA3"/>
    <w:rsid w:val="54BE22E7"/>
    <w:rsid w:val="54BE2B35"/>
    <w:rsid w:val="54BF1A28"/>
    <w:rsid w:val="54C03FAD"/>
    <w:rsid w:val="54C45E25"/>
    <w:rsid w:val="54C45F1A"/>
    <w:rsid w:val="54C811C0"/>
    <w:rsid w:val="54C81925"/>
    <w:rsid w:val="54C91CB6"/>
    <w:rsid w:val="54C94F38"/>
    <w:rsid w:val="54CA3B23"/>
    <w:rsid w:val="54CB3D23"/>
    <w:rsid w:val="54CE22DF"/>
    <w:rsid w:val="54CE315F"/>
    <w:rsid w:val="54D2203E"/>
    <w:rsid w:val="54D45DB6"/>
    <w:rsid w:val="54D5228C"/>
    <w:rsid w:val="54D5594E"/>
    <w:rsid w:val="54D843F5"/>
    <w:rsid w:val="54D84B43"/>
    <w:rsid w:val="54D9161F"/>
    <w:rsid w:val="54DB516A"/>
    <w:rsid w:val="54DB70D2"/>
    <w:rsid w:val="54DE0134"/>
    <w:rsid w:val="54E43A9C"/>
    <w:rsid w:val="54E5066E"/>
    <w:rsid w:val="54E57FC4"/>
    <w:rsid w:val="54E6066A"/>
    <w:rsid w:val="54E970A0"/>
    <w:rsid w:val="54E97FD9"/>
    <w:rsid w:val="54EA03E1"/>
    <w:rsid w:val="54EC1809"/>
    <w:rsid w:val="54EC1EAC"/>
    <w:rsid w:val="54EE27EF"/>
    <w:rsid w:val="54EF499E"/>
    <w:rsid w:val="54EF660E"/>
    <w:rsid w:val="54F40207"/>
    <w:rsid w:val="54F46459"/>
    <w:rsid w:val="54F52F6B"/>
    <w:rsid w:val="54F759A4"/>
    <w:rsid w:val="54FE1907"/>
    <w:rsid w:val="54FF10D9"/>
    <w:rsid w:val="54FF2404"/>
    <w:rsid w:val="5500002F"/>
    <w:rsid w:val="55004DFD"/>
    <w:rsid w:val="550173C1"/>
    <w:rsid w:val="5502730B"/>
    <w:rsid w:val="5505067C"/>
    <w:rsid w:val="550563F3"/>
    <w:rsid w:val="55061A3E"/>
    <w:rsid w:val="5507521F"/>
    <w:rsid w:val="550A5C7C"/>
    <w:rsid w:val="550B0758"/>
    <w:rsid w:val="550F5041"/>
    <w:rsid w:val="55102B67"/>
    <w:rsid w:val="551161AE"/>
    <w:rsid w:val="55133279"/>
    <w:rsid w:val="55134DFA"/>
    <w:rsid w:val="55191CBB"/>
    <w:rsid w:val="551C0D8D"/>
    <w:rsid w:val="55212644"/>
    <w:rsid w:val="55242E4B"/>
    <w:rsid w:val="5528284A"/>
    <w:rsid w:val="552C152C"/>
    <w:rsid w:val="552C45A0"/>
    <w:rsid w:val="552D1C3E"/>
    <w:rsid w:val="552E56B1"/>
    <w:rsid w:val="55300145"/>
    <w:rsid w:val="55340160"/>
    <w:rsid w:val="55355F48"/>
    <w:rsid w:val="553A0519"/>
    <w:rsid w:val="553A542C"/>
    <w:rsid w:val="553C60C1"/>
    <w:rsid w:val="553E2EC3"/>
    <w:rsid w:val="5540344C"/>
    <w:rsid w:val="5541318F"/>
    <w:rsid w:val="55414D26"/>
    <w:rsid w:val="554166F4"/>
    <w:rsid w:val="554271C4"/>
    <w:rsid w:val="55474201"/>
    <w:rsid w:val="55480552"/>
    <w:rsid w:val="55482300"/>
    <w:rsid w:val="554C6261"/>
    <w:rsid w:val="554F31B6"/>
    <w:rsid w:val="555028B4"/>
    <w:rsid w:val="555459E8"/>
    <w:rsid w:val="55574085"/>
    <w:rsid w:val="555962BC"/>
    <w:rsid w:val="555A3D95"/>
    <w:rsid w:val="555A5793"/>
    <w:rsid w:val="556042A3"/>
    <w:rsid w:val="556213A7"/>
    <w:rsid w:val="55631BDD"/>
    <w:rsid w:val="55652B6B"/>
    <w:rsid w:val="55657398"/>
    <w:rsid w:val="55663E5F"/>
    <w:rsid w:val="55674CFE"/>
    <w:rsid w:val="556A77B4"/>
    <w:rsid w:val="556F2587"/>
    <w:rsid w:val="55702BF9"/>
    <w:rsid w:val="55735ABF"/>
    <w:rsid w:val="55771808"/>
    <w:rsid w:val="55780E38"/>
    <w:rsid w:val="557C73E1"/>
    <w:rsid w:val="557D44A5"/>
    <w:rsid w:val="55826A75"/>
    <w:rsid w:val="55833339"/>
    <w:rsid w:val="55841B74"/>
    <w:rsid w:val="558555B5"/>
    <w:rsid w:val="5590334D"/>
    <w:rsid w:val="55903AD3"/>
    <w:rsid w:val="559451F6"/>
    <w:rsid w:val="55986218"/>
    <w:rsid w:val="559C1A60"/>
    <w:rsid w:val="559E011F"/>
    <w:rsid w:val="559E337A"/>
    <w:rsid w:val="559E63C4"/>
    <w:rsid w:val="55AA2FBB"/>
    <w:rsid w:val="55AE3A1D"/>
    <w:rsid w:val="55AE75C2"/>
    <w:rsid w:val="55AF69DD"/>
    <w:rsid w:val="55B300C2"/>
    <w:rsid w:val="55B33A03"/>
    <w:rsid w:val="55B86E15"/>
    <w:rsid w:val="55BA31FE"/>
    <w:rsid w:val="55BB6F76"/>
    <w:rsid w:val="55BC52DB"/>
    <w:rsid w:val="55BF0815"/>
    <w:rsid w:val="55C0458D"/>
    <w:rsid w:val="55C316D2"/>
    <w:rsid w:val="55C755DE"/>
    <w:rsid w:val="55C9480F"/>
    <w:rsid w:val="55CB29CD"/>
    <w:rsid w:val="55CC2FD9"/>
    <w:rsid w:val="55D41DE6"/>
    <w:rsid w:val="55D8098E"/>
    <w:rsid w:val="55D966E6"/>
    <w:rsid w:val="55DB47E2"/>
    <w:rsid w:val="55DF0462"/>
    <w:rsid w:val="55E145BE"/>
    <w:rsid w:val="55E64236"/>
    <w:rsid w:val="55E7003E"/>
    <w:rsid w:val="55EC10FE"/>
    <w:rsid w:val="55EC35D4"/>
    <w:rsid w:val="55F16EB6"/>
    <w:rsid w:val="55F2133B"/>
    <w:rsid w:val="55F457B2"/>
    <w:rsid w:val="55F55300"/>
    <w:rsid w:val="55F91F8F"/>
    <w:rsid w:val="55FA3704"/>
    <w:rsid w:val="55FF2EBD"/>
    <w:rsid w:val="56002D4A"/>
    <w:rsid w:val="5600363A"/>
    <w:rsid w:val="56063305"/>
    <w:rsid w:val="56065E04"/>
    <w:rsid w:val="560737E9"/>
    <w:rsid w:val="560825A7"/>
    <w:rsid w:val="56097CE2"/>
    <w:rsid w:val="560F1D67"/>
    <w:rsid w:val="560F5B75"/>
    <w:rsid w:val="56106577"/>
    <w:rsid w:val="56124C5B"/>
    <w:rsid w:val="56142CC6"/>
    <w:rsid w:val="56170E73"/>
    <w:rsid w:val="5619170D"/>
    <w:rsid w:val="561A411D"/>
    <w:rsid w:val="561B0BFB"/>
    <w:rsid w:val="561C385C"/>
    <w:rsid w:val="56203543"/>
    <w:rsid w:val="56205857"/>
    <w:rsid w:val="56207EC3"/>
    <w:rsid w:val="5621502B"/>
    <w:rsid w:val="562A4A84"/>
    <w:rsid w:val="562C1D4A"/>
    <w:rsid w:val="56325E8A"/>
    <w:rsid w:val="563318A1"/>
    <w:rsid w:val="56344246"/>
    <w:rsid w:val="56380C80"/>
    <w:rsid w:val="563A1FAE"/>
    <w:rsid w:val="563A60ED"/>
    <w:rsid w:val="563A7A2F"/>
    <w:rsid w:val="563C1A65"/>
    <w:rsid w:val="563F1A86"/>
    <w:rsid w:val="56405A16"/>
    <w:rsid w:val="56410096"/>
    <w:rsid w:val="5641577B"/>
    <w:rsid w:val="5641661F"/>
    <w:rsid w:val="56422331"/>
    <w:rsid w:val="56486A5C"/>
    <w:rsid w:val="564B5B3B"/>
    <w:rsid w:val="564D3E02"/>
    <w:rsid w:val="564D4072"/>
    <w:rsid w:val="564E5BD6"/>
    <w:rsid w:val="565137BC"/>
    <w:rsid w:val="56514B7E"/>
    <w:rsid w:val="56521D78"/>
    <w:rsid w:val="5653131C"/>
    <w:rsid w:val="565320C0"/>
    <w:rsid w:val="56556A24"/>
    <w:rsid w:val="565672E6"/>
    <w:rsid w:val="565C0305"/>
    <w:rsid w:val="565D7CD4"/>
    <w:rsid w:val="565F19AD"/>
    <w:rsid w:val="56615D30"/>
    <w:rsid w:val="56635C16"/>
    <w:rsid w:val="56635D3A"/>
    <w:rsid w:val="566D0271"/>
    <w:rsid w:val="566D2D04"/>
    <w:rsid w:val="566D5EF8"/>
    <w:rsid w:val="566E180A"/>
    <w:rsid w:val="566E5D97"/>
    <w:rsid w:val="566E64D7"/>
    <w:rsid w:val="566F5CC5"/>
    <w:rsid w:val="56711C5C"/>
    <w:rsid w:val="5673115F"/>
    <w:rsid w:val="567315FF"/>
    <w:rsid w:val="56760B7F"/>
    <w:rsid w:val="56766AE6"/>
    <w:rsid w:val="56774536"/>
    <w:rsid w:val="56786C15"/>
    <w:rsid w:val="56791F36"/>
    <w:rsid w:val="56792040"/>
    <w:rsid w:val="567B6153"/>
    <w:rsid w:val="567D7A10"/>
    <w:rsid w:val="567E247E"/>
    <w:rsid w:val="567E289B"/>
    <w:rsid w:val="567E6272"/>
    <w:rsid w:val="567E6B2D"/>
    <w:rsid w:val="567F6ECF"/>
    <w:rsid w:val="56813BC7"/>
    <w:rsid w:val="56820C92"/>
    <w:rsid w:val="568315EE"/>
    <w:rsid w:val="56835CE6"/>
    <w:rsid w:val="568622DE"/>
    <w:rsid w:val="56867584"/>
    <w:rsid w:val="56870E70"/>
    <w:rsid w:val="56892BD9"/>
    <w:rsid w:val="568B3B27"/>
    <w:rsid w:val="568C5953"/>
    <w:rsid w:val="568D48D7"/>
    <w:rsid w:val="568F2FC7"/>
    <w:rsid w:val="568F4888"/>
    <w:rsid w:val="56917F1F"/>
    <w:rsid w:val="56937B33"/>
    <w:rsid w:val="56941CA1"/>
    <w:rsid w:val="56946102"/>
    <w:rsid w:val="5695732E"/>
    <w:rsid w:val="569779E2"/>
    <w:rsid w:val="56982497"/>
    <w:rsid w:val="56985CC6"/>
    <w:rsid w:val="56995D14"/>
    <w:rsid w:val="569A7FE8"/>
    <w:rsid w:val="56A22D72"/>
    <w:rsid w:val="56A27009"/>
    <w:rsid w:val="56A64F26"/>
    <w:rsid w:val="56A7547E"/>
    <w:rsid w:val="56A96DCF"/>
    <w:rsid w:val="56AF5946"/>
    <w:rsid w:val="56AF65D0"/>
    <w:rsid w:val="56B04601"/>
    <w:rsid w:val="56B23ED5"/>
    <w:rsid w:val="56B712EB"/>
    <w:rsid w:val="56B81F29"/>
    <w:rsid w:val="56B85264"/>
    <w:rsid w:val="56BB058E"/>
    <w:rsid w:val="56BC15F7"/>
    <w:rsid w:val="56BC6B02"/>
    <w:rsid w:val="56BE0ACC"/>
    <w:rsid w:val="56C0588E"/>
    <w:rsid w:val="56C05BD8"/>
    <w:rsid w:val="56C24040"/>
    <w:rsid w:val="56C323F4"/>
    <w:rsid w:val="56C33B97"/>
    <w:rsid w:val="56CA3A12"/>
    <w:rsid w:val="56CD3F85"/>
    <w:rsid w:val="56CE505E"/>
    <w:rsid w:val="56CF2CD9"/>
    <w:rsid w:val="56D16FAA"/>
    <w:rsid w:val="56D55C84"/>
    <w:rsid w:val="56D80CC3"/>
    <w:rsid w:val="56D95AC1"/>
    <w:rsid w:val="56DC1391"/>
    <w:rsid w:val="56DC7584"/>
    <w:rsid w:val="56E322E1"/>
    <w:rsid w:val="56E350CE"/>
    <w:rsid w:val="56E50F7B"/>
    <w:rsid w:val="56E60023"/>
    <w:rsid w:val="56E74E58"/>
    <w:rsid w:val="56E95231"/>
    <w:rsid w:val="56EE0C86"/>
    <w:rsid w:val="56F16C67"/>
    <w:rsid w:val="56FA127F"/>
    <w:rsid w:val="56FB0962"/>
    <w:rsid w:val="570217DC"/>
    <w:rsid w:val="57046C74"/>
    <w:rsid w:val="570521A4"/>
    <w:rsid w:val="570D0681"/>
    <w:rsid w:val="570D5CE5"/>
    <w:rsid w:val="570F003E"/>
    <w:rsid w:val="570F1328"/>
    <w:rsid w:val="57121C99"/>
    <w:rsid w:val="571C731F"/>
    <w:rsid w:val="5720002A"/>
    <w:rsid w:val="57203833"/>
    <w:rsid w:val="5723493E"/>
    <w:rsid w:val="57235E80"/>
    <w:rsid w:val="572A03E1"/>
    <w:rsid w:val="572C012C"/>
    <w:rsid w:val="572C0D6D"/>
    <w:rsid w:val="572F6274"/>
    <w:rsid w:val="573174F0"/>
    <w:rsid w:val="5733050C"/>
    <w:rsid w:val="5733571C"/>
    <w:rsid w:val="5734735E"/>
    <w:rsid w:val="5736073C"/>
    <w:rsid w:val="573A082F"/>
    <w:rsid w:val="573B5982"/>
    <w:rsid w:val="573E1F4D"/>
    <w:rsid w:val="57407733"/>
    <w:rsid w:val="57410317"/>
    <w:rsid w:val="574619E4"/>
    <w:rsid w:val="57461E4F"/>
    <w:rsid w:val="574907C6"/>
    <w:rsid w:val="574F65EC"/>
    <w:rsid w:val="57502415"/>
    <w:rsid w:val="57512308"/>
    <w:rsid w:val="575173D5"/>
    <w:rsid w:val="57577EAB"/>
    <w:rsid w:val="575847F8"/>
    <w:rsid w:val="575D6941"/>
    <w:rsid w:val="576001FE"/>
    <w:rsid w:val="5760775C"/>
    <w:rsid w:val="576126F9"/>
    <w:rsid w:val="57623167"/>
    <w:rsid w:val="576C4359"/>
    <w:rsid w:val="576D10A9"/>
    <w:rsid w:val="576D24F2"/>
    <w:rsid w:val="576D69FD"/>
    <w:rsid w:val="576D7ADF"/>
    <w:rsid w:val="576F64C8"/>
    <w:rsid w:val="57763155"/>
    <w:rsid w:val="57776219"/>
    <w:rsid w:val="5779530B"/>
    <w:rsid w:val="577B69BD"/>
    <w:rsid w:val="577C38A0"/>
    <w:rsid w:val="577F2D7C"/>
    <w:rsid w:val="578810DA"/>
    <w:rsid w:val="578A34C3"/>
    <w:rsid w:val="578B3F5F"/>
    <w:rsid w:val="578B79AF"/>
    <w:rsid w:val="578C6E1C"/>
    <w:rsid w:val="578E3565"/>
    <w:rsid w:val="578F5C2B"/>
    <w:rsid w:val="57915EED"/>
    <w:rsid w:val="57966E83"/>
    <w:rsid w:val="579732B5"/>
    <w:rsid w:val="579932E7"/>
    <w:rsid w:val="579B138C"/>
    <w:rsid w:val="579E61BE"/>
    <w:rsid w:val="579E7360"/>
    <w:rsid w:val="579F087A"/>
    <w:rsid w:val="579F5E7D"/>
    <w:rsid w:val="57A06543"/>
    <w:rsid w:val="57A74E8C"/>
    <w:rsid w:val="57A8352A"/>
    <w:rsid w:val="57A84287"/>
    <w:rsid w:val="57A84773"/>
    <w:rsid w:val="57A852D8"/>
    <w:rsid w:val="57AC2A2F"/>
    <w:rsid w:val="57AF48B9"/>
    <w:rsid w:val="57B1159C"/>
    <w:rsid w:val="57B36157"/>
    <w:rsid w:val="57B36550"/>
    <w:rsid w:val="57B65C47"/>
    <w:rsid w:val="57B93A89"/>
    <w:rsid w:val="57BB14B0"/>
    <w:rsid w:val="57BB16AD"/>
    <w:rsid w:val="57BD34AD"/>
    <w:rsid w:val="57BD441A"/>
    <w:rsid w:val="57BD494A"/>
    <w:rsid w:val="57BD6FD6"/>
    <w:rsid w:val="57BF105E"/>
    <w:rsid w:val="57BF5F1A"/>
    <w:rsid w:val="57BF686C"/>
    <w:rsid w:val="57C05A18"/>
    <w:rsid w:val="57C1147A"/>
    <w:rsid w:val="57C26CA0"/>
    <w:rsid w:val="57C30E39"/>
    <w:rsid w:val="57C324E2"/>
    <w:rsid w:val="57C476E6"/>
    <w:rsid w:val="57C55C52"/>
    <w:rsid w:val="57C71F0C"/>
    <w:rsid w:val="57CA1919"/>
    <w:rsid w:val="57CA278D"/>
    <w:rsid w:val="57CC546B"/>
    <w:rsid w:val="57D02916"/>
    <w:rsid w:val="57D165DD"/>
    <w:rsid w:val="57D600E0"/>
    <w:rsid w:val="57D736F5"/>
    <w:rsid w:val="57D95558"/>
    <w:rsid w:val="57D95678"/>
    <w:rsid w:val="57D9587E"/>
    <w:rsid w:val="57DB56AE"/>
    <w:rsid w:val="57DB745C"/>
    <w:rsid w:val="57DC4910"/>
    <w:rsid w:val="57DE4DEC"/>
    <w:rsid w:val="57DF594E"/>
    <w:rsid w:val="57E070BA"/>
    <w:rsid w:val="57E079C3"/>
    <w:rsid w:val="57E50217"/>
    <w:rsid w:val="57E56325"/>
    <w:rsid w:val="57E56888"/>
    <w:rsid w:val="57E705AA"/>
    <w:rsid w:val="57E722A5"/>
    <w:rsid w:val="57E91B79"/>
    <w:rsid w:val="57EA3A32"/>
    <w:rsid w:val="57EE4706"/>
    <w:rsid w:val="57F71ADE"/>
    <w:rsid w:val="57FA0B74"/>
    <w:rsid w:val="57FA6744"/>
    <w:rsid w:val="57FB6708"/>
    <w:rsid w:val="57FD0A15"/>
    <w:rsid w:val="57FD5624"/>
    <w:rsid w:val="58000703"/>
    <w:rsid w:val="5804594A"/>
    <w:rsid w:val="5805517D"/>
    <w:rsid w:val="580631EB"/>
    <w:rsid w:val="58075ABD"/>
    <w:rsid w:val="58095619"/>
    <w:rsid w:val="580B2B51"/>
    <w:rsid w:val="580E7831"/>
    <w:rsid w:val="58104B63"/>
    <w:rsid w:val="5813103C"/>
    <w:rsid w:val="581B3CFC"/>
    <w:rsid w:val="581B5AAA"/>
    <w:rsid w:val="581D7A74"/>
    <w:rsid w:val="58223E5C"/>
    <w:rsid w:val="582333BC"/>
    <w:rsid w:val="582334D9"/>
    <w:rsid w:val="58235398"/>
    <w:rsid w:val="582534C3"/>
    <w:rsid w:val="58274A6F"/>
    <w:rsid w:val="58295413"/>
    <w:rsid w:val="582D0E9F"/>
    <w:rsid w:val="582D7895"/>
    <w:rsid w:val="582E3866"/>
    <w:rsid w:val="582F0D80"/>
    <w:rsid w:val="58310C72"/>
    <w:rsid w:val="58310F3F"/>
    <w:rsid w:val="58384251"/>
    <w:rsid w:val="583A637B"/>
    <w:rsid w:val="583C5E16"/>
    <w:rsid w:val="583F4939"/>
    <w:rsid w:val="584043A1"/>
    <w:rsid w:val="58433FB5"/>
    <w:rsid w:val="58444F04"/>
    <w:rsid w:val="584A7DBF"/>
    <w:rsid w:val="584C5A05"/>
    <w:rsid w:val="585348AC"/>
    <w:rsid w:val="585B5DD0"/>
    <w:rsid w:val="585F15F3"/>
    <w:rsid w:val="58620333"/>
    <w:rsid w:val="5862734E"/>
    <w:rsid w:val="586414B1"/>
    <w:rsid w:val="58670CBD"/>
    <w:rsid w:val="58675947"/>
    <w:rsid w:val="58697B56"/>
    <w:rsid w:val="586A7C2E"/>
    <w:rsid w:val="586B2775"/>
    <w:rsid w:val="586B6A32"/>
    <w:rsid w:val="586C6306"/>
    <w:rsid w:val="586C67DF"/>
    <w:rsid w:val="586D6125"/>
    <w:rsid w:val="58712C2F"/>
    <w:rsid w:val="5871491E"/>
    <w:rsid w:val="587555B0"/>
    <w:rsid w:val="58756DBB"/>
    <w:rsid w:val="587826BC"/>
    <w:rsid w:val="58782BD5"/>
    <w:rsid w:val="587A6640"/>
    <w:rsid w:val="587A6C75"/>
    <w:rsid w:val="587F24DD"/>
    <w:rsid w:val="58817A02"/>
    <w:rsid w:val="58823414"/>
    <w:rsid w:val="58832CD9"/>
    <w:rsid w:val="58853B81"/>
    <w:rsid w:val="588634B2"/>
    <w:rsid w:val="588720AC"/>
    <w:rsid w:val="588953DF"/>
    <w:rsid w:val="588B00E9"/>
    <w:rsid w:val="58926D63"/>
    <w:rsid w:val="58937D37"/>
    <w:rsid w:val="58945D7D"/>
    <w:rsid w:val="58966B48"/>
    <w:rsid w:val="58967416"/>
    <w:rsid w:val="58975B15"/>
    <w:rsid w:val="589C222C"/>
    <w:rsid w:val="589C3E71"/>
    <w:rsid w:val="589C7659"/>
    <w:rsid w:val="589E2439"/>
    <w:rsid w:val="589F0489"/>
    <w:rsid w:val="58A05DB4"/>
    <w:rsid w:val="58A855F4"/>
    <w:rsid w:val="58AC2BA6"/>
    <w:rsid w:val="58AD704A"/>
    <w:rsid w:val="58AF251B"/>
    <w:rsid w:val="58B06791"/>
    <w:rsid w:val="58B637D8"/>
    <w:rsid w:val="58B8353B"/>
    <w:rsid w:val="58BB5C3B"/>
    <w:rsid w:val="58BC103B"/>
    <w:rsid w:val="58BD2CCA"/>
    <w:rsid w:val="58BE3D6C"/>
    <w:rsid w:val="58BF0B2C"/>
    <w:rsid w:val="58C12D9E"/>
    <w:rsid w:val="58C1657A"/>
    <w:rsid w:val="58C223CA"/>
    <w:rsid w:val="58C26662"/>
    <w:rsid w:val="58C37B68"/>
    <w:rsid w:val="58C45E8A"/>
    <w:rsid w:val="58C5428D"/>
    <w:rsid w:val="58C60659"/>
    <w:rsid w:val="58CC6D7E"/>
    <w:rsid w:val="58CD74BB"/>
    <w:rsid w:val="58D26653"/>
    <w:rsid w:val="58D43152"/>
    <w:rsid w:val="58D92DAB"/>
    <w:rsid w:val="58DA6022"/>
    <w:rsid w:val="58DC16DE"/>
    <w:rsid w:val="58DC46B3"/>
    <w:rsid w:val="58DC5215"/>
    <w:rsid w:val="58DE0690"/>
    <w:rsid w:val="58E1624D"/>
    <w:rsid w:val="58E16A07"/>
    <w:rsid w:val="58E949A2"/>
    <w:rsid w:val="58E94E86"/>
    <w:rsid w:val="58EB7B73"/>
    <w:rsid w:val="58EC6FBE"/>
    <w:rsid w:val="58F15354"/>
    <w:rsid w:val="58F3601E"/>
    <w:rsid w:val="58F607FB"/>
    <w:rsid w:val="58F72073"/>
    <w:rsid w:val="58FC70F8"/>
    <w:rsid w:val="590073F1"/>
    <w:rsid w:val="59066C81"/>
    <w:rsid w:val="59086DF4"/>
    <w:rsid w:val="59092A13"/>
    <w:rsid w:val="5909638E"/>
    <w:rsid w:val="590D5382"/>
    <w:rsid w:val="590F5BCC"/>
    <w:rsid w:val="59103135"/>
    <w:rsid w:val="59115B8C"/>
    <w:rsid w:val="591176C3"/>
    <w:rsid w:val="59125D2F"/>
    <w:rsid w:val="5913471D"/>
    <w:rsid w:val="591536F5"/>
    <w:rsid w:val="5917205A"/>
    <w:rsid w:val="59181741"/>
    <w:rsid w:val="59185E50"/>
    <w:rsid w:val="591B2AC3"/>
    <w:rsid w:val="591C1ADA"/>
    <w:rsid w:val="591E3259"/>
    <w:rsid w:val="5921119F"/>
    <w:rsid w:val="59257A15"/>
    <w:rsid w:val="592D0C16"/>
    <w:rsid w:val="59305585"/>
    <w:rsid w:val="59337F05"/>
    <w:rsid w:val="59341A61"/>
    <w:rsid w:val="59354FD9"/>
    <w:rsid w:val="59370D1B"/>
    <w:rsid w:val="593908DE"/>
    <w:rsid w:val="593949DC"/>
    <w:rsid w:val="593D6601"/>
    <w:rsid w:val="59430E94"/>
    <w:rsid w:val="594322F7"/>
    <w:rsid w:val="594340DD"/>
    <w:rsid w:val="59437274"/>
    <w:rsid w:val="59441B39"/>
    <w:rsid w:val="594961E8"/>
    <w:rsid w:val="594A1D6E"/>
    <w:rsid w:val="594C1BE5"/>
    <w:rsid w:val="594C7BF7"/>
    <w:rsid w:val="595079D6"/>
    <w:rsid w:val="595402B8"/>
    <w:rsid w:val="595B6AA6"/>
    <w:rsid w:val="595E4311"/>
    <w:rsid w:val="595F3012"/>
    <w:rsid w:val="59686A36"/>
    <w:rsid w:val="596A6FBA"/>
    <w:rsid w:val="596E0913"/>
    <w:rsid w:val="596E62D8"/>
    <w:rsid w:val="59725B9E"/>
    <w:rsid w:val="59750607"/>
    <w:rsid w:val="5979517E"/>
    <w:rsid w:val="597B2751"/>
    <w:rsid w:val="597D0867"/>
    <w:rsid w:val="5980574F"/>
    <w:rsid w:val="5980650D"/>
    <w:rsid w:val="598239C1"/>
    <w:rsid w:val="59851D75"/>
    <w:rsid w:val="598633F7"/>
    <w:rsid w:val="5988593B"/>
    <w:rsid w:val="598D4786"/>
    <w:rsid w:val="598F1658"/>
    <w:rsid w:val="598F479A"/>
    <w:rsid w:val="59905F4A"/>
    <w:rsid w:val="59916BE6"/>
    <w:rsid w:val="59955A08"/>
    <w:rsid w:val="59965590"/>
    <w:rsid w:val="59967ADE"/>
    <w:rsid w:val="59974D31"/>
    <w:rsid w:val="59981506"/>
    <w:rsid w:val="5999721F"/>
    <w:rsid w:val="599A19F5"/>
    <w:rsid w:val="599B50F5"/>
    <w:rsid w:val="599D78C4"/>
    <w:rsid w:val="599E6993"/>
    <w:rsid w:val="59A044B9"/>
    <w:rsid w:val="59A06ED9"/>
    <w:rsid w:val="59A104F8"/>
    <w:rsid w:val="59A17CC0"/>
    <w:rsid w:val="59A275AD"/>
    <w:rsid w:val="59A27F25"/>
    <w:rsid w:val="59A31D8F"/>
    <w:rsid w:val="59A5004A"/>
    <w:rsid w:val="59A5509C"/>
    <w:rsid w:val="59AA7659"/>
    <w:rsid w:val="59AC5BE3"/>
    <w:rsid w:val="59B213F1"/>
    <w:rsid w:val="59B350DA"/>
    <w:rsid w:val="59B61673"/>
    <w:rsid w:val="59B61BB5"/>
    <w:rsid w:val="59B63CDD"/>
    <w:rsid w:val="59B92753"/>
    <w:rsid w:val="59BA23DB"/>
    <w:rsid w:val="59BA3AD1"/>
    <w:rsid w:val="59BB08D8"/>
    <w:rsid w:val="59C76782"/>
    <w:rsid w:val="59C873C6"/>
    <w:rsid w:val="59C90C69"/>
    <w:rsid w:val="59C9705D"/>
    <w:rsid w:val="59D35B1C"/>
    <w:rsid w:val="59D40607"/>
    <w:rsid w:val="59D6688E"/>
    <w:rsid w:val="59D74659"/>
    <w:rsid w:val="59D86AD0"/>
    <w:rsid w:val="59D95C1D"/>
    <w:rsid w:val="59DB173A"/>
    <w:rsid w:val="59DC0F99"/>
    <w:rsid w:val="59E23EAB"/>
    <w:rsid w:val="59E85D07"/>
    <w:rsid w:val="59E940B2"/>
    <w:rsid w:val="59EA493F"/>
    <w:rsid w:val="59EC47A5"/>
    <w:rsid w:val="59ED28F5"/>
    <w:rsid w:val="59EE3894"/>
    <w:rsid w:val="59EE7FA0"/>
    <w:rsid w:val="59EF3692"/>
    <w:rsid w:val="59F30902"/>
    <w:rsid w:val="59F3128B"/>
    <w:rsid w:val="59F561F1"/>
    <w:rsid w:val="59F64B55"/>
    <w:rsid w:val="59F9006D"/>
    <w:rsid w:val="59F9055C"/>
    <w:rsid w:val="59F94018"/>
    <w:rsid w:val="59FB3DE5"/>
    <w:rsid w:val="59FB3F39"/>
    <w:rsid w:val="59FB50E6"/>
    <w:rsid w:val="59FF06CF"/>
    <w:rsid w:val="5A016493"/>
    <w:rsid w:val="5A027E85"/>
    <w:rsid w:val="5A063F3A"/>
    <w:rsid w:val="5A071113"/>
    <w:rsid w:val="5A071C77"/>
    <w:rsid w:val="5A077DF0"/>
    <w:rsid w:val="5A1076F9"/>
    <w:rsid w:val="5A18653D"/>
    <w:rsid w:val="5A1B2983"/>
    <w:rsid w:val="5A1E534A"/>
    <w:rsid w:val="5A1F6BBF"/>
    <w:rsid w:val="5A256032"/>
    <w:rsid w:val="5A285DC8"/>
    <w:rsid w:val="5A2C5008"/>
    <w:rsid w:val="5A2D69B4"/>
    <w:rsid w:val="5A2E5F69"/>
    <w:rsid w:val="5A2E6CFC"/>
    <w:rsid w:val="5A2F1584"/>
    <w:rsid w:val="5A2F6E2D"/>
    <w:rsid w:val="5A312CDC"/>
    <w:rsid w:val="5A3225B5"/>
    <w:rsid w:val="5A335BFB"/>
    <w:rsid w:val="5A3D43FE"/>
    <w:rsid w:val="5A467A5D"/>
    <w:rsid w:val="5A4839E2"/>
    <w:rsid w:val="5A492DD3"/>
    <w:rsid w:val="5A494D86"/>
    <w:rsid w:val="5A4A01F0"/>
    <w:rsid w:val="5A4A4842"/>
    <w:rsid w:val="5A4B6918"/>
    <w:rsid w:val="5A4E15E8"/>
    <w:rsid w:val="5A4F0FDC"/>
    <w:rsid w:val="5A5017CA"/>
    <w:rsid w:val="5A503810"/>
    <w:rsid w:val="5A546557"/>
    <w:rsid w:val="5A554400"/>
    <w:rsid w:val="5A576012"/>
    <w:rsid w:val="5A587CD5"/>
    <w:rsid w:val="5A5A528C"/>
    <w:rsid w:val="5A5B2A18"/>
    <w:rsid w:val="5A6000EC"/>
    <w:rsid w:val="5A6507F8"/>
    <w:rsid w:val="5A656D84"/>
    <w:rsid w:val="5A676131"/>
    <w:rsid w:val="5A682622"/>
    <w:rsid w:val="5A6C5E9D"/>
    <w:rsid w:val="5A7122F9"/>
    <w:rsid w:val="5A722EF1"/>
    <w:rsid w:val="5A723A6C"/>
    <w:rsid w:val="5A7343DA"/>
    <w:rsid w:val="5A7476F4"/>
    <w:rsid w:val="5A7A4896"/>
    <w:rsid w:val="5A7A4BBD"/>
    <w:rsid w:val="5A7D1DCA"/>
    <w:rsid w:val="5A7D47FA"/>
    <w:rsid w:val="5A7F24BD"/>
    <w:rsid w:val="5A7F2B9A"/>
    <w:rsid w:val="5A7F2C06"/>
    <w:rsid w:val="5A802498"/>
    <w:rsid w:val="5A8037FC"/>
    <w:rsid w:val="5A811A95"/>
    <w:rsid w:val="5A840011"/>
    <w:rsid w:val="5A8557D0"/>
    <w:rsid w:val="5A857189"/>
    <w:rsid w:val="5A8738CB"/>
    <w:rsid w:val="5A89781F"/>
    <w:rsid w:val="5A8C3154"/>
    <w:rsid w:val="5A8D547E"/>
    <w:rsid w:val="5A905C26"/>
    <w:rsid w:val="5A922E2C"/>
    <w:rsid w:val="5A947609"/>
    <w:rsid w:val="5A9A061F"/>
    <w:rsid w:val="5A9A53AC"/>
    <w:rsid w:val="5A9B0CF8"/>
    <w:rsid w:val="5A9C3877"/>
    <w:rsid w:val="5A9C7376"/>
    <w:rsid w:val="5A9D3526"/>
    <w:rsid w:val="5A9D726A"/>
    <w:rsid w:val="5A9F1534"/>
    <w:rsid w:val="5AA03FB4"/>
    <w:rsid w:val="5AA24261"/>
    <w:rsid w:val="5AA25BD7"/>
    <w:rsid w:val="5AA87AAA"/>
    <w:rsid w:val="5AB20ACB"/>
    <w:rsid w:val="5AB56C88"/>
    <w:rsid w:val="5AB757B8"/>
    <w:rsid w:val="5AB811A7"/>
    <w:rsid w:val="5AB96F53"/>
    <w:rsid w:val="5ABE7AB0"/>
    <w:rsid w:val="5AC14102"/>
    <w:rsid w:val="5AC14A3D"/>
    <w:rsid w:val="5AC21FC6"/>
    <w:rsid w:val="5AC4067B"/>
    <w:rsid w:val="5AC97A59"/>
    <w:rsid w:val="5ACA5253"/>
    <w:rsid w:val="5ACB7C5C"/>
    <w:rsid w:val="5ACC325C"/>
    <w:rsid w:val="5AD0629E"/>
    <w:rsid w:val="5AD16C31"/>
    <w:rsid w:val="5AD56C4B"/>
    <w:rsid w:val="5AD97E77"/>
    <w:rsid w:val="5ADB47F1"/>
    <w:rsid w:val="5ADC7773"/>
    <w:rsid w:val="5AE22C75"/>
    <w:rsid w:val="5AE25520"/>
    <w:rsid w:val="5AE32557"/>
    <w:rsid w:val="5AE45EBD"/>
    <w:rsid w:val="5AE65E26"/>
    <w:rsid w:val="5AE7015F"/>
    <w:rsid w:val="5AE92612"/>
    <w:rsid w:val="5AEA735D"/>
    <w:rsid w:val="5AED1DE5"/>
    <w:rsid w:val="5AED4FBA"/>
    <w:rsid w:val="5AED5FB6"/>
    <w:rsid w:val="5AEE11ED"/>
    <w:rsid w:val="5AEF4918"/>
    <w:rsid w:val="5AF21C14"/>
    <w:rsid w:val="5AF51A6A"/>
    <w:rsid w:val="5AF65710"/>
    <w:rsid w:val="5AF74604"/>
    <w:rsid w:val="5AF81198"/>
    <w:rsid w:val="5AFE05F7"/>
    <w:rsid w:val="5B045755"/>
    <w:rsid w:val="5B053F13"/>
    <w:rsid w:val="5B054308"/>
    <w:rsid w:val="5B065EF8"/>
    <w:rsid w:val="5B07181F"/>
    <w:rsid w:val="5B084E5D"/>
    <w:rsid w:val="5B093124"/>
    <w:rsid w:val="5B0B0058"/>
    <w:rsid w:val="5B0E659F"/>
    <w:rsid w:val="5B0E7C57"/>
    <w:rsid w:val="5B0F559B"/>
    <w:rsid w:val="5B127639"/>
    <w:rsid w:val="5B13515F"/>
    <w:rsid w:val="5B136F0D"/>
    <w:rsid w:val="5B1634DE"/>
    <w:rsid w:val="5B164902"/>
    <w:rsid w:val="5B165F9C"/>
    <w:rsid w:val="5B170BDB"/>
    <w:rsid w:val="5B174656"/>
    <w:rsid w:val="5B182775"/>
    <w:rsid w:val="5B192420"/>
    <w:rsid w:val="5B1A029B"/>
    <w:rsid w:val="5B1A473F"/>
    <w:rsid w:val="5B1D30BB"/>
    <w:rsid w:val="5B1F3B03"/>
    <w:rsid w:val="5B1F4B20"/>
    <w:rsid w:val="5B233081"/>
    <w:rsid w:val="5B281508"/>
    <w:rsid w:val="5B2B48FF"/>
    <w:rsid w:val="5B317057"/>
    <w:rsid w:val="5B326CF2"/>
    <w:rsid w:val="5B386973"/>
    <w:rsid w:val="5B3B5668"/>
    <w:rsid w:val="5B3F25D7"/>
    <w:rsid w:val="5B436457"/>
    <w:rsid w:val="5B4555BD"/>
    <w:rsid w:val="5B482B75"/>
    <w:rsid w:val="5B48471A"/>
    <w:rsid w:val="5B4B273B"/>
    <w:rsid w:val="5B4B3CC9"/>
    <w:rsid w:val="5B4C1D50"/>
    <w:rsid w:val="5B4D0671"/>
    <w:rsid w:val="5B5217D5"/>
    <w:rsid w:val="5B543D56"/>
    <w:rsid w:val="5B55215B"/>
    <w:rsid w:val="5B5654AF"/>
    <w:rsid w:val="5B571023"/>
    <w:rsid w:val="5B5B6174"/>
    <w:rsid w:val="5B5C484D"/>
    <w:rsid w:val="5B6217B2"/>
    <w:rsid w:val="5B640595"/>
    <w:rsid w:val="5B6547AE"/>
    <w:rsid w:val="5B654A60"/>
    <w:rsid w:val="5B66455E"/>
    <w:rsid w:val="5B691F00"/>
    <w:rsid w:val="5B6F40B9"/>
    <w:rsid w:val="5B6F6839"/>
    <w:rsid w:val="5B70435F"/>
    <w:rsid w:val="5B730E62"/>
    <w:rsid w:val="5B743E4F"/>
    <w:rsid w:val="5B765E19"/>
    <w:rsid w:val="5B767AAB"/>
    <w:rsid w:val="5B771CA8"/>
    <w:rsid w:val="5B7779FF"/>
    <w:rsid w:val="5B780E09"/>
    <w:rsid w:val="5B7C2C5E"/>
    <w:rsid w:val="5B80068D"/>
    <w:rsid w:val="5B805CD0"/>
    <w:rsid w:val="5B806A0C"/>
    <w:rsid w:val="5B807B33"/>
    <w:rsid w:val="5B830D19"/>
    <w:rsid w:val="5B885B4D"/>
    <w:rsid w:val="5B8A7C62"/>
    <w:rsid w:val="5B8B5CD7"/>
    <w:rsid w:val="5B9250C8"/>
    <w:rsid w:val="5B991B08"/>
    <w:rsid w:val="5B9A2238"/>
    <w:rsid w:val="5B9C67F6"/>
    <w:rsid w:val="5B9F0CED"/>
    <w:rsid w:val="5BA1276A"/>
    <w:rsid w:val="5BA26922"/>
    <w:rsid w:val="5BA37293"/>
    <w:rsid w:val="5BA42BF1"/>
    <w:rsid w:val="5BA44CA1"/>
    <w:rsid w:val="5BA473D4"/>
    <w:rsid w:val="5BAD697E"/>
    <w:rsid w:val="5BAE3877"/>
    <w:rsid w:val="5BAE3DE7"/>
    <w:rsid w:val="5BAF1CDD"/>
    <w:rsid w:val="5BB15A32"/>
    <w:rsid w:val="5BB4424D"/>
    <w:rsid w:val="5BB468EA"/>
    <w:rsid w:val="5BB560BF"/>
    <w:rsid w:val="5BB669AB"/>
    <w:rsid w:val="5BB82598"/>
    <w:rsid w:val="5BB929C8"/>
    <w:rsid w:val="5BBA4039"/>
    <w:rsid w:val="5BBA4800"/>
    <w:rsid w:val="5BBC1352"/>
    <w:rsid w:val="5BBC5C2C"/>
    <w:rsid w:val="5BBE5005"/>
    <w:rsid w:val="5BC15CFC"/>
    <w:rsid w:val="5BC84BEB"/>
    <w:rsid w:val="5BC853B7"/>
    <w:rsid w:val="5BC94BEF"/>
    <w:rsid w:val="5BCE150C"/>
    <w:rsid w:val="5BD137CE"/>
    <w:rsid w:val="5BD23E8D"/>
    <w:rsid w:val="5BD4778E"/>
    <w:rsid w:val="5BD63D2A"/>
    <w:rsid w:val="5BDB69CD"/>
    <w:rsid w:val="5BDD5DA4"/>
    <w:rsid w:val="5BE020E9"/>
    <w:rsid w:val="5BE07F6C"/>
    <w:rsid w:val="5BE52469"/>
    <w:rsid w:val="5BE54D4D"/>
    <w:rsid w:val="5BE5738F"/>
    <w:rsid w:val="5BE60F46"/>
    <w:rsid w:val="5BE865EB"/>
    <w:rsid w:val="5BE87C97"/>
    <w:rsid w:val="5BEA2363"/>
    <w:rsid w:val="5BEA3EB8"/>
    <w:rsid w:val="5BEA73A9"/>
    <w:rsid w:val="5BED1520"/>
    <w:rsid w:val="5BED6DB0"/>
    <w:rsid w:val="5BEE7C08"/>
    <w:rsid w:val="5BF210F2"/>
    <w:rsid w:val="5BF337CA"/>
    <w:rsid w:val="5BF40851"/>
    <w:rsid w:val="5BF82470"/>
    <w:rsid w:val="5BF86239"/>
    <w:rsid w:val="5BF93C6D"/>
    <w:rsid w:val="5BFC0E75"/>
    <w:rsid w:val="5BFD26B1"/>
    <w:rsid w:val="5C036F81"/>
    <w:rsid w:val="5C043425"/>
    <w:rsid w:val="5C043DE4"/>
    <w:rsid w:val="5C0902BB"/>
    <w:rsid w:val="5C0E4B6E"/>
    <w:rsid w:val="5C10310A"/>
    <w:rsid w:val="5C10488F"/>
    <w:rsid w:val="5C110970"/>
    <w:rsid w:val="5C1322B1"/>
    <w:rsid w:val="5C142F3C"/>
    <w:rsid w:val="5C177E5B"/>
    <w:rsid w:val="5C1A0891"/>
    <w:rsid w:val="5C1B1B94"/>
    <w:rsid w:val="5C1E4A9C"/>
    <w:rsid w:val="5C2018E1"/>
    <w:rsid w:val="5C204EB5"/>
    <w:rsid w:val="5C206C02"/>
    <w:rsid w:val="5C244176"/>
    <w:rsid w:val="5C245875"/>
    <w:rsid w:val="5C261623"/>
    <w:rsid w:val="5C267637"/>
    <w:rsid w:val="5C2834C7"/>
    <w:rsid w:val="5C286A9A"/>
    <w:rsid w:val="5C29330F"/>
    <w:rsid w:val="5C295359"/>
    <w:rsid w:val="5C2B25DC"/>
    <w:rsid w:val="5C2E2250"/>
    <w:rsid w:val="5C2F21DC"/>
    <w:rsid w:val="5C2F265B"/>
    <w:rsid w:val="5C337DE3"/>
    <w:rsid w:val="5C36008C"/>
    <w:rsid w:val="5C37035E"/>
    <w:rsid w:val="5C3A6E47"/>
    <w:rsid w:val="5C3D55CC"/>
    <w:rsid w:val="5C401BC1"/>
    <w:rsid w:val="5C472023"/>
    <w:rsid w:val="5C4978DF"/>
    <w:rsid w:val="5C4F2958"/>
    <w:rsid w:val="5C4F45FB"/>
    <w:rsid w:val="5C4F5070"/>
    <w:rsid w:val="5C506DD3"/>
    <w:rsid w:val="5C513ACA"/>
    <w:rsid w:val="5C525565"/>
    <w:rsid w:val="5C533A65"/>
    <w:rsid w:val="5C57661F"/>
    <w:rsid w:val="5C5C6100"/>
    <w:rsid w:val="5C5D2DB4"/>
    <w:rsid w:val="5C607531"/>
    <w:rsid w:val="5C627220"/>
    <w:rsid w:val="5C65130B"/>
    <w:rsid w:val="5C652343"/>
    <w:rsid w:val="5C683595"/>
    <w:rsid w:val="5C694B82"/>
    <w:rsid w:val="5C6D3D3E"/>
    <w:rsid w:val="5C6E3644"/>
    <w:rsid w:val="5C6E6AF1"/>
    <w:rsid w:val="5C716E94"/>
    <w:rsid w:val="5C717607"/>
    <w:rsid w:val="5C72639D"/>
    <w:rsid w:val="5C7567F2"/>
    <w:rsid w:val="5C794591"/>
    <w:rsid w:val="5C795767"/>
    <w:rsid w:val="5C7F03A3"/>
    <w:rsid w:val="5C802A9C"/>
    <w:rsid w:val="5C807046"/>
    <w:rsid w:val="5C817F47"/>
    <w:rsid w:val="5C821B9B"/>
    <w:rsid w:val="5C8400C2"/>
    <w:rsid w:val="5C864984"/>
    <w:rsid w:val="5C866026"/>
    <w:rsid w:val="5C874DF4"/>
    <w:rsid w:val="5C8978B5"/>
    <w:rsid w:val="5C8A1451"/>
    <w:rsid w:val="5C8A6E98"/>
    <w:rsid w:val="5C8E2CEF"/>
    <w:rsid w:val="5C8E448C"/>
    <w:rsid w:val="5C8F5DBC"/>
    <w:rsid w:val="5C910F58"/>
    <w:rsid w:val="5C9772E9"/>
    <w:rsid w:val="5C980B2C"/>
    <w:rsid w:val="5C984E07"/>
    <w:rsid w:val="5C987B73"/>
    <w:rsid w:val="5C9A7724"/>
    <w:rsid w:val="5C9A78E6"/>
    <w:rsid w:val="5C9B38C6"/>
    <w:rsid w:val="5C9B567B"/>
    <w:rsid w:val="5C9D2733"/>
    <w:rsid w:val="5C9D345B"/>
    <w:rsid w:val="5CA008A0"/>
    <w:rsid w:val="5CA17C44"/>
    <w:rsid w:val="5CA529CD"/>
    <w:rsid w:val="5CA6492F"/>
    <w:rsid w:val="5CA97CEB"/>
    <w:rsid w:val="5CAA0D77"/>
    <w:rsid w:val="5CAB5675"/>
    <w:rsid w:val="5CAE4944"/>
    <w:rsid w:val="5CB0535B"/>
    <w:rsid w:val="5CB7112D"/>
    <w:rsid w:val="5CB94EF7"/>
    <w:rsid w:val="5CBB414F"/>
    <w:rsid w:val="5CBC3D00"/>
    <w:rsid w:val="5CBD72B4"/>
    <w:rsid w:val="5CC20249"/>
    <w:rsid w:val="5CC6692D"/>
    <w:rsid w:val="5CC66E84"/>
    <w:rsid w:val="5CC74453"/>
    <w:rsid w:val="5CCA7962"/>
    <w:rsid w:val="5CCB3F43"/>
    <w:rsid w:val="5CD027F2"/>
    <w:rsid w:val="5CD14313"/>
    <w:rsid w:val="5CD16553"/>
    <w:rsid w:val="5CD31049"/>
    <w:rsid w:val="5CD609A7"/>
    <w:rsid w:val="5CD71EFE"/>
    <w:rsid w:val="5CD96ECD"/>
    <w:rsid w:val="5CDC24DD"/>
    <w:rsid w:val="5CDE7564"/>
    <w:rsid w:val="5CDF79EE"/>
    <w:rsid w:val="5CE04BE0"/>
    <w:rsid w:val="5CE10EA0"/>
    <w:rsid w:val="5CE30816"/>
    <w:rsid w:val="5CE52AFA"/>
    <w:rsid w:val="5CED4F23"/>
    <w:rsid w:val="5CED7F1D"/>
    <w:rsid w:val="5CEE378D"/>
    <w:rsid w:val="5CF16F59"/>
    <w:rsid w:val="5CF24C02"/>
    <w:rsid w:val="5CF6439C"/>
    <w:rsid w:val="5CF70BA6"/>
    <w:rsid w:val="5CF865E1"/>
    <w:rsid w:val="5CFA2326"/>
    <w:rsid w:val="5CFE091A"/>
    <w:rsid w:val="5CFE38B7"/>
    <w:rsid w:val="5CFE50D3"/>
    <w:rsid w:val="5CFF334D"/>
    <w:rsid w:val="5D017A1D"/>
    <w:rsid w:val="5D031154"/>
    <w:rsid w:val="5D064F7B"/>
    <w:rsid w:val="5D07136C"/>
    <w:rsid w:val="5D077E3A"/>
    <w:rsid w:val="5D0A2155"/>
    <w:rsid w:val="5D0D5CB0"/>
    <w:rsid w:val="5D0E7F5F"/>
    <w:rsid w:val="5D0F6E2D"/>
    <w:rsid w:val="5D0F7425"/>
    <w:rsid w:val="5D1269CC"/>
    <w:rsid w:val="5D152439"/>
    <w:rsid w:val="5D1F35C7"/>
    <w:rsid w:val="5D1F428F"/>
    <w:rsid w:val="5D210F2B"/>
    <w:rsid w:val="5D230B44"/>
    <w:rsid w:val="5D231CA9"/>
    <w:rsid w:val="5D2370C0"/>
    <w:rsid w:val="5D24449D"/>
    <w:rsid w:val="5D246737"/>
    <w:rsid w:val="5D275069"/>
    <w:rsid w:val="5D290C69"/>
    <w:rsid w:val="5D2B49E2"/>
    <w:rsid w:val="5D2F3F5A"/>
    <w:rsid w:val="5D2F3F6C"/>
    <w:rsid w:val="5D323FC2"/>
    <w:rsid w:val="5D326D06"/>
    <w:rsid w:val="5D331EA6"/>
    <w:rsid w:val="5D3715D8"/>
    <w:rsid w:val="5D3A155E"/>
    <w:rsid w:val="5D3A45DC"/>
    <w:rsid w:val="5D3F09B0"/>
    <w:rsid w:val="5D494E68"/>
    <w:rsid w:val="5D4F7DAA"/>
    <w:rsid w:val="5D500321"/>
    <w:rsid w:val="5D513E8F"/>
    <w:rsid w:val="5D522C41"/>
    <w:rsid w:val="5D530B60"/>
    <w:rsid w:val="5D546CA2"/>
    <w:rsid w:val="5D553ED0"/>
    <w:rsid w:val="5D5540BA"/>
    <w:rsid w:val="5D561157"/>
    <w:rsid w:val="5D5C7C38"/>
    <w:rsid w:val="5D5E2925"/>
    <w:rsid w:val="5D5F6439"/>
    <w:rsid w:val="5D6140DF"/>
    <w:rsid w:val="5D61701D"/>
    <w:rsid w:val="5D637BB7"/>
    <w:rsid w:val="5D6B0DB0"/>
    <w:rsid w:val="5D6B3AFB"/>
    <w:rsid w:val="5D6D3B2F"/>
    <w:rsid w:val="5D7013D1"/>
    <w:rsid w:val="5D7067F2"/>
    <w:rsid w:val="5D741447"/>
    <w:rsid w:val="5D751F6C"/>
    <w:rsid w:val="5D753EBE"/>
    <w:rsid w:val="5D762DB9"/>
    <w:rsid w:val="5D7A000D"/>
    <w:rsid w:val="5D7E281F"/>
    <w:rsid w:val="5D7E2FBA"/>
    <w:rsid w:val="5D83037A"/>
    <w:rsid w:val="5D8365CC"/>
    <w:rsid w:val="5D8C725E"/>
    <w:rsid w:val="5D961B61"/>
    <w:rsid w:val="5D995DEF"/>
    <w:rsid w:val="5D9A0711"/>
    <w:rsid w:val="5D9A66B2"/>
    <w:rsid w:val="5D9E6F62"/>
    <w:rsid w:val="5DA16A52"/>
    <w:rsid w:val="5DA17A92"/>
    <w:rsid w:val="5DA27BC8"/>
    <w:rsid w:val="5DA3131D"/>
    <w:rsid w:val="5DA6050C"/>
    <w:rsid w:val="5DA63DFC"/>
    <w:rsid w:val="5DA86AC4"/>
    <w:rsid w:val="5DA87AE6"/>
    <w:rsid w:val="5DA94774"/>
    <w:rsid w:val="5DAA3FC3"/>
    <w:rsid w:val="5DB057B9"/>
    <w:rsid w:val="5DB31E9B"/>
    <w:rsid w:val="5DB41FDD"/>
    <w:rsid w:val="5DB55CA5"/>
    <w:rsid w:val="5DBC1ADE"/>
    <w:rsid w:val="5DBD1FBA"/>
    <w:rsid w:val="5DC00580"/>
    <w:rsid w:val="5DC5662C"/>
    <w:rsid w:val="5DC64AEA"/>
    <w:rsid w:val="5DC8626B"/>
    <w:rsid w:val="5DCE06AD"/>
    <w:rsid w:val="5DD22096"/>
    <w:rsid w:val="5DD42E90"/>
    <w:rsid w:val="5DD4750C"/>
    <w:rsid w:val="5DD63EE7"/>
    <w:rsid w:val="5DD86F40"/>
    <w:rsid w:val="5DDB5CDA"/>
    <w:rsid w:val="5DDD5FDB"/>
    <w:rsid w:val="5DDE6600"/>
    <w:rsid w:val="5DE5254C"/>
    <w:rsid w:val="5DE750F9"/>
    <w:rsid w:val="5DE936EC"/>
    <w:rsid w:val="5DEA664B"/>
    <w:rsid w:val="5DED3F44"/>
    <w:rsid w:val="5DEF5A0F"/>
    <w:rsid w:val="5DF157B8"/>
    <w:rsid w:val="5DF31772"/>
    <w:rsid w:val="5DF422DA"/>
    <w:rsid w:val="5DF63241"/>
    <w:rsid w:val="5DF86E91"/>
    <w:rsid w:val="5DFB24A4"/>
    <w:rsid w:val="5DFC17F4"/>
    <w:rsid w:val="5DFF1EF2"/>
    <w:rsid w:val="5E0265F7"/>
    <w:rsid w:val="5E032CDB"/>
    <w:rsid w:val="5E050FFF"/>
    <w:rsid w:val="5E067CAA"/>
    <w:rsid w:val="5E07636F"/>
    <w:rsid w:val="5E0769F9"/>
    <w:rsid w:val="5E0A047B"/>
    <w:rsid w:val="5E0F0C87"/>
    <w:rsid w:val="5E0F1C0D"/>
    <w:rsid w:val="5E114D05"/>
    <w:rsid w:val="5E135BA1"/>
    <w:rsid w:val="5E13710D"/>
    <w:rsid w:val="5E1601D1"/>
    <w:rsid w:val="5E162B05"/>
    <w:rsid w:val="5E164A9A"/>
    <w:rsid w:val="5E1718F4"/>
    <w:rsid w:val="5E19345F"/>
    <w:rsid w:val="5E1B17F9"/>
    <w:rsid w:val="5E1B6804"/>
    <w:rsid w:val="5E1E62F4"/>
    <w:rsid w:val="5E21631F"/>
    <w:rsid w:val="5E24083F"/>
    <w:rsid w:val="5E28102D"/>
    <w:rsid w:val="5E286EDC"/>
    <w:rsid w:val="5E2D6537"/>
    <w:rsid w:val="5E310D5E"/>
    <w:rsid w:val="5E31427A"/>
    <w:rsid w:val="5E340539"/>
    <w:rsid w:val="5E345B18"/>
    <w:rsid w:val="5E364B93"/>
    <w:rsid w:val="5E386390"/>
    <w:rsid w:val="5E3A1CC9"/>
    <w:rsid w:val="5E3D1D8B"/>
    <w:rsid w:val="5E3E2C11"/>
    <w:rsid w:val="5E3E3B7C"/>
    <w:rsid w:val="5E3F4EA7"/>
    <w:rsid w:val="5E406CFA"/>
    <w:rsid w:val="5E4443F8"/>
    <w:rsid w:val="5E475A91"/>
    <w:rsid w:val="5E481241"/>
    <w:rsid w:val="5E4A390B"/>
    <w:rsid w:val="5E4B3EB4"/>
    <w:rsid w:val="5E5004D8"/>
    <w:rsid w:val="5E553989"/>
    <w:rsid w:val="5E575129"/>
    <w:rsid w:val="5E5B0CD5"/>
    <w:rsid w:val="5E5F680B"/>
    <w:rsid w:val="5E5F7D3A"/>
    <w:rsid w:val="5E627153"/>
    <w:rsid w:val="5E631F59"/>
    <w:rsid w:val="5E666DE6"/>
    <w:rsid w:val="5E683B6D"/>
    <w:rsid w:val="5E6B5E80"/>
    <w:rsid w:val="5E6B6FB8"/>
    <w:rsid w:val="5E6F4DA2"/>
    <w:rsid w:val="5E700CD6"/>
    <w:rsid w:val="5E71249E"/>
    <w:rsid w:val="5E7303BB"/>
    <w:rsid w:val="5E7B014C"/>
    <w:rsid w:val="5E7B785E"/>
    <w:rsid w:val="5E7D0605"/>
    <w:rsid w:val="5E8317B7"/>
    <w:rsid w:val="5E8365F6"/>
    <w:rsid w:val="5E876089"/>
    <w:rsid w:val="5E887259"/>
    <w:rsid w:val="5E8928E0"/>
    <w:rsid w:val="5E8F1076"/>
    <w:rsid w:val="5E9071F2"/>
    <w:rsid w:val="5E9208C8"/>
    <w:rsid w:val="5E92531F"/>
    <w:rsid w:val="5E9640DD"/>
    <w:rsid w:val="5E9F19A1"/>
    <w:rsid w:val="5EA1202F"/>
    <w:rsid w:val="5EA85290"/>
    <w:rsid w:val="5EA8712E"/>
    <w:rsid w:val="5EAC56AE"/>
    <w:rsid w:val="5EB129A4"/>
    <w:rsid w:val="5EB332BF"/>
    <w:rsid w:val="5EB47229"/>
    <w:rsid w:val="5EBA0B15"/>
    <w:rsid w:val="5EBB3B43"/>
    <w:rsid w:val="5EBB61D5"/>
    <w:rsid w:val="5EBC49F9"/>
    <w:rsid w:val="5EBE04A4"/>
    <w:rsid w:val="5EC04C6E"/>
    <w:rsid w:val="5EC11B7D"/>
    <w:rsid w:val="5EC151DD"/>
    <w:rsid w:val="5EC41A9A"/>
    <w:rsid w:val="5EC423C5"/>
    <w:rsid w:val="5EC510CC"/>
    <w:rsid w:val="5EC52A2B"/>
    <w:rsid w:val="5EC7069C"/>
    <w:rsid w:val="5EC71605"/>
    <w:rsid w:val="5EC753A7"/>
    <w:rsid w:val="5EC923F3"/>
    <w:rsid w:val="5EC92704"/>
    <w:rsid w:val="5ECD026B"/>
    <w:rsid w:val="5ECE32BB"/>
    <w:rsid w:val="5ED31B50"/>
    <w:rsid w:val="5ED502AB"/>
    <w:rsid w:val="5ED51817"/>
    <w:rsid w:val="5ED82947"/>
    <w:rsid w:val="5ED836FE"/>
    <w:rsid w:val="5ED846F5"/>
    <w:rsid w:val="5ED87C0A"/>
    <w:rsid w:val="5EDC37D9"/>
    <w:rsid w:val="5EE25552"/>
    <w:rsid w:val="5EE34E63"/>
    <w:rsid w:val="5EE5360E"/>
    <w:rsid w:val="5EE62B48"/>
    <w:rsid w:val="5EE70DDC"/>
    <w:rsid w:val="5EEB2332"/>
    <w:rsid w:val="5EEC2A4E"/>
    <w:rsid w:val="5EEE5745"/>
    <w:rsid w:val="5EEF1CDA"/>
    <w:rsid w:val="5EEF6D7E"/>
    <w:rsid w:val="5EF23C04"/>
    <w:rsid w:val="5EF30C3D"/>
    <w:rsid w:val="5EF36773"/>
    <w:rsid w:val="5EF77271"/>
    <w:rsid w:val="5EFA03E5"/>
    <w:rsid w:val="5EFD4639"/>
    <w:rsid w:val="5EFF4C2C"/>
    <w:rsid w:val="5F05063B"/>
    <w:rsid w:val="5F053839"/>
    <w:rsid w:val="5F061C56"/>
    <w:rsid w:val="5F064154"/>
    <w:rsid w:val="5F07392B"/>
    <w:rsid w:val="5F0D78F7"/>
    <w:rsid w:val="5F0F304E"/>
    <w:rsid w:val="5F1233F3"/>
    <w:rsid w:val="5F125D6F"/>
    <w:rsid w:val="5F161ED6"/>
    <w:rsid w:val="5F16521D"/>
    <w:rsid w:val="5F177371"/>
    <w:rsid w:val="5F1B3CD1"/>
    <w:rsid w:val="5F1B64ED"/>
    <w:rsid w:val="5F1D65AC"/>
    <w:rsid w:val="5F2110BA"/>
    <w:rsid w:val="5F223166"/>
    <w:rsid w:val="5F2233F2"/>
    <w:rsid w:val="5F223A5A"/>
    <w:rsid w:val="5F225970"/>
    <w:rsid w:val="5F2453A2"/>
    <w:rsid w:val="5F267552"/>
    <w:rsid w:val="5F2711D9"/>
    <w:rsid w:val="5F273D1A"/>
    <w:rsid w:val="5F28068D"/>
    <w:rsid w:val="5F2827E5"/>
    <w:rsid w:val="5F311034"/>
    <w:rsid w:val="5F3232E7"/>
    <w:rsid w:val="5F363ADE"/>
    <w:rsid w:val="5F395429"/>
    <w:rsid w:val="5F3968D0"/>
    <w:rsid w:val="5F400F85"/>
    <w:rsid w:val="5F4043A8"/>
    <w:rsid w:val="5F405D84"/>
    <w:rsid w:val="5F445848"/>
    <w:rsid w:val="5F4721B4"/>
    <w:rsid w:val="5F473569"/>
    <w:rsid w:val="5F4A06EB"/>
    <w:rsid w:val="5F4C18AF"/>
    <w:rsid w:val="5F4D3381"/>
    <w:rsid w:val="5F556624"/>
    <w:rsid w:val="5F592D75"/>
    <w:rsid w:val="5F597EB6"/>
    <w:rsid w:val="5F5C5779"/>
    <w:rsid w:val="5F6307AD"/>
    <w:rsid w:val="5F6441DB"/>
    <w:rsid w:val="5F752721"/>
    <w:rsid w:val="5F77358C"/>
    <w:rsid w:val="5F7B7639"/>
    <w:rsid w:val="5F7D1D40"/>
    <w:rsid w:val="5F7E2C27"/>
    <w:rsid w:val="5F7F6B06"/>
    <w:rsid w:val="5F8A57E4"/>
    <w:rsid w:val="5F8B4E31"/>
    <w:rsid w:val="5F8B7350"/>
    <w:rsid w:val="5F8C1714"/>
    <w:rsid w:val="5F8D01CE"/>
    <w:rsid w:val="5F8E21E3"/>
    <w:rsid w:val="5F8F65C8"/>
    <w:rsid w:val="5F8F7D4E"/>
    <w:rsid w:val="5F912BFB"/>
    <w:rsid w:val="5F9452EC"/>
    <w:rsid w:val="5F9674A7"/>
    <w:rsid w:val="5F9770B0"/>
    <w:rsid w:val="5F984EEC"/>
    <w:rsid w:val="5F9A3759"/>
    <w:rsid w:val="5F9A5C74"/>
    <w:rsid w:val="5F9C7F3D"/>
    <w:rsid w:val="5FA07D52"/>
    <w:rsid w:val="5FA2331A"/>
    <w:rsid w:val="5FA336DE"/>
    <w:rsid w:val="5FA36AB1"/>
    <w:rsid w:val="5FA50BD0"/>
    <w:rsid w:val="5FA53A6F"/>
    <w:rsid w:val="5FA6426E"/>
    <w:rsid w:val="5FA72C14"/>
    <w:rsid w:val="5FAB528E"/>
    <w:rsid w:val="5FAD0E56"/>
    <w:rsid w:val="5FAD79CC"/>
    <w:rsid w:val="5FAF21C4"/>
    <w:rsid w:val="5FB27966"/>
    <w:rsid w:val="5FB707AE"/>
    <w:rsid w:val="5FB711E9"/>
    <w:rsid w:val="5FB732DC"/>
    <w:rsid w:val="5FB76652"/>
    <w:rsid w:val="5FB7690C"/>
    <w:rsid w:val="5FB97F54"/>
    <w:rsid w:val="5FBB4148"/>
    <w:rsid w:val="5FBB77A7"/>
    <w:rsid w:val="5FC219D2"/>
    <w:rsid w:val="5FC414CE"/>
    <w:rsid w:val="5FCB5513"/>
    <w:rsid w:val="5FCF3517"/>
    <w:rsid w:val="5FD23FBB"/>
    <w:rsid w:val="5FD25472"/>
    <w:rsid w:val="5FD262A0"/>
    <w:rsid w:val="5FD7060D"/>
    <w:rsid w:val="5FDA0819"/>
    <w:rsid w:val="5FDB2EFE"/>
    <w:rsid w:val="5FDE6974"/>
    <w:rsid w:val="5FE12A77"/>
    <w:rsid w:val="5FE31BC2"/>
    <w:rsid w:val="5FE34539"/>
    <w:rsid w:val="5FE61149"/>
    <w:rsid w:val="5FE86E5B"/>
    <w:rsid w:val="5FEB400D"/>
    <w:rsid w:val="5FEC1C50"/>
    <w:rsid w:val="5FED099B"/>
    <w:rsid w:val="5FEF4956"/>
    <w:rsid w:val="5FF94530"/>
    <w:rsid w:val="5FFC2452"/>
    <w:rsid w:val="5FFC654F"/>
    <w:rsid w:val="5FFE33D6"/>
    <w:rsid w:val="6002395E"/>
    <w:rsid w:val="60027CFF"/>
    <w:rsid w:val="600567A3"/>
    <w:rsid w:val="60106DED"/>
    <w:rsid w:val="601161FA"/>
    <w:rsid w:val="60123BB8"/>
    <w:rsid w:val="601344B5"/>
    <w:rsid w:val="60152280"/>
    <w:rsid w:val="60167A2E"/>
    <w:rsid w:val="60184191"/>
    <w:rsid w:val="601940C7"/>
    <w:rsid w:val="601B28E3"/>
    <w:rsid w:val="601D35DB"/>
    <w:rsid w:val="60200102"/>
    <w:rsid w:val="60203822"/>
    <w:rsid w:val="60244AC9"/>
    <w:rsid w:val="60246FA7"/>
    <w:rsid w:val="602500D5"/>
    <w:rsid w:val="602573F1"/>
    <w:rsid w:val="6027366C"/>
    <w:rsid w:val="602848D1"/>
    <w:rsid w:val="6028628C"/>
    <w:rsid w:val="60296883"/>
    <w:rsid w:val="602E7226"/>
    <w:rsid w:val="6031230F"/>
    <w:rsid w:val="60332DE0"/>
    <w:rsid w:val="60384829"/>
    <w:rsid w:val="603A003B"/>
    <w:rsid w:val="603A7F0F"/>
    <w:rsid w:val="603C3CB5"/>
    <w:rsid w:val="603F406E"/>
    <w:rsid w:val="60424B4F"/>
    <w:rsid w:val="60427493"/>
    <w:rsid w:val="60443B9C"/>
    <w:rsid w:val="604457FD"/>
    <w:rsid w:val="604511B9"/>
    <w:rsid w:val="604665B7"/>
    <w:rsid w:val="60477A6E"/>
    <w:rsid w:val="604A33D1"/>
    <w:rsid w:val="604A7DD3"/>
    <w:rsid w:val="604C1EF8"/>
    <w:rsid w:val="604C7149"/>
    <w:rsid w:val="605571E5"/>
    <w:rsid w:val="605A1CEA"/>
    <w:rsid w:val="605C4EB2"/>
    <w:rsid w:val="605D3104"/>
    <w:rsid w:val="605D5F88"/>
    <w:rsid w:val="605E277C"/>
    <w:rsid w:val="605E38A5"/>
    <w:rsid w:val="60624BBE"/>
    <w:rsid w:val="606603B5"/>
    <w:rsid w:val="6068709D"/>
    <w:rsid w:val="606A62F6"/>
    <w:rsid w:val="606B3B65"/>
    <w:rsid w:val="606C00AE"/>
    <w:rsid w:val="606F11E2"/>
    <w:rsid w:val="606F3ADD"/>
    <w:rsid w:val="606F60BA"/>
    <w:rsid w:val="607040E2"/>
    <w:rsid w:val="60713940"/>
    <w:rsid w:val="60724AA5"/>
    <w:rsid w:val="60734625"/>
    <w:rsid w:val="607623A2"/>
    <w:rsid w:val="60765F74"/>
    <w:rsid w:val="60784302"/>
    <w:rsid w:val="607A0761"/>
    <w:rsid w:val="607A54A4"/>
    <w:rsid w:val="60803696"/>
    <w:rsid w:val="608210E3"/>
    <w:rsid w:val="608C61A1"/>
    <w:rsid w:val="608C6AC2"/>
    <w:rsid w:val="608F5DFA"/>
    <w:rsid w:val="60911000"/>
    <w:rsid w:val="609355AC"/>
    <w:rsid w:val="609379E2"/>
    <w:rsid w:val="609B2136"/>
    <w:rsid w:val="609D0DEF"/>
    <w:rsid w:val="609D5BF6"/>
    <w:rsid w:val="60A07495"/>
    <w:rsid w:val="60A52614"/>
    <w:rsid w:val="60A7167A"/>
    <w:rsid w:val="60A96349"/>
    <w:rsid w:val="60AB34CB"/>
    <w:rsid w:val="60AB73E1"/>
    <w:rsid w:val="60AC7F80"/>
    <w:rsid w:val="60B37937"/>
    <w:rsid w:val="60BB0523"/>
    <w:rsid w:val="60BD0855"/>
    <w:rsid w:val="60BE791B"/>
    <w:rsid w:val="60BF2850"/>
    <w:rsid w:val="60C346BF"/>
    <w:rsid w:val="60C34F31"/>
    <w:rsid w:val="60C75EEE"/>
    <w:rsid w:val="60CD7695"/>
    <w:rsid w:val="60CF38D6"/>
    <w:rsid w:val="60DB4B09"/>
    <w:rsid w:val="60DB671F"/>
    <w:rsid w:val="60E843F6"/>
    <w:rsid w:val="60E86CB4"/>
    <w:rsid w:val="60EA5C04"/>
    <w:rsid w:val="60EC0B8B"/>
    <w:rsid w:val="60EC27AC"/>
    <w:rsid w:val="60EE69CE"/>
    <w:rsid w:val="60F06FFE"/>
    <w:rsid w:val="60F23136"/>
    <w:rsid w:val="60F50EE8"/>
    <w:rsid w:val="60F73BEF"/>
    <w:rsid w:val="60F9493A"/>
    <w:rsid w:val="60F97146"/>
    <w:rsid w:val="60FA2214"/>
    <w:rsid w:val="60FD54A6"/>
    <w:rsid w:val="60FD766A"/>
    <w:rsid w:val="60FE2A67"/>
    <w:rsid w:val="60FF406B"/>
    <w:rsid w:val="60FF4D4F"/>
    <w:rsid w:val="610009BB"/>
    <w:rsid w:val="61031DD6"/>
    <w:rsid w:val="610C2F30"/>
    <w:rsid w:val="610D0751"/>
    <w:rsid w:val="610E43FE"/>
    <w:rsid w:val="610F2C71"/>
    <w:rsid w:val="61175E4F"/>
    <w:rsid w:val="611A1301"/>
    <w:rsid w:val="611B081C"/>
    <w:rsid w:val="611E7F6E"/>
    <w:rsid w:val="611F10ED"/>
    <w:rsid w:val="61206934"/>
    <w:rsid w:val="61232416"/>
    <w:rsid w:val="612400C6"/>
    <w:rsid w:val="61252088"/>
    <w:rsid w:val="61256559"/>
    <w:rsid w:val="612839DC"/>
    <w:rsid w:val="612C0D28"/>
    <w:rsid w:val="612E2840"/>
    <w:rsid w:val="61333C79"/>
    <w:rsid w:val="61392863"/>
    <w:rsid w:val="613A00F7"/>
    <w:rsid w:val="613B3244"/>
    <w:rsid w:val="613E6C95"/>
    <w:rsid w:val="614074C7"/>
    <w:rsid w:val="61414EC5"/>
    <w:rsid w:val="614216C3"/>
    <w:rsid w:val="6142633D"/>
    <w:rsid w:val="61446163"/>
    <w:rsid w:val="614E10AB"/>
    <w:rsid w:val="614F7276"/>
    <w:rsid w:val="6152014F"/>
    <w:rsid w:val="615205F5"/>
    <w:rsid w:val="6155027F"/>
    <w:rsid w:val="615568BF"/>
    <w:rsid w:val="6158037B"/>
    <w:rsid w:val="61585AAB"/>
    <w:rsid w:val="61597735"/>
    <w:rsid w:val="615A19EE"/>
    <w:rsid w:val="615B1F47"/>
    <w:rsid w:val="615C0506"/>
    <w:rsid w:val="615C785F"/>
    <w:rsid w:val="615D5386"/>
    <w:rsid w:val="615D7134"/>
    <w:rsid w:val="61602CAF"/>
    <w:rsid w:val="61647EE5"/>
    <w:rsid w:val="61656567"/>
    <w:rsid w:val="61663E63"/>
    <w:rsid w:val="616842FB"/>
    <w:rsid w:val="616B3B9D"/>
    <w:rsid w:val="616D25E1"/>
    <w:rsid w:val="616E3BCA"/>
    <w:rsid w:val="6170330B"/>
    <w:rsid w:val="61710B30"/>
    <w:rsid w:val="6172038A"/>
    <w:rsid w:val="61727C17"/>
    <w:rsid w:val="617542C3"/>
    <w:rsid w:val="61761FA3"/>
    <w:rsid w:val="61784193"/>
    <w:rsid w:val="61784574"/>
    <w:rsid w:val="61785D1C"/>
    <w:rsid w:val="617A0969"/>
    <w:rsid w:val="617A0B14"/>
    <w:rsid w:val="617A768C"/>
    <w:rsid w:val="617C36F0"/>
    <w:rsid w:val="617C3A5E"/>
    <w:rsid w:val="61822C96"/>
    <w:rsid w:val="61835C3D"/>
    <w:rsid w:val="61882403"/>
    <w:rsid w:val="618950DD"/>
    <w:rsid w:val="6190184F"/>
    <w:rsid w:val="61905CFF"/>
    <w:rsid w:val="6191697B"/>
    <w:rsid w:val="619441B7"/>
    <w:rsid w:val="61944750"/>
    <w:rsid w:val="61971DAB"/>
    <w:rsid w:val="619914F2"/>
    <w:rsid w:val="619C5D27"/>
    <w:rsid w:val="619E67BE"/>
    <w:rsid w:val="61A36A04"/>
    <w:rsid w:val="61A71B67"/>
    <w:rsid w:val="61AC3BAE"/>
    <w:rsid w:val="61B203D5"/>
    <w:rsid w:val="61B714EC"/>
    <w:rsid w:val="61B9080E"/>
    <w:rsid w:val="61BA4341"/>
    <w:rsid w:val="61BA59B7"/>
    <w:rsid w:val="61BC43DA"/>
    <w:rsid w:val="61BF3DC5"/>
    <w:rsid w:val="61C2402B"/>
    <w:rsid w:val="61C30537"/>
    <w:rsid w:val="61C3168D"/>
    <w:rsid w:val="61C65355"/>
    <w:rsid w:val="61C74005"/>
    <w:rsid w:val="61D1168B"/>
    <w:rsid w:val="61D41C4B"/>
    <w:rsid w:val="61D63A87"/>
    <w:rsid w:val="61D770F3"/>
    <w:rsid w:val="61D87BD0"/>
    <w:rsid w:val="61DE390B"/>
    <w:rsid w:val="61DF1180"/>
    <w:rsid w:val="61DF18F9"/>
    <w:rsid w:val="61E138C1"/>
    <w:rsid w:val="61E45149"/>
    <w:rsid w:val="61E57855"/>
    <w:rsid w:val="61E67C6C"/>
    <w:rsid w:val="61E82EA1"/>
    <w:rsid w:val="61E9406D"/>
    <w:rsid w:val="61E9651E"/>
    <w:rsid w:val="61EA756F"/>
    <w:rsid w:val="61EE4EEA"/>
    <w:rsid w:val="61EF37C0"/>
    <w:rsid w:val="61F02766"/>
    <w:rsid w:val="61F6100D"/>
    <w:rsid w:val="61F84262"/>
    <w:rsid w:val="61F9246E"/>
    <w:rsid w:val="61FA5CFD"/>
    <w:rsid w:val="61FB5C81"/>
    <w:rsid w:val="620018B8"/>
    <w:rsid w:val="62041CF1"/>
    <w:rsid w:val="620677DC"/>
    <w:rsid w:val="62072E34"/>
    <w:rsid w:val="62080426"/>
    <w:rsid w:val="62081CFA"/>
    <w:rsid w:val="62090DF6"/>
    <w:rsid w:val="6209295B"/>
    <w:rsid w:val="620B1CA4"/>
    <w:rsid w:val="620D6DAC"/>
    <w:rsid w:val="620D75A7"/>
    <w:rsid w:val="62127F1E"/>
    <w:rsid w:val="62134C2A"/>
    <w:rsid w:val="62134E52"/>
    <w:rsid w:val="6214436F"/>
    <w:rsid w:val="621445EB"/>
    <w:rsid w:val="621514E7"/>
    <w:rsid w:val="6216669E"/>
    <w:rsid w:val="621A5C97"/>
    <w:rsid w:val="621B45B1"/>
    <w:rsid w:val="621F197A"/>
    <w:rsid w:val="621F69E0"/>
    <w:rsid w:val="622153B3"/>
    <w:rsid w:val="62223594"/>
    <w:rsid w:val="62227F38"/>
    <w:rsid w:val="622325CF"/>
    <w:rsid w:val="622521CD"/>
    <w:rsid w:val="622639C9"/>
    <w:rsid w:val="622B06B0"/>
    <w:rsid w:val="622B154C"/>
    <w:rsid w:val="622D5676"/>
    <w:rsid w:val="622E34CB"/>
    <w:rsid w:val="62313EDB"/>
    <w:rsid w:val="62324BD8"/>
    <w:rsid w:val="623954AB"/>
    <w:rsid w:val="624239FE"/>
    <w:rsid w:val="62467BC8"/>
    <w:rsid w:val="6247406C"/>
    <w:rsid w:val="62491387"/>
    <w:rsid w:val="62493B49"/>
    <w:rsid w:val="624A3B5C"/>
    <w:rsid w:val="624B291B"/>
    <w:rsid w:val="624C1682"/>
    <w:rsid w:val="624D3833"/>
    <w:rsid w:val="6253335C"/>
    <w:rsid w:val="625422E5"/>
    <w:rsid w:val="625515DF"/>
    <w:rsid w:val="62567A6D"/>
    <w:rsid w:val="62571995"/>
    <w:rsid w:val="625722EE"/>
    <w:rsid w:val="625962AF"/>
    <w:rsid w:val="625B00C9"/>
    <w:rsid w:val="625B5AE3"/>
    <w:rsid w:val="625B7000"/>
    <w:rsid w:val="625C10F6"/>
    <w:rsid w:val="625D0D0E"/>
    <w:rsid w:val="62615EA4"/>
    <w:rsid w:val="62617EAE"/>
    <w:rsid w:val="62637BA3"/>
    <w:rsid w:val="62696A2F"/>
    <w:rsid w:val="626A30D7"/>
    <w:rsid w:val="626B0DE3"/>
    <w:rsid w:val="626B3216"/>
    <w:rsid w:val="626E5ACA"/>
    <w:rsid w:val="626F4248"/>
    <w:rsid w:val="626F59AE"/>
    <w:rsid w:val="627110E9"/>
    <w:rsid w:val="62751F62"/>
    <w:rsid w:val="62786F32"/>
    <w:rsid w:val="62792AF3"/>
    <w:rsid w:val="62796B4D"/>
    <w:rsid w:val="627B5DEE"/>
    <w:rsid w:val="627C22F0"/>
    <w:rsid w:val="627D7CC9"/>
    <w:rsid w:val="628001A1"/>
    <w:rsid w:val="6280036F"/>
    <w:rsid w:val="6280545A"/>
    <w:rsid w:val="62897886"/>
    <w:rsid w:val="628B41A5"/>
    <w:rsid w:val="628B4A24"/>
    <w:rsid w:val="628C7CD0"/>
    <w:rsid w:val="628F7B2E"/>
    <w:rsid w:val="629C4C5D"/>
    <w:rsid w:val="629E7A04"/>
    <w:rsid w:val="62A53D68"/>
    <w:rsid w:val="62A95D26"/>
    <w:rsid w:val="62AB3E7A"/>
    <w:rsid w:val="62AF3C45"/>
    <w:rsid w:val="62B13B54"/>
    <w:rsid w:val="62B27782"/>
    <w:rsid w:val="62B334AF"/>
    <w:rsid w:val="62BD0EE9"/>
    <w:rsid w:val="62C42D1B"/>
    <w:rsid w:val="62C54320"/>
    <w:rsid w:val="62CE4DA2"/>
    <w:rsid w:val="62D14DAB"/>
    <w:rsid w:val="62D350A2"/>
    <w:rsid w:val="62D56BFC"/>
    <w:rsid w:val="62D81168"/>
    <w:rsid w:val="62D91B46"/>
    <w:rsid w:val="62DD0CFA"/>
    <w:rsid w:val="62DD2195"/>
    <w:rsid w:val="62DE06DC"/>
    <w:rsid w:val="62DF7441"/>
    <w:rsid w:val="62E0626E"/>
    <w:rsid w:val="62E1288E"/>
    <w:rsid w:val="62E30E6B"/>
    <w:rsid w:val="62E34841"/>
    <w:rsid w:val="62E464F8"/>
    <w:rsid w:val="62E80C7F"/>
    <w:rsid w:val="62EE2739"/>
    <w:rsid w:val="62EE67A1"/>
    <w:rsid w:val="62F13FD7"/>
    <w:rsid w:val="62F16356"/>
    <w:rsid w:val="62F76B28"/>
    <w:rsid w:val="62F81D49"/>
    <w:rsid w:val="62F87A82"/>
    <w:rsid w:val="62F91E11"/>
    <w:rsid w:val="63011DDF"/>
    <w:rsid w:val="6302526F"/>
    <w:rsid w:val="63071A4D"/>
    <w:rsid w:val="63071AD9"/>
    <w:rsid w:val="63091B9B"/>
    <w:rsid w:val="630930CF"/>
    <w:rsid w:val="630A2513"/>
    <w:rsid w:val="630C2BBF"/>
    <w:rsid w:val="630E25F4"/>
    <w:rsid w:val="630E2DDB"/>
    <w:rsid w:val="630E707F"/>
    <w:rsid w:val="63127637"/>
    <w:rsid w:val="6313326E"/>
    <w:rsid w:val="63160A8F"/>
    <w:rsid w:val="63162F04"/>
    <w:rsid w:val="631675D8"/>
    <w:rsid w:val="63175AD7"/>
    <w:rsid w:val="63221DE5"/>
    <w:rsid w:val="63236668"/>
    <w:rsid w:val="632456D7"/>
    <w:rsid w:val="63246CA2"/>
    <w:rsid w:val="63251ED3"/>
    <w:rsid w:val="63297034"/>
    <w:rsid w:val="632A3014"/>
    <w:rsid w:val="632C452B"/>
    <w:rsid w:val="63316ACA"/>
    <w:rsid w:val="63323EA5"/>
    <w:rsid w:val="633534BC"/>
    <w:rsid w:val="633640E0"/>
    <w:rsid w:val="633B5253"/>
    <w:rsid w:val="633B5EAD"/>
    <w:rsid w:val="633F1E53"/>
    <w:rsid w:val="63424C72"/>
    <w:rsid w:val="6342597F"/>
    <w:rsid w:val="63433E6D"/>
    <w:rsid w:val="6345658A"/>
    <w:rsid w:val="6345793A"/>
    <w:rsid w:val="634852B8"/>
    <w:rsid w:val="63490491"/>
    <w:rsid w:val="634A5C65"/>
    <w:rsid w:val="63500CFE"/>
    <w:rsid w:val="63536CD7"/>
    <w:rsid w:val="63550B5A"/>
    <w:rsid w:val="63554FD3"/>
    <w:rsid w:val="63595F1D"/>
    <w:rsid w:val="63612F0B"/>
    <w:rsid w:val="636132CE"/>
    <w:rsid w:val="636416CF"/>
    <w:rsid w:val="636563C7"/>
    <w:rsid w:val="63675625"/>
    <w:rsid w:val="63691DC0"/>
    <w:rsid w:val="6369505F"/>
    <w:rsid w:val="63711334"/>
    <w:rsid w:val="63716A0B"/>
    <w:rsid w:val="6375594E"/>
    <w:rsid w:val="63765650"/>
    <w:rsid w:val="637F05EA"/>
    <w:rsid w:val="637F5882"/>
    <w:rsid w:val="6381535B"/>
    <w:rsid w:val="638515F5"/>
    <w:rsid w:val="63854851"/>
    <w:rsid w:val="63857ED1"/>
    <w:rsid w:val="63877428"/>
    <w:rsid w:val="63886B2D"/>
    <w:rsid w:val="638A20E2"/>
    <w:rsid w:val="638B2157"/>
    <w:rsid w:val="638B442C"/>
    <w:rsid w:val="63906AE4"/>
    <w:rsid w:val="6394595C"/>
    <w:rsid w:val="63952BB5"/>
    <w:rsid w:val="639E7696"/>
    <w:rsid w:val="63A22B5F"/>
    <w:rsid w:val="63A42C03"/>
    <w:rsid w:val="63A92C31"/>
    <w:rsid w:val="63A948B2"/>
    <w:rsid w:val="63AE0110"/>
    <w:rsid w:val="63AF4C6E"/>
    <w:rsid w:val="63AF5551"/>
    <w:rsid w:val="63B03E93"/>
    <w:rsid w:val="63B2005C"/>
    <w:rsid w:val="63B249CD"/>
    <w:rsid w:val="63B27DB7"/>
    <w:rsid w:val="63B40330"/>
    <w:rsid w:val="63B45FBC"/>
    <w:rsid w:val="63B5360D"/>
    <w:rsid w:val="63B57CAE"/>
    <w:rsid w:val="63BA086D"/>
    <w:rsid w:val="63BB261C"/>
    <w:rsid w:val="63BD3EBA"/>
    <w:rsid w:val="63BE7E75"/>
    <w:rsid w:val="63C400AF"/>
    <w:rsid w:val="63C92A46"/>
    <w:rsid w:val="63C97057"/>
    <w:rsid w:val="63CD36EB"/>
    <w:rsid w:val="63CF4CCC"/>
    <w:rsid w:val="63D23951"/>
    <w:rsid w:val="63D43A1A"/>
    <w:rsid w:val="63D60D2F"/>
    <w:rsid w:val="63D6461B"/>
    <w:rsid w:val="63D83C6A"/>
    <w:rsid w:val="63D86F45"/>
    <w:rsid w:val="63D95197"/>
    <w:rsid w:val="63DC3439"/>
    <w:rsid w:val="63DC4C88"/>
    <w:rsid w:val="63DE210C"/>
    <w:rsid w:val="63DF6526"/>
    <w:rsid w:val="63E255DB"/>
    <w:rsid w:val="63E25F94"/>
    <w:rsid w:val="63E419E0"/>
    <w:rsid w:val="63EA35E4"/>
    <w:rsid w:val="63F11B28"/>
    <w:rsid w:val="63F27673"/>
    <w:rsid w:val="63F87D92"/>
    <w:rsid w:val="63FA5506"/>
    <w:rsid w:val="63FC47E8"/>
    <w:rsid w:val="63FC6D10"/>
    <w:rsid w:val="63FE0A1A"/>
    <w:rsid w:val="63FE21C1"/>
    <w:rsid w:val="63FE58EC"/>
    <w:rsid w:val="63FE69AC"/>
    <w:rsid w:val="63FF7A03"/>
    <w:rsid w:val="640023A2"/>
    <w:rsid w:val="640146EE"/>
    <w:rsid w:val="64025E15"/>
    <w:rsid w:val="64030466"/>
    <w:rsid w:val="640314B5"/>
    <w:rsid w:val="64093166"/>
    <w:rsid w:val="640A188E"/>
    <w:rsid w:val="640A30C6"/>
    <w:rsid w:val="640A35A3"/>
    <w:rsid w:val="640C1C55"/>
    <w:rsid w:val="640D4BC6"/>
    <w:rsid w:val="640F7E82"/>
    <w:rsid w:val="6411743B"/>
    <w:rsid w:val="64121D80"/>
    <w:rsid w:val="64124345"/>
    <w:rsid w:val="64144421"/>
    <w:rsid w:val="64146993"/>
    <w:rsid w:val="64151203"/>
    <w:rsid w:val="641A262E"/>
    <w:rsid w:val="641A5A33"/>
    <w:rsid w:val="641E015F"/>
    <w:rsid w:val="64207ADC"/>
    <w:rsid w:val="64216E78"/>
    <w:rsid w:val="642223CF"/>
    <w:rsid w:val="64225068"/>
    <w:rsid w:val="64250941"/>
    <w:rsid w:val="642674C1"/>
    <w:rsid w:val="6427341E"/>
    <w:rsid w:val="64283A29"/>
    <w:rsid w:val="642850B2"/>
    <w:rsid w:val="64286D9F"/>
    <w:rsid w:val="64287ECD"/>
    <w:rsid w:val="64291DD5"/>
    <w:rsid w:val="642A3EBC"/>
    <w:rsid w:val="642B1CB3"/>
    <w:rsid w:val="642F125B"/>
    <w:rsid w:val="64321259"/>
    <w:rsid w:val="64330783"/>
    <w:rsid w:val="64354398"/>
    <w:rsid w:val="643763DF"/>
    <w:rsid w:val="643B721E"/>
    <w:rsid w:val="643C27BE"/>
    <w:rsid w:val="643C3704"/>
    <w:rsid w:val="644065D7"/>
    <w:rsid w:val="64442FEB"/>
    <w:rsid w:val="644442D9"/>
    <w:rsid w:val="644A1BF1"/>
    <w:rsid w:val="644B7717"/>
    <w:rsid w:val="644F0FB6"/>
    <w:rsid w:val="64542A70"/>
    <w:rsid w:val="64550596"/>
    <w:rsid w:val="64560785"/>
    <w:rsid w:val="645F53C4"/>
    <w:rsid w:val="645F68A6"/>
    <w:rsid w:val="6460534A"/>
    <w:rsid w:val="646578F2"/>
    <w:rsid w:val="6466752E"/>
    <w:rsid w:val="646918D1"/>
    <w:rsid w:val="646A7380"/>
    <w:rsid w:val="646D4AA7"/>
    <w:rsid w:val="646D6DB8"/>
    <w:rsid w:val="646E1514"/>
    <w:rsid w:val="646F6D38"/>
    <w:rsid w:val="64713622"/>
    <w:rsid w:val="64742C9B"/>
    <w:rsid w:val="647B1FA8"/>
    <w:rsid w:val="647D3511"/>
    <w:rsid w:val="64810D6D"/>
    <w:rsid w:val="64834489"/>
    <w:rsid w:val="64852F83"/>
    <w:rsid w:val="6486774A"/>
    <w:rsid w:val="64895975"/>
    <w:rsid w:val="648A2037"/>
    <w:rsid w:val="648B77D5"/>
    <w:rsid w:val="64920D39"/>
    <w:rsid w:val="6493545D"/>
    <w:rsid w:val="64952100"/>
    <w:rsid w:val="64982006"/>
    <w:rsid w:val="64986103"/>
    <w:rsid w:val="64990D90"/>
    <w:rsid w:val="64A13D30"/>
    <w:rsid w:val="64A41426"/>
    <w:rsid w:val="64A67167"/>
    <w:rsid w:val="64AD0577"/>
    <w:rsid w:val="64AD3E0D"/>
    <w:rsid w:val="64B55FB3"/>
    <w:rsid w:val="64B61ED6"/>
    <w:rsid w:val="64BA34FF"/>
    <w:rsid w:val="64BB2AEF"/>
    <w:rsid w:val="64C212C7"/>
    <w:rsid w:val="64C255C6"/>
    <w:rsid w:val="64C27F28"/>
    <w:rsid w:val="64C4126A"/>
    <w:rsid w:val="64CB79C8"/>
    <w:rsid w:val="64CC0858"/>
    <w:rsid w:val="64CC2BED"/>
    <w:rsid w:val="64CE2822"/>
    <w:rsid w:val="64D15C1D"/>
    <w:rsid w:val="64D23995"/>
    <w:rsid w:val="64DD65D6"/>
    <w:rsid w:val="64DF4C86"/>
    <w:rsid w:val="64E21C23"/>
    <w:rsid w:val="64E21E2A"/>
    <w:rsid w:val="64E4603C"/>
    <w:rsid w:val="64E5191A"/>
    <w:rsid w:val="64E738E4"/>
    <w:rsid w:val="64E831B8"/>
    <w:rsid w:val="64E85E23"/>
    <w:rsid w:val="64F64B00"/>
    <w:rsid w:val="64F72210"/>
    <w:rsid w:val="64FB113D"/>
    <w:rsid w:val="64FF2F25"/>
    <w:rsid w:val="6500485F"/>
    <w:rsid w:val="65053D6A"/>
    <w:rsid w:val="65094977"/>
    <w:rsid w:val="650A312E"/>
    <w:rsid w:val="650B7202"/>
    <w:rsid w:val="6511094D"/>
    <w:rsid w:val="65130235"/>
    <w:rsid w:val="651346D9"/>
    <w:rsid w:val="651D10B4"/>
    <w:rsid w:val="6520242E"/>
    <w:rsid w:val="65202952"/>
    <w:rsid w:val="65280E8C"/>
    <w:rsid w:val="65284AE2"/>
    <w:rsid w:val="65284FFE"/>
    <w:rsid w:val="65291D94"/>
    <w:rsid w:val="652F2B12"/>
    <w:rsid w:val="652F5A9B"/>
    <w:rsid w:val="6530525C"/>
    <w:rsid w:val="653463FD"/>
    <w:rsid w:val="65385D79"/>
    <w:rsid w:val="65387F11"/>
    <w:rsid w:val="65397F6A"/>
    <w:rsid w:val="653A158F"/>
    <w:rsid w:val="653B153A"/>
    <w:rsid w:val="653C0358"/>
    <w:rsid w:val="653C36A8"/>
    <w:rsid w:val="653C7451"/>
    <w:rsid w:val="653D3504"/>
    <w:rsid w:val="653F7106"/>
    <w:rsid w:val="6540091A"/>
    <w:rsid w:val="65400FD9"/>
    <w:rsid w:val="65424221"/>
    <w:rsid w:val="65424466"/>
    <w:rsid w:val="6543116E"/>
    <w:rsid w:val="654523B9"/>
    <w:rsid w:val="65456523"/>
    <w:rsid w:val="654632C0"/>
    <w:rsid w:val="65472660"/>
    <w:rsid w:val="65491EA9"/>
    <w:rsid w:val="654A6FDD"/>
    <w:rsid w:val="654B5CC0"/>
    <w:rsid w:val="654C57E0"/>
    <w:rsid w:val="654C6575"/>
    <w:rsid w:val="65510F57"/>
    <w:rsid w:val="65515DB5"/>
    <w:rsid w:val="6551681F"/>
    <w:rsid w:val="65525C0E"/>
    <w:rsid w:val="6556793B"/>
    <w:rsid w:val="655D40E2"/>
    <w:rsid w:val="655F791E"/>
    <w:rsid w:val="656142AA"/>
    <w:rsid w:val="656211BC"/>
    <w:rsid w:val="6562740E"/>
    <w:rsid w:val="656340A9"/>
    <w:rsid w:val="65671349"/>
    <w:rsid w:val="6569643B"/>
    <w:rsid w:val="656B090E"/>
    <w:rsid w:val="656B6A57"/>
    <w:rsid w:val="656D3966"/>
    <w:rsid w:val="656F010B"/>
    <w:rsid w:val="656F7435"/>
    <w:rsid w:val="65707058"/>
    <w:rsid w:val="6573738F"/>
    <w:rsid w:val="6576127C"/>
    <w:rsid w:val="657809E0"/>
    <w:rsid w:val="65781EC4"/>
    <w:rsid w:val="657A6506"/>
    <w:rsid w:val="657B69CF"/>
    <w:rsid w:val="657D45EA"/>
    <w:rsid w:val="65827105"/>
    <w:rsid w:val="658365C8"/>
    <w:rsid w:val="65846E10"/>
    <w:rsid w:val="658642E4"/>
    <w:rsid w:val="658669F4"/>
    <w:rsid w:val="658904F7"/>
    <w:rsid w:val="6589499B"/>
    <w:rsid w:val="658A426F"/>
    <w:rsid w:val="658A45DF"/>
    <w:rsid w:val="658B727A"/>
    <w:rsid w:val="658C7FE7"/>
    <w:rsid w:val="658F020C"/>
    <w:rsid w:val="659155FE"/>
    <w:rsid w:val="65920250"/>
    <w:rsid w:val="6593581A"/>
    <w:rsid w:val="659429D7"/>
    <w:rsid w:val="65945137"/>
    <w:rsid w:val="65965055"/>
    <w:rsid w:val="65987BE5"/>
    <w:rsid w:val="659A0ECE"/>
    <w:rsid w:val="659A364B"/>
    <w:rsid w:val="659A3F93"/>
    <w:rsid w:val="659B68A3"/>
    <w:rsid w:val="659C2E4D"/>
    <w:rsid w:val="659D3FA3"/>
    <w:rsid w:val="659D604B"/>
    <w:rsid w:val="65A20A98"/>
    <w:rsid w:val="65A45282"/>
    <w:rsid w:val="65A5311F"/>
    <w:rsid w:val="65A610A9"/>
    <w:rsid w:val="65A8419A"/>
    <w:rsid w:val="65A92947"/>
    <w:rsid w:val="65A97DA2"/>
    <w:rsid w:val="65AB43E9"/>
    <w:rsid w:val="65AC471B"/>
    <w:rsid w:val="65AD3D3A"/>
    <w:rsid w:val="65B23EF2"/>
    <w:rsid w:val="65B31A18"/>
    <w:rsid w:val="65B35574"/>
    <w:rsid w:val="65B71172"/>
    <w:rsid w:val="65B8702E"/>
    <w:rsid w:val="65BC031E"/>
    <w:rsid w:val="65BC38BC"/>
    <w:rsid w:val="65BC615C"/>
    <w:rsid w:val="65BC7F16"/>
    <w:rsid w:val="65BF216B"/>
    <w:rsid w:val="65C34113"/>
    <w:rsid w:val="65C4352F"/>
    <w:rsid w:val="65C6799D"/>
    <w:rsid w:val="65C94558"/>
    <w:rsid w:val="65D951D4"/>
    <w:rsid w:val="65D97056"/>
    <w:rsid w:val="65DA4D9E"/>
    <w:rsid w:val="65DD172B"/>
    <w:rsid w:val="65DD486A"/>
    <w:rsid w:val="65E04E5E"/>
    <w:rsid w:val="65E47E23"/>
    <w:rsid w:val="65E5327C"/>
    <w:rsid w:val="65E9393B"/>
    <w:rsid w:val="65EB155A"/>
    <w:rsid w:val="65EB7404"/>
    <w:rsid w:val="65EC6687"/>
    <w:rsid w:val="65F06E66"/>
    <w:rsid w:val="65F11247"/>
    <w:rsid w:val="65F16ED8"/>
    <w:rsid w:val="65F30A2B"/>
    <w:rsid w:val="65F47312"/>
    <w:rsid w:val="65F54FE3"/>
    <w:rsid w:val="65F62CDF"/>
    <w:rsid w:val="65F833D4"/>
    <w:rsid w:val="65FC010F"/>
    <w:rsid w:val="66024D1E"/>
    <w:rsid w:val="660303B6"/>
    <w:rsid w:val="66034CEC"/>
    <w:rsid w:val="6605529F"/>
    <w:rsid w:val="6608613C"/>
    <w:rsid w:val="660F69CC"/>
    <w:rsid w:val="660F73F0"/>
    <w:rsid w:val="66104F0F"/>
    <w:rsid w:val="66106F48"/>
    <w:rsid w:val="66117CFD"/>
    <w:rsid w:val="66121758"/>
    <w:rsid w:val="66166697"/>
    <w:rsid w:val="661A7A22"/>
    <w:rsid w:val="661F0E5C"/>
    <w:rsid w:val="66215C34"/>
    <w:rsid w:val="662315B6"/>
    <w:rsid w:val="66246472"/>
    <w:rsid w:val="66257DC6"/>
    <w:rsid w:val="66271AA6"/>
    <w:rsid w:val="662969B8"/>
    <w:rsid w:val="662978DD"/>
    <w:rsid w:val="66314CE0"/>
    <w:rsid w:val="66315729"/>
    <w:rsid w:val="66331F25"/>
    <w:rsid w:val="6634284B"/>
    <w:rsid w:val="663679ED"/>
    <w:rsid w:val="66373E2A"/>
    <w:rsid w:val="663C005D"/>
    <w:rsid w:val="66402D0B"/>
    <w:rsid w:val="66417E23"/>
    <w:rsid w:val="66456A00"/>
    <w:rsid w:val="664851D1"/>
    <w:rsid w:val="664A0C5E"/>
    <w:rsid w:val="664B0C2C"/>
    <w:rsid w:val="664B39FF"/>
    <w:rsid w:val="664B6026"/>
    <w:rsid w:val="664D6392"/>
    <w:rsid w:val="664E126C"/>
    <w:rsid w:val="66504C51"/>
    <w:rsid w:val="6650644E"/>
    <w:rsid w:val="66541B2B"/>
    <w:rsid w:val="66565C34"/>
    <w:rsid w:val="66582DEB"/>
    <w:rsid w:val="66640D39"/>
    <w:rsid w:val="6664534C"/>
    <w:rsid w:val="666A0329"/>
    <w:rsid w:val="666D1BC7"/>
    <w:rsid w:val="666E35AD"/>
    <w:rsid w:val="666F5755"/>
    <w:rsid w:val="667037DB"/>
    <w:rsid w:val="667137B5"/>
    <w:rsid w:val="66722902"/>
    <w:rsid w:val="6675195B"/>
    <w:rsid w:val="66763638"/>
    <w:rsid w:val="667945A1"/>
    <w:rsid w:val="667B568B"/>
    <w:rsid w:val="667B7F05"/>
    <w:rsid w:val="667C4676"/>
    <w:rsid w:val="667D1F14"/>
    <w:rsid w:val="66814B52"/>
    <w:rsid w:val="66832328"/>
    <w:rsid w:val="66845AEA"/>
    <w:rsid w:val="668511A2"/>
    <w:rsid w:val="668575F9"/>
    <w:rsid w:val="66874FD3"/>
    <w:rsid w:val="668A4AAB"/>
    <w:rsid w:val="668D6EFE"/>
    <w:rsid w:val="669156E0"/>
    <w:rsid w:val="66923982"/>
    <w:rsid w:val="6693065F"/>
    <w:rsid w:val="6697577C"/>
    <w:rsid w:val="669A42A0"/>
    <w:rsid w:val="669B4D0C"/>
    <w:rsid w:val="669B7A9B"/>
    <w:rsid w:val="669D19C6"/>
    <w:rsid w:val="669E0497"/>
    <w:rsid w:val="669E764C"/>
    <w:rsid w:val="669F64E8"/>
    <w:rsid w:val="669F75A4"/>
    <w:rsid w:val="66A070C9"/>
    <w:rsid w:val="66A329D9"/>
    <w:rsid w:val="66A357BD"/>
    <w:rsid w:val="66A42BFB"/>
    <w:rsid w:val="66A441AA"/>
    <w:rsid w:val="66A870A3"/>
    <w:rsid w:val="66A9510E"/>
    <w:rsid w:val="66AA276D"/>
    <w:rsid w:val="66AD6253"/>
    <w:rsid w:val="66B17CB2"/>
    <w:rsid w:val="66B22643"/>
    <w:rsid w:val="66B35C73"/>
    <w:rsid w:val="66B372BF"/>
    <w:rsid w:val="66B374FF"/>
    <w:rsid w:val="66B43157"/>
    <w:rsid w:val="66B81900"/>
    <w:rsid w:val="66B8618A"/>
    <w:rsid w:val="66BB75DD"/>
    <w:rsid w:val="66C119F2"/>
    <w:rsid w:val="66C16E58"/>
    <w:rsid w:val="66C45066"/>
    <w:rsid w:val="66C51A03"/>
    <w:rsid w:val="66C54687"/>
    <w:rsid w:val="66C959A3"/>
    <w:rsid w:val="66CD08B8"/>
    <w:rsid w:val="66CF4B4D"/>
    <w:rsid w:val="66D04C63"/>
    <w:rsid w:val="66D56786"/>
    <w:rsid w:val="66D82B46"/>
    <w:rsid w:val="66E001B8"/>
    <w:rsid w:val="66E14363"/>
    <w:rsid w:val="66E153B2"/>
    <w:rsid w:val="66E36B59"/>
    <w:rsid w:val="66E57273"/>
    <w:rsid w:val="66EC3434"/>
    <w:rsid w:val="66EC51E2"/>
    <w:rsid w:val="66ED4AB6"/>
    <w:rsid w:val="66ED56C3"/>
    <w:rsid w:val="66ED5733"/>
    <w:rsid w:val="66EE2D5E"/>
    <w:rsid w:val="66EF06A5"/>
    <w:rsid w:val="66F12EDD"/>
    <w:rsid w:val="66F21CD0"/>
    <w:rsid w:val="66F647BE"/>
    <w:rsid w:val="66FA05CE"/>
    <w:rsid w:val="66FA362F"/>
    <w:rsid w:val="66FB4327"/>
    <w:rsid w:val="66FC0949"/>
    <w:rsid w:val="66FD7536"/>
    <w:rsid w:val="66FF5C42"/>
    <w:rsid w:val="67007834"/>
    <w:rsid w:val="670742B9"/>
    <w:rsid w:val="670B5813"/>
    <w:rsid w:val="670B6B84"/>
    <w:rsid w:val="670D731C"/>
    <w:rsid w:val="670E02C9"/>
    <w:rsid w:val="67107C51"/>
    <w:rsid w:val="67115D77"/>
    <w:rsid w:val="6712491A"/>
    <w:rsid w:val="671409BA"/>
    <w:rsid w:val="67140FFA"/>
    <w:rsid w:val="67143DD5"/>
    <w:rsid w:val="67166173"/>
    <w:rsid w:val="671B3D10"/>
    <w:rsid w:val="671C52B3"/>
    <w:rsid w:val="671E7365"/>
    <w:rsid w:val="671F118D"/>
    <w:rsid w:val="671F1272"/>
    <w:rsid w:val="67203551"/>
    <w:rsid w:val="67207AD7"/>
    <w:rsid w:val="67254250"/>
    <w:rsid w:val="67292B93"/>
    <w:rsid w:val="672B706A"/>
    <w:rsid w:val="672C55DE"/>
    <w:rsid w:val="672F1572"/>
    <w:rsid w:val="67305C19"/>
    <w:rsid w:val="673558F8"/>
    <w:rsid w:val="67386C6E"/>
    <w:rsid w:val="67396DBF"/>
    <w:rsid w:val="673A4A52"/>
    <w:rsid w:val="673B3E4F"/>
    <w:rsid w:val="673D5A3D"/>
    <w:rsid w:val="673E6E1D"/>
    <w:rsid w:val="673F133C"/>
    <w:rsid w:val="674023FF"/>
    <w:rsid w:val="674175FB"/>
    <w:rsid w:val="674212A6"/>
    <w:rsid w:val="67464AC5"/>
    <w:rsid w:val="674C074B"/>
    <w:rsid w:val="674D05B9"/>
    <w:rsid w:val="6750543B"/>
    <w:rsid w:val="675116E8"/>
    <w:rsid w:val="67522714"/>
    <w:rsid w:val="675414FA"/>
    <w:rsid w:val="67544B35"/>
    <w:rsid w:val="67562119"/>
    <w:rsid w:val="675848A3"/>
    <w:rsid w:val="675A288E"/>
    <w:rsid w:val="675A2DCB"/>
    <w:rsid w:val="675B4115"/>
    <w:rsid w:val="6764011A"/>
    <w:rsid w:val="67684773"/>
    <w:rsid w:val="676A25AA"/>
    <w:rsid w:val="676B3F3A"/>
    <w:rsid w:val="676C4CA0"/>
    <w:rsid w:val="676F7BC1"/>
    <w:rsid w:val="6773588D"/>
    <w:rsid w:val="67741A26"/>
    <w:rsid w:val="677843A3"/>
    <w:rsid w:val="677A3133"/>
    <w:rsid w:val="677A3DC0"/>
    <w:rsid w:val="677A773F"/>
    <w:rsid w:val="677B6565"/>
    <w:rsid w:val="677D5E3A"/>
    <w:rsid w:val="677D6973"/>
    <w:rsid w:val="677E780A"/>
    <w:rsid w:val="67833912"/>
    <w:rsid w:val="67851C0C"/>
    <w:rsid w:val="67871415"/>
    <w:rsid w:val="678777C3"/>
    <w:rsid w:val="678864C9"/>
    <w:rsid w:val="678C0773"/>
    <w:rsid w:val="678E1BC1"/>
    <w:rsid w:val="678E6299"/>
    <w:rsid w:val="679142CE"/>
    <w:rsid w:val="67923545"/>
    <w:rsid w:val="67982832"/>
    <w:rsid w:val="67991355"/>
    <w:rsid w:val="679F491B"/>
    <w:rsid w:val="67A03046"/>
    <w:rsid w:val="67A11868"/>
    <w:rsid w:val="67A23AF2"/>
    <w:rsid w:val="67A45ABC"/>
    <w:rsid w:val="67A56C85"/>
    <w:rsid w:val="67A625AB"/>
    <w:rsid w:val="67A81366"/>
    <w:rsid w:val="67A90693"/>
    <w:rsid w:val="67AE06E9"/>
    <w:rsid w:val="67AE1F4B"/>
    <w:rsid w:val="67B50C90"/>
    <w:rsid w:val="67B6653E"/>
    <w:rsid w:val="67B97443"/>
    <w:rsid w:val="67BA377B"/>
    <w:rsid w:val="67BA7E21"/>
    <w:rsid w:val="67BC0504"/>
    <w:rsid w:val="67BD71D7"/>
    <w:rsid w:val="67C0431D"/>
    <w:rsid w:val="67C25BAE"/>
    <w:rsid w:val="67C72353"/>
    <w:rsid w:val="67C726B1"/>
    <w:rsid w:val="67CA5075"/>
    <w:rsid w:val="67CC4971"/>
    <w:rsid w:val="67CC4B4F"/>
    <w:rsid w:val="67CF725D"/>
    <w:rsid w:val="67D11DF3"/>
    <w:rsid w:val="67D23E5D"/>
    <w:rsid w:val="67DA0AC9"/>
    <w:rsid w:val="67DB7004"/>
    <w:rsid w:val="67DD7FA5"/>
    <w:rsid w:val="67DE5726"/>
    <w:rsid w:val="67DF08A2"/>
    <w:rsid w:val="67DF4169"/>
    <w:rsid w:val="67E0402B"/>
    <w:rsid w:val="67E04AF9"/>
    <w:rsid w:val="67E128BC"/>
    <w:rsid w:val="67E3276E"/>
    <w:rsid w:val="67E360A2"/>
    <w:rsid w:val="67E36EDD"/>
    <w:rsid w:val="67E61C31"/>
    <w:rsid w:val="67E64F62"/>
    <w:rsid w:val="67E7388E"/>
    <w:rsid w:val="67E81E4D"/>
    <w:rsid w:val="67EB368A"/>
    <w:rsid w:val="67EC6741"/>
    <w:rsid w:val="67EF7D76"/>
    <w:rsid w:val="67F04576"/>
    <w:rsid w:val="67F105D6"/>
    <w:rsid w:val="67F32768"/>
    <w:rsid w:val="67F365D5"/>
    <w:rsid w:val="67FA212F"/>
    <w:rsid w:val="67FC3B0F"/>
    <w:rsid w:val="67FD1E64"/>
    <w:rsid w:val="67FE3DC2"/>
    <w:rsid w:val="680155BF"/>
    <w:rsid w:val="68016647"/>
    <w:rsid w:val="68055287"/>
    <w:rsid w:val="68055AE3"/>
    <w:rsid w:val="68070B84"/>
    <w:rsid w:val="680742E2"/>
    <w:rsid w:val="680875AF"/>
    <w:rsid w:val="680A5DCC"/>
    <w:rsid w:val="680D18B3"/>
    <w:rsid w:val="680E5ABF"/>
    <w:rsid w:val="68103152"/>
    <w:rsid w:val="6813679E"/>
    <w:rsid w:val="681640DD"/>
    <w:rsid w:val="68171BE1"/>
    <w:rsid w:val="68180AC4"/>
    <w:rsid w:val="68181876"/>
    <w:rsid w:val="681A213A"/>
    <w:rsid w:val="681A5D7E"/>
    <w:rsid w:val="681B37D6"/>
    <w:rsid w:val="681E51BB"/>
    <w:rsid w:val="681F64E4"/>
    <w:rsid w:val="68206603"/>
    <w:rsid w:val="6827533D"/>
    <w:rsid w:val="6828449B"/>
    <w:rsid w:val="682B2E02"/>
    <w:rsid w:val="682B33FB"/>
    <w:rsid w:val="682C20BD"/>
    <w:rsid w:val="682F12BE"/>
    <w:rsid w:val="682F7381"/>
    <w:rsid w:val="68352BAD"/>
    <w:rsid w:val="68376930"/>
    <w:rsid w:val="683819FE"/>
    <w:rsid w:val="683E5FB8"/>
    <w:rsid w:val="6841469F"/>
    <w:rsid w:val="6841617A"/>
    <w:rsid w:val="68423572"/>
    <w:rsid w:val="68446A27"/>
    <w:rsid w:val="68456A72"/>
    <w:rsid w:val="684643B6"/>
    <w:rsid w:val="684A2B91"/>
    <w:rsid w:val="68523197"/>
    <w:rsid w:val="68543134"/>
    <w:rsid w:val="68550B65"/>
    <w:rsid w:val="68557F99"/>
    <w:rsid w:val="6856450E"/>
    <w:rsid w:val="68586F21"/>
    <w:rsid w:val="68594AF9"/>
    <w:rsid w:val="685A4D1E"/>
    <w:rsid w:val="685C0145"/>
    <w:rsid w:val="685C1EF3"/>
    <w:rsid w:val="685D004A"/>
    <w:rsid w:val="685E5E9F"/>
    <w:rsid w:val="68610C28"/>
    <w:rsid w:val="68625E2F"/>
    <w:rsid w:val="68636E42"/>
    <w:rsid w:val="6865279D"/>
    <w:rsid w:val="68656144"/>
    <w:rsid w:val="6867161D"/>
    <w:rsid w:val="68686AEA"/>
    <w:rsid w:val="686A547B"/>
    <w:rsid w:val="686B1FFD"/>
    <w:rsid w:val="686C0F86"/>
    <w:rsid w:val="686E57E9"/>
    <w:rsid w:val="686F4EF3"/>
    <w:rsid w:val="68720645"/>
    <w:rsid w:val="687436E1"/>
    <w:rsid w:val="68774F7F"/>
    <w:rsid w:val="68790CF7"/>
    <w:rsid w:val="687A04FA"/>
    <w:rsid w:val="687C63A1"/>
    <w:rsid w:val="68886FC7"/>
    <w:rsid w:val="688A2F04"/>
    <w:rsid w:val="688A4CB2"/>
    <w:rsid w:val="688B4586"/>
    <w:rsid w:val="688D3DCB"/>
    <w:rsid w:val="688E5E09"/>
    <w:rsid w:val="68912D10"/>
    <w:rsid w:val="68925E85"/>
    <w:rsid w:val="6896419C"/>
    <w:rsid w:val="68982ED4"/>
    <w:rsid w:val="68991601"/>
    <w:rsid w:val="6899575B"/>
    <w:rsid w:val="689B1434"/>
    <w:rsid w:val="689E42BA"/>
    <w:rsid w:val="689F66A6"/>
    <w:rsid w:val="68A730AE"/>
    <w:rsid w:val="68A85EE1"/>
    <w:rsid w:val="68AB4C28"/>
    <w:rsid w:val="68AE48A9"/>
    <w:rsid w:val="68B254CB"/>
    <w:rsid w:val="68B51551"/>
    <w:rsid w:val="68B54B9F"/>
    <w:rsid w:val="68B7212D"/>
    <w:rsid w:val="68BB130F"/>
    <w:rsid w:val="68BE709A"/>
    <w:rsid w:val="68C21621"/>
    <w:rsid w:val="68C96D21"/>
    <w:rsid w:val="68D03D8E"/>
    <w:rsid w:val="68D3474A"/>
    <w:rsid w:val="68D864DD"/>
    <w:rsid w:val="68DC0FBA"/>
    <w:rsid w:val="68DF7B10"/>
    <w:rsid w:val="68E21F84"/>
    <w:rsid w:val="68E257DD"/>
    <w:rsid w:val="68E70EC7"/>
    <w:rsid w:val="68EE0C1B"/>
    <w:rsid w:val="68F16ADF"/>
    <w:rsid w:val="68F20F27"/>
    <w:rsid w:val="68F34DDE"/>
    <w:rsid w:val="68F44821"/>
    <w:rsid w:val="68F66048"/>
    <w:rsid w:val="68F718C0"/>
    <w:rsid w:val="68F73EDE"/>
    <w:rsid w:val="68F81453"/>
    <w:rsid w:val="68F919D7"/>
    <w:rsid w:val="68FA4183"/>
    <w:rsid w:val="68FA4718"/>
    <w:rsid w:val="68FB4800"/>
    <w:rsid w:val="68FD36D6"/>
    <w:rsid w:val="69083E81"/>
    <w:rsid w:val="690C74DA"/>
    <w:rsid w:val="690F6CCE"/>
    <w:rsid w:val="69102FE7"/>
    <w:rsid w:val="69114669"/>
    <w:rsid w:val="6914022D"/>
    <w:rsid w:val="69180510"/>
    <w:rsid w:val="6918206D"/>
    <w:rsid w:val="691B1DAE"/>
    <w:rsid w:val="691C02B6"/>
    <w:rsid w:val="691E46EF"/>
    <w:rsid w:val="691F1FEC"/>
    <w:rsid w:val="692064DD"/>
    <w:rsid w:val="69206934"/>
    <w:rsid w:val="69225A0D"/>
    <w:rsid w:val="6924702C"/>
    <w:rsid w:val="69297524"/>
    <w:rsid w:val="692B68DC"/>
    <w:rsid w:val="692C127E"/>
    <w:rsid w:val="692C3D62"/>
    <w:rsid w:val="692C504B"/>
    <w:rsid w:val="692E7D33"/>
    <w:rsid w:val="692F0D8E"/>
    <w:rsid w:val="69302113"/>
    <w:rsid w:val="69307669"/>
    <w:rsid w:val="69340C66"/>
    <w:rsid w:val="69343DB5"/>
    <w:rsid w:val="69354D85"/>
    <w:rsid w:val="693953E9"/>
    <w:rsid w:val="693A53C8"/>
    <w:rsid w:val="693A6306"/>
    <w:rsid w:val="693E1AC4"/>
    <w:rsid w:val="693E46A0"/>
    <w:rsid w:val="693E74CA"/>
    <w:rsid w:val="693F643B"/>
    <w:rsid w:val="69410D7A"/>
    <w:rsid w:val="69414E41"/>
    <w:rsid w:val="69423548"/>
    <w:rsid w:val="694310E6"/>
    <w:rsid w:val="69436C13"/>
    <w:rsid w:val="694465FF"/>
    <w:rsid w:val="69453D1D"/>
    <w:rsid w:val="69475A8E"/>
    <w:rsid w:val="6949336F"/>
    <w:rsid w:val="694A3DEF"/>
    <w:rsid w:val="694F0D1F"/>
    <w:rsid w:val="694F6ABE"/>
    <w:rsid w:val="69505307"/>
    <w:rsid w:val="69512DD7"/>
    <w:rsid w:val="69574B58"/>
    <w:rsid w:val="69591C34"/>
    <w:rsid w:val="695A15A5"/>
    <w:rsid w:val="69650D50"/>
    <w:rsid w:val="69684A2F"/>
    <w:rsid w:val="696B7548"/>
    <w:rsid w:val="696C736D"/>
    <w:rsid w:val="697030DE"/>
    <w:rsid w:val="69706390"/>
    <w:rsid w:val="69720072"/>
    <w:rsid w:val="697274F4"/>
    <w:rsid w:val="69731075"/>
    <w:rsid w:val="69737FEC"/>
    <w:rsid w:val="6975387E"/>
    <w:rsid w:val="6976728D"/>
    <w:rsid w:val="69780FAF"/>
    <w:rsid w:val="697C03BA"/>
    <w:rsid w:val="698060B5"/>
    <w:rsid w:val="69823BDB"/>
    <w:rsid w:val="69855479"/>
    <w:rsid w:val="69882CD3"/>
    <w:rsid w:val="698C4FA6"/>
    <w:rsid w:val="698E0F2F"/>
    <w:rsid w:val="698E2580"/>
    <w:rsid w:val="69900BBF"/>
    <w:rsid w:val="69911BE6"/>
    <w:rsid w:val="69922601"/>
    <w:rsid w:val="699351CC"/>
    <w:rsid w:val="69965020"/>
    <w:rsid w:val="699B1944"/>
    <w:rsid w:val="699C365A"/>
    <w:rsid w:val="699C4DFD"/>
    <w:rsid w:val="69A11633"/>
    <w:rsid w:val="69A14C24"/>
    <w:rsid w:val="69A51678"/>
    <w:rsid w:val="69AA1DDD"/>
    <w:rsid w:val="69AC2A06"/>
    <w:rsid w:val="69AC5936"/>
    <w:rsid w:val="69B30239"/>
    <w:rsid w:val="69B61AD7"/>
    <w:rsid w:val="69B62780"/>
    <w:rsid w:val="69B70B8A"/>
    <w:rsid w:val="69B978CF"/>
    <w:rsid w:val="69BB0E9B"/>
    <w:rsid w:val="69C62E77"/>
    <w:rsid w:val="69CB0CE1"/>
    <w:rsid w:val="69CB2EBB"/>
    <w:rsid w:val="69CC466C"/>
    <w:rsid w:val="69CE58AE"/>
    <w:rsid w:val="69D11D34"/>
    <w:rsid w:val="69D8084E"/>
    <w:rsid w:val="69DB10A9"/>
    <w:rsid w:val="69DC1688"/>
    <w:rsid w:val="69DC6357"/>
    <w:rsid w:val="69E03D9A"/>
    <w:rsid w:val="69E45F24"/>
    <w:rsid w:val="69E91EAC"/>
    <w:rsid w:val="69E94F2A"/>
    <w:rsid w:val="69EB1750"/>
    <w:rsid w:val="69EB1FDC"/>
    <w:rsid w:val="69EB5F51"/>
    <w:rsid w:val="69ED09E3"/>
    <w:rsid w:val="69EE1D33"/>
    <w:rsid w:val="69EE1F2C"/>
    <w:rsid w:val="69EF0661"/>
    <w:rsid w:val="69F6474C"/>
    <w:rsid w:val="69F70A4F"/>
    <w:rsid w:val="69F74EDF"/>
    <w:rsid w:val="69F918F5"/>
    <w:rsid w:val="69FA0146"/>
    <w:rsid w:val="69FA2F8B"/>
    <w:rsid w:val="69FB573C"/>
    <w:rsid w:val="69FB6271"/>
    <w:rsid w:val="69FC44B0"/>
    <w:rsid w:val="69FD3A6D"/>
    <w:rsid w:val="69FD74BC"/>
    <w:rsid w:val="69FF416B"/>
    <w:rsid w:val="6A00492C"/>
    <w:rsid w:val="6A026090"/>
    <w:rsid w:val="6A050AF0"/>
    <w:rsid w:val="6A07681A"/>
    <w:rsid w:val="6A082788"/>
    <w:rsid w:val="6A0B1E23"/>
    <w:rsid w:val="6A0F4CCA"/>
    <w:rsid w:val="6A1211D1"/>
    <w:rsid w:val="6A1330E9"/>
    <w:rsid w:val="6A164270"/>
    <w:rsid w:val="6A17009C"/>
    <w:rsid w:val="6A1719B7"/>
    <w:rsid w:val="6A193A12"/>
    <w:rsid w:val="6A1D654A"/>
    <w:rsid w:val="6A1E0077"/>
    <w:rsid w:val="6A1E6871"/>
    <w:rsid w:val="6A2133F4"/>
    <w:rsid w:val="6A213DB0"/>
    <w:rsid w:val="6A2325B4"/>
    <w:rsid w:val="6A2627B9"/>
    <w:rsid w:val="6A2671A4"/>
    <w:rsid w:val="6A272403"/>
    <w:rsid w:val="6A294057"/>
    <w:rsid w:val="6A2A0E92"/>
    <w:rsid w:val="6A307185"/>
    <w:rsid w:val="6A325019"/>
    <w:rsid w:val="6A3542BB"/>
    <w:rsid w:val="6A38730C"/>
    <w:rsid w:val="6A391D37"/>
    <w:rsid w:val="6A3C022E"/>
    <w:rsid w:val="6A403EE8"/>
    <w:rsid w:val="6A412525"/>
    <w:rsid w:val="6A455F47"/>
    <w:rsid w:val="6A4566A3"/>
    <w:rsid w:val="6A461529"/>
    <w:rsid w:val="6A4D243B"/>
    <w:rsid w:val="6A4E61B3"/>
    <w:rsid w:val="6A4E6446"/>
    <w:rsid w:val="6A525703"/>
    <w:rsid w:val="6A527E04"/>
    <w:rsid w:val="6A535578"/>
    <w:rsid w:val="6A540D6D"/>
    <w:rsid w:val="6A5512F0"/>
    <w:rsid w:val="6A554E4C"/>
    <w:rsid w:val="6A570BC4"/>
    <w:rsid w:val="6A5B1793"/>
    <w:rsid w:val="6A604B4C"/>
    <w:rsid w:val="6A6C273F"/>
    <w:rsid w:val="6A6E4160"/>
    <w:rsid w:val="6A714044"/>
    <w:rsid w:val="6A7161E3"/>
    <w:rsid w:val="6A722F26"/>
    <w:rsid w:val="6A736FCA"/>
    <w:rsid w:val="6A76581E"/>
    <w:rsid w:val="6A771266"/>
    <w:rsid w:val="6A785C84"/>
    <w:rsid w:val="6A793230"/>
    <w:rsid w:val="6A793CE3"/>
    <w:rsid w:val="6A796084"/>
    <w:rsid w:val="6A7B7C98"/>
    <w:rsid w:val="6A7D7B86"/>
    <w:rsid w:val="6A7D7D3F"/>
    <w:rsid w:val="6A7E19AC"/>
    <w:rsid w:val="6A7F3906"/>
    <w:rsid w:val="6A827E27"/>
    <w:rsid w:val="6A8368E4"/>
    <w:rsid w:val="6A8806D7"/>
    <w:rsid w:val="6A882476"/>
    <w:rsid w:val="6A895AE7"/>
    <w:rsid w:val="6A8D3296"/>
    <w:rsid w:val="6A8D4C80"/>
    <w:rsid w:val="6A905F07"/>
    <w:rsid w:val="6A936CB8"/>
    <w:rsid w:val="6A9750C3"/>
    <w:rsid w:val="6A9A0CA2"/>
    <w:rsid w:val="6A9A52A9"/>
    <w:rsid w:val="6A9A52AC"/>
    <w:rsid w:val="6A9C2F2D"/>
    <w:rsid w:val="6A9E0FFE"/>
    <w:rsid w:val="6A9F6400"/>
    <w:rsid w:val="6AA2356D"/>
    <w:rsid w:val="6AA4271C"/>
    <w:rsid w:val="6AA638F9"/>
    <w:rsid w:val="6AAA2CBF"/>
    <w:rsid w:val="6AB00027"/>
    <w:rsid w:val="6AB04778"/>
    <w:rsid w:val="6AB05CE4"/>
    <w:rsid w:val="6AB212EF"/>
    <w:rsid w:val="6AB27E80"/>
    <w:rsid w:val="6AB607A6"/>
    <w:rsid w:val="6AB91AB1"/>
    <w:rsid w:val="6AB953A1"/>
    <w:rsid w:val="6ABA3A02"/>
    <w:rsid w:val="6ABA55F7"/>
    <w:rsid w:val="6ABC200B"/>
    <w:rsid w:val="6ABC6B2B"/>
    <w:rsid w:val="6AC16985"/>
    <w:rsid w:val="6AC208FC"/>
    <w:rsid w:val="6AC20C0F"/>
    <w:rsid w:val="6AC2744B"/>
    <w:rsid w:val="6AC3179C"/>
    <w:rsid w:val="6AC326B1"/>
    <w:rsid w:val="6AC56475"/>
    <w:rsid w:val="6AC601B4"/>
    <w:rsid w:val="6AC83B0F"/>
    <w:rsid w:val="6AC90A77"/>
    <w:rsid w:val="6ACB37C7"/>
    <w:rsid w:val="6ACE4725"/>
    <w:rsid w:val="6AD20B92"/>
    <w:rsid w:val="6AD466B8"/>
    <w:rsid w:val="6AD50982"/>
    <w:rsid w:val="6AD558A9"/>
    <w:rsid w:val="6AD90BAB"/>
    <w:rsid w:val="6AD935C6"/>
    <w:rsid w:val="6ADD1F00"/>
    <w:rsid w:val="6ADE12E5"/>
    <w:rsid w:val="6AE17D2E"/>
    <w:rsid w:val="6AE47C1D"/>
    <w:rsid w:val="6AE5144A"/>
    <w:rsid w:val="6AE575ED"/>
    <w:rsid w:val="6AE7478D"/>
    <w:rsid w:val="6AE8629E"/>
    <w:rsid w:val="6AEA161A"/>
    <w:rsid w:val="6AEC1F70"/>
    <w:rsid w:val="6AED37F2"/>
    <w:rsid w:val="6AEE6A90"/>
    <w:rsid w:val="6AEF53C4"/>
    <w:rsid w:val="6AF91DF1"/>
    <w:rsid w:val="6AF96274"/>
    <w:rsid w:val="6AFB5D68"/>
    <w:rsid w:val="6AFE7836"/>
    <w:rsid w:val="6B006504"/>
    <w:rsid w:val="6B011DD2"/>
    <w:rsid w:val="6B080382"/>
    <w:rsid w:val="6B0845B4"/>
    <w:rsid w:val="6B0C3A97"/>
    <w:rsid w:val="6B0C5E52"/>
    <w:rsid w:val="6B0C681B"/>
    <w:rsid w:val="6B0D5727"/>
    <w:rsid w:val="6B0E6311"/>
    <w:rsid w:val="6B112AF5"/>
    <w:rsid w:val="6B116776"/>
    <w:rsid w:val="6B1228CA"/>
    <w:rsid w:val="6B1B7EBF"/>
    <w:rsid w:val="6B1D1F95"/>
    <w:rsid w:val="6B202FCA"/>
    <w:rsid w:val="6B225BFF"/>
    <w:rsid w:val="6B2334CD"/>
    <w:rsid w:val="6B233844"/>
    <w:rsid w:val="6B294D27"/>
    <w:rsid w:val="6B2A0087"/>
    <w:rsid w:val="6B2B3945"/>
    <w:rsid w:val="6B2C2051"/>
    <w:rsid w:val="6B2C21B2"/>
    <w:rsid w:val="6B2D1502"/>
    <w:rsid w:val="6B2D1E59"/>
    <w:rsid w:val="6B31164E"/>
    <w:rsid w:val="6B361121"/>
    <w:rsid w:val="6B3649CC"/>
    <w:rsid w:val="6B39651C"/>
    <w:rsid w:val="6B397E06"/>
    <w:rsid w:val="6B3B0E1D"/>
    <w:rsid w:val="6B3D3768"/>
    <w:rsid w:val="6B3D3F73"/>
    <w:rsid w:val="6B3F76C7"/>
    <w:rsid w:val="6B4078AA"/>
    <w:rsid w:val="6B424DE9"/>
    <w:rsid w:val="6B424E0E"/>
    <w:rsid w:val="6B4505E3"/>
    <w:rsid w:val="6B466370"/>
    <w:rsid w:val="6B472B04"/>
    <w:rsid w:val="6B476264"/>
    <w:rsid w:val="6B486135"/>
    <w:rsid w:val="6B493865"/>
    <w:rsid w:val="6B496164"/>
    <w:rsid w:val="6B4A23C3"/>
    <w:rsid w:val="6B4A24D7"/>
    <w:rsid w:val="6B4B1A84"/>
    <w:rsid w:val="6B4C4AE6"/>
    <w:rsid w:val="6B5266C5"/>
    <w:rsid w:val="6B55297C"/>
    <w:rsid w:val="6B556798"/>
    <w:rsid w:val="6B55794D"/>
    <w:rsid w:val="6B5662B5"/>
    <w:rsid w:val="6B574BF4"/>
    <w:rsid w:val="6B581098"/>
    <w:rsid w:val="6B5E3AD4"/>
    <w:rsid w:val="6B6317EA"/>
    <w:rsid w:val="6B635FFC"/>
    <w:rsid w:val="6B644B3C"/>
    <w:rsid w:val="6B646DDD"/>
    <w:rsid w:val="6B657EA0"/>
    <w:rsid w:val="6B690855"/>
    <w:rsid w:val="6B6A014D"/>
    <w:rsid w:val="6B6A3F74"/>
    <w:rsid w:val="6B6C5FF6"/>
    <w:rsid w:val="6B6C6EE2"/>
    <w:rsid w:val="6B6D40D2"/>
    <w:rsid w:val="6B701525"/>
    <w:rsid w:val="6B722E86"/>
    <w:rsid w:val="6B746031"/>
    <w:rsid w:val="6B76137D"/>
    <w:rsid w:val="6B76151E"/>
    <w:rsid w:val="6B7730A4"/>
    <w:rsid w:val="6B780E48"/>
    <w:rsid w:val="6B7D02BE"/>
    <w:rsid w:val="6B800F84"/>
    <w:rsid w:val="6B80414A"/>
    <w:rsid w:val="6B822F1F"/>
    <w:rsid w:val="6B8243AC"/>
    <w:rsid w:val="6B8339B4"/>
    <w:rsid w:val="6B841E8D"/>
    <w:rsid w:val="6B843501"/>
    <w:rsid w:val="6B89431F"/>
    <w:rsid w:val="6B8B16D5"/>
    <w:rsid w:val="6B8B65C1"/>
    <w:rsid w:val="6B8C2CFD"/>
    <w:rsid w:val="6B8C52D9"/>
    <w:rsid w:val="6B8F1604"/>
    <w:rsid w:val="6B98564C"/>
    <w:rsid w:val="6B9C6871"/>
    <w:rsid w:val="6B9E2E56"/>
    <w:rsid w:val="6B9F3DBA"/>
    <w:rsid w:val="6BA0733A"/>
    <w:rsid w:val="6BA27B08"/>
    <w:rsid w:val="6BA41B70"/>
    <w:rsid w:val="6BA75B7B"/>
    <w:rsid w:val="6BA84C7C"/>
    <w:rsid w:val="6BB04B7E"/>
    <w:rsid w:val="6BB36F13"/>
    <w:rsid w:val="6BB50B7E"/>
    <w:rsid w:val="6BB53379"/>
    <w:rsid w:val="6BB53CBD"/>
    <w:rsid w:val="6BB75415"/>
    <w:rsid w:val="6BB77FE6"/>
    <w:rsid w:val="6BBA3873"/>
    <w:rsid w:val="6BBB51FE"/>
    <w:rsid w:val="6BBC7875"/>
    <w:rsid w:val="6BBD402A"/>
    <w:rsid w:val="6BBE2A78"/>
    <w:rsid w:val="6BC018E9"/>
    <w:rsid w:val="6BC04DFB"/>
    <w:rsid w:val="6BC07E36"/>
    <w:rsid w:val="6BC15EBA"/>
    <w:rsid w:val="6BC47A8E"/>
    <w:rsid w:val="6BC55102"/>
    <w:rsid w:val="6BC8096A"/>
    <w:rsid w:val="6BC8512B"/>
    <w:rsid w:val="6BCA3017"/>
    <w:rsid w:val="6BCB6DE4"/>
    <w:rsid w:val="6BCE6923"/>
    <w:rsid w:val="6BCF53AC"/>
    <w:rsid w:val="6BD203D5"/>
    <w:rsid w:val="6BD36970"/>
    <w:rsid w:val="6BD555BF"/>
    <w:rsid w:val="6BDA534F"/>
    <w:rsid w:val="6BDB571A"/>
    <w:rsid w:val="6BDB7FDA"/>
    <w:rsid w:val="6BDC461F"/>
    <w:rsid w:val="6BDD501F"/>
    <w:rsid w:val="6BDF70C3"/>
    <w:rsid w:val="6BE2513C"/>
    <w:rsid w:val="6BE46F7E"/>
    <w:rsid w:val="6BE91CF0"/>
    <w:rsid w:val="6BED2946"/>
    <w:rsid w:val="6BEE37AA"/>
    <w:rsid w:val="6BEE61FD"/>
    <w:rsid w:val="6BEE7F16"/>
    <w:rsid w:val="6BEF4116"/>
    <w:rsid w:val="6BF1494D"/>
    <w:rsid w:val="6BF51883"/>
    <w:rsid w:val="6BF94313"/>
    <w:rsid w:val="6BFB7778"/>
    <w:rsid w:val="6BFE3E3E"/>
    <w:rsid w:val="6C014DA3"/>
    <w:rsid w:val="6C021003"/>
    <w:rsid w:val="6C044B29"/>
    <w:rsid w:val="6C06041D"/>
    <w:rsid w:val="6C075D7C"/>
    <w:rsid w:val="6C085844"/>
    <w:rsid w:val="6C09241C"/>
    <w:rsid w:val="6C0D4406"/>
    <w:rsid w:val="6C0D521A"/>
    <w:rsid w:val="6C0F54CE"/>
    <w:rsid w:val="6C164B1E"/>
    <w:rsid w:val="6C171B87"/>
    <w:rsid w:val="6C172D01"/>
    <w:rsid w:val="6C175421"/>
    <w:rsid w:val="6C1804FE"/>
    <w:rsid w:val="6C183F2D"/>
    <w:rsid w:val="6C1A39A6"/>
    <w:rsid w:val="6C1B20C5"/>
    <w:rsid w:val="6C1D4AD6"/>
    <w:rsid w:val="6C1D793F"/>
    <w:rsid w:val="6C1F1BB5"/>
    <w:rsid w:val="6C1F78E3"/>
    <w:rsid w:val="6C2076DB"/>
    <w:rsid w:val="6C2471CC"/>
    <w:rsid w:val="6C264F8F"/>
    <w:rsid w:val="6C2C7E2E"/>
    <w:rsid w:val="6C2D691A"/>
    <w:rsid w:val="6C303DC2"/>
    <w:rsid w:val="6C30652D"/>
    <w:rsid w:val="6C3334D5"/>
    <w:rsid w:val="6C3B1BAF"/>
    <w:rsid w:val="6C3F0A8A"/>
    <w:rsid w:val="6C3F5D67"/>
    <w:rsid w:val="6C466FAB"/>
    <w:rsid w:val="6C472363"/>
    <w:rsid w:val="6C48616A"/>
    <w:rsid w:val="6C4F5776"/>
    <w:rsid w:val="6C517A00"/>
    <w:rsid w:val="6C523FDE"/>
    <w:rsid w:val="6C541D24"/>
    <w:rsid w:val="6C5630FD"/>
    <w:rsid w:val="6C563A97"/>
    <w:rsid w:val="6C567236"/>
    <w:rsid w:val="6C5C0714"/>
    <w:rsid w:val="6C5C6499"/>
    <w:rsid w:val="6C5E3222"/>
    <w:rsid w:val="6C64581A"/>
    <w:rsid w:val="6C6605A5"/>
    <w:rsid w:val="6C686B68"/>
    <w:rsid w:val="6C6C714C"/>
    <w:rsid w:val="6C6D54B8"/>
    <w:rsid w:val="6C6D6949"/>
    <w:rsid w:val="6C733FFE"/>
    <w:rsid w:val="6C734AAB"/>
    <w:rsid w:val="6C737315"/>
    <w:rsid w:val="6C744BD0"/>
    <w:rsid w:val="6C7624D1"/>
    <w:rsid w:val="6C762F92"/>
    <w:rsid w:val="6C7852B4"/>
    <w:rsid w:val="6C7B05E2"/>
    <w:rsid w:val="6C7B367B"/>
    <w:rsid w:val="6C7B471E"/>
    <w:rsid w:val="6C7D1691"/>
    <w:rsid w:val="6C7F08A6"/>
    <w:rsid w:val="6C7F7680"/>
    <w:rsid w:val="6C8163CC"/>
    <w:rsid w:val="6C861C34"/>
    <w:rsid w:val="6C8A09F6"/>
    <w:rsid w:val="6C904861"/>
    <w:rsid w:val="6C924135"/>
    <w:rsid w:val="6C924B62"/>
    <w:rsid w:val="6C927016"/>
    <w:rsid w:val="6C935BCC"/>
    <w:rsid w:val="6C9370C5"/>
    <w:rsid w:val="6C946181"/>
    <w:rsid w:val="6C95333F"/>
    <w:rsid w:val="6C9822E2"/>
    <w:rsid w:val="6C994B25"/>
    <w:rsid w:val="6C9963F3"/>
    <w:rsid w:val="6C9E047C"/>
    <w:rsid w:val="6C9F7B97"/>
    <w:rsid w:val="6CA10E42"/>
    <w:rsid w:val="6CAC5002"/>
    <w:rsid w:val="6CBA18DE"/>
    <w:rsid w:val="6CBB5640"/>
    <w:rsid w:val="6CBC227E"/>
    <w:rsid w:val="6CBF131A"/>
    <w:rsid w:val="6CBF5BCB"/>
    <w:rsid w:val="6CC03AE7"/>
    <w:rsid w:val="6CC52953"/>
    <w:rsid w:val="6CC529E1"/>
    <w:rsid w:val="6CC60CEF"/>
    <w:rsid w:val="6CCA2B0A"/>
    <w:rsid w:val="6CCA79FB"/>
    <w:rsid w:val="6CCF2537"/>
    <w:rsid w:val="6CD54458"/>
    <w:rsid w:val="6CD75FEC"/>
    <w:rsid w:val="6CD960AA"/>
    <w:rsid w:val="6CDC7415"/>
    <w:rsid w:val="6CDD013C"/>
    <w:rsid w:val="6CE07E9A"/>
    <w:rsid w:val="6CE2561C"/>
    <w:rsid w:val="6CE32D94"/>
    <w:rsid w:val="6CE33739"/>
    <w:rsid w:val="6CE34991"/>
    <w:rsid w:val="6CE3773B"/>
    <w:rsid w:val="6CE52EBA"/>
    <w:rsid w:val="6CF11227"/>
    <w:rsid w:val="6CF20681"/>
    <w:rsid w:val="6CF22212"/>
    <w:rsid w:val="6CF546C4"/>
    <w:rsid w:val="6CF62201"/>
    <w:rsid w:val="6CF83F1D"/>
    <w:rsid w:val="6CF9696B"/>
    <w:rsid w:val="6CFC0356"/>
    <w:rsid w:val="6CFD4CED"/>
    <w:rsid w:val="6CFD633E"/>
    <w:rsid w:val="6D040606"/>
    <w:rsid w:val="6D051F8E"/>
    <w:rsid w:val="6D0A2B07"/>
    <w:rsid w:val="6D0A4613"/>
    <w:rsid w:val="6D0A7EA5"/>
    <w:rsid w:val="6D0D5C54"/>
    <w:rsid w:val="6D0E0A8F"/>
    <w:rsid w:val="6D115063"/>
    <w:rsid w:val="6D184299"/>
    <w:rsid w:val="6D1859BB"/>
    <w:rsid w:val="6D196619"/>
    <w:rsid w:val="6D21161F"/>
    <w:rsid w:val="6D245A58"/>
    <w:rsid w:val="6D295A59"/>
    <w:rsid w:val="6D296FAE"/>
    <w:rsid w:val="6D2B617E"/>
    <w:rsid w:val="6D2D1303"/>
    <w:rsid w:val="6D2E2E1A"/>
    <w:rsid w:val="6D2F4E5D"/>
    <w:rsid w:val="6D315FE9"/>
    <w:rsid w:val="6D317DF2"/>
    <w:rsid w:val="6D321474"/>
    <w:rsid w:val="6D325947"/>
    <w:rsid w:val="6D3276C6"/>
    <w:rsid w:val="6D33061B"/>
    <w:rsid w:val="6D357A95"/>
    <w:rsid w:val="6D3C1622"/>
    <w:rsid w:val="6D3E08C0"/>
    <w:rsid w:val="6D3F3B91"/>
    <w:rsid w:val="6D4375DF"/>
    <w:rsid w:val="6D4421E5"/>
    <w:rsid w:val="6D475865"/>
    <w:rsid w:val="6D4A602E"/>
    <w:rsid w:val="6D4C25F5"/>
    <w:rsid w:val="6D4C2D6C"/>
    <w:rsid w:val="6D4D0783"/>
    <w:rsid w:val="6D4D4500"/>
    <w:rsid w:val="6D4D45DB"/>
    <w:rsid w:val="6D4E6D7B"/>
    <w:rsid w:val="6D4F3FD4"/>
    <w:rsid w:val="6D500D6C"/>
    <w:rsid w:val="6D516544"/>
    <w:rsid w:val="6D53067F"/>
    <w:rsid w:val="6D535F8B"/>
    <w:rsid w:val="6D5362F6"/>
    <w:rsid w:val="6D5502FD"/>
    <w:rsid w:val="6D560088"/>
    <w:rsid w:val="6D576863"/>
    <w:rsid w:val="6D5B09CB"/>
    <w:rsid w:val="6D5E495F"/>
    <w:rsid w:val="6D601D44"/>
    <w:rsid w:val="6D60276C"/>
    <w:rsid w:val="6D604233"/>
    <w:rsid w:val="6D605AE9"/>
    <w:rsid w:val="6D611D5A"/>
    <w:rsid w:val="6D613333"/>
    <w:rsid w:val="6D61605E"/>
    <w:rsid w:val="6D621520"/>
    <w:rsid w:val="6D630E00"/>
    <w:rsid w:val="6D65160F"/>
    <w:rsid w:val="6D651C63"/>
    <w:rsid w:val="6D67418D"/>
    <w:rsid w:val="6D6802E3"/>
    <w:rsid w:val="6D6931E6"/>
    <w:rsid w:val="6D6E36E9"/>
    <w:rsid w:val="6D74351D"/>
    <w:rsid w:val="6D743C43"/>
    <w:rsid w:val="6D745F31"/>
    <w:rsid w:val="6D79697A"/>
    <w:rsid w:val="6D7C20FB"/>
    <w:rsid w:val="6D7C2BF3"/>
    <w:rsid w:val="6D7E6363"/>
    <w:rsid w:val="6D7E6D29"/>
    <w:rsid w:val="6D866B34"/>
    <w:rsid w:val="6D867B09"/>
    <w:rsid w:val="6D89044B"/>
    <w:rsid w:val="6D8A305E"/>
    <w:rsid w:val="6D8C026B"/>
    <w:rsid w:val="6D8C6ACA"/>
    <w:rsid w:val="6D8E2AD7"/>
    <w:rsid w:val="6D905FA7"/>
    <w:rsid w:val="6D925B8F"/>
    <w:rsid w:val="6D965A26"/>
    <w:rsid w:val="6D967C55"/>
    <w:rsid w:val="6D98408F"/>
    <w:rsid w:val="6D991066"/>
    <w:rsid w:val="6D9B170F"/>
    <w:rsid w:val="6D9E6B0A"/>
    <w:rsid w:val="6DA11326"/>
    <w:rsid w:val="6DA1222C"/>
    <w:rsid w:val="6DA1783B"/>
    <w:rsid w:val="6DA2484C"/>
    <w:rsid w:val="6DA273D4"/>
    <w:rsid w:val="6DA34E53"/>
    <w:rsid w:val="6DA547E4"/>
    <w:rsid w:val="6DAA4D41"/>
    <w:rsid w:val="6DB15CFD"/>
    <w:rsid w:val="6DB166A0"/>
    <w:rsid w:val="6DB41FDC"/>
    <w:rsid w:val="6DB46F41"/>
    <w:rsid w:val="6DB93944"/>
    <w:rsid w:val="6DBB2AE7"/>
    <w:rsid w:val="6DBB546B"/>
    <w:rsid w:val="6DBC5306"/>
    <w:rsid w:val="6DC1338D"/>
    <w:rsid w:val="6DC16A1E"/>
    <w:rsid w:val="6DC70E27"/>
    <w:rsid w:val="6DC85463"/>
    <w:rsid w:val="6DC9002B"/>
    <w:rsid w:val="6DCE75BE"/>
    <w:rsid w:val="6DD01F0A"/>
    <w:rsid w:val="6DD62748"/>
    <w:rsid w:val="6DD9496A"/>
    <w:rsid w:val="6DDB0956"/>
    <w:rsid w:val="6DDB2A3A"/>
    <w:rsid w:val="6DE5298B"/>
    <w:rsid w:val="6DE65EF4"/>
    <w:rsid w:val="6DE9247B"/>
    <w:rsid w:val="6DEA69B8"/>
    <w:rsid w:val="6DED423B"/>
    <w:rsid w:val="6DF336FD"/>
    <w:rsid w:val="6DF9527C"/>
    <w:rsid w:val="6DF9653E"/>
    <w:rsid w:val="6DFD7CD4"/>
    <w:rsid w:val="6DFF33FA"/>
    <w:rsid w:val="6DFF35EB"/>
    <w:rsid w:val="6E014C81"/>
    <w:rsid w:val="6E035ACE"/>
    <w:rsid w:val="6E041063"/>
    <w:rsid w:val="6E064BAE"/>
    <w:rsid w:val="6E073037"/>
    <w:rsid w:val="6E0952C2"/>
    <w:rsid w:val="6E0C54D8"/>
    <w:rsid w:val="6E105C5A"/>
    <w:rsid w:val="6E1101B2"/>
    <w:rsid w:val="6E1305F6"/>
    <w:rsid w:val="6E1517E1"/>
    <w:rsid w:val="6E157FE1"/>
    <w:rsid w:val="6E166FE8"/>
    <w:rsid w:val="6E170CA6"/>
    <w:rsid w:val="6E197AE1"/>
    <w:rsid w:val="6E1B33AE"/>
    <w:rsid w:val="6E200709"/>
    <w:rsid w:val="6E230FA4"/>
    <w:rsid w:val="6E233C4F"/>
    <w:rsid w:val="6E2711F5"/>
    <w:rsid w:val="6E271CA8"/>
    <w:rsid w:val="6E296B67"/>
    <w:rsid w:val="6E296D1B"/>
    <w:rsid w:val="6E2A2A42"/>
    <w:rsid w:val="6E2B5E2F"/>
    <w:rsid w:val="6E2C137B"/>
    <w:rsid w:val="6E2D7747"/>
    <w:rsid w:val="6E2F6107"/>
    <w:rsid w:val="6E32766D"/>
    <w:rsid w:val="6E342FDD"/>
    <w:rsid w:val="6E35354A"/>
    <w:rsid w:val="6E3A0F28"/>
    <w:rsid w:val="6E3C3466"/>
    <w:rsid w:val="6E414061"/>
    <w:rsid w:val="6E422535"/>
    <w:rsid w:val="6E4B0F6D"/>
    <w:rsid w:val="6E4E692A"/>
    <w:rsid w:val="6E523CB8"/>
    <w:rsid w:val="6E530095"/>
    <w:rsid w:val="6E541087"/>
    <w:rsid w:val="6E5510FE"/>
    <w:rsid w:val="6E5536D0"/>
    <w:rsid w:val="6E5813AF"/>
    <w:rsid w:val="6E586E18"/>
    <w:rsid w:val="6E5B0E2F"/>
    <w:rsid w:val="6E5C02B7"/>
    <w:rsid w:val="6E5C4492"/>
    <w:rsid w:val="6E623C17"/>
    <w:rsid w:val="6E637CE1"/>
    <w:rsid w:val="6E645FA5"/>
    <w:rsid w:val="6E6715F2"/>
    <w:rsid w:val="6E6733A0"/>
    <w:rsid w:val="6E6949E6"/>
    <w:rsid w:val="6E6C1D26"/>
    <w:rsid w:val="6E6C37C5"/>
    <w:rsid w:val="6E6C5CA1"/>
    <w:rsid w:val="6E6D68FF"/>
    <w:rsid w:val="6E6E472E"/>
    <w:rsid w:val="6E702FB5"/>
    <w:rsid w:val="6E70680B"/>
    <w:rsid w:val="6E713865"/>
    <w:rsid w:val="6E7251F6"/>
    <w:rsid w:val="6E741518"/>
    <w:rsid w:val="6E771434"/>
    <w:rsid w:val="6E7C0F24"/>
    <w:rsid w:val="6E7C32B9"/>
    <w:rsid w:val="6E7D309D"/>
    <w:rsid w:val="6E7F0680"/>
    <w:rsid w:val="6E812A8C"/>
    <w:rsid w:val="6E813B62"/>
    <w:rsid w:val="6E840776"/>
    <w:rsid w:val="6E841539"/>
    <w:rsid w:val="6E842FAE"/>
    <w:rsid w:val="6E8738E8"/>
    <w:rsid w:val="6E893520"/>
    <w:rsid w:val="6E8B337C"/>
    <w:rsid w:val="6E8B4961"/>
    <w:rsid w:val="6E933555"/>
    <w:rsid w:val="6E95110E"/>
    <w:rsid w:val="6E972D5A"/>
    <w:rsid w:val="6E984B22"/>
    <w:rsid w:val="6E9F422A"/>
    <w:rsid w:val="6E9F6B24"/>
    <w:rsid w:val="6EA2262A"/>
    <w:rsid w:val="6EA466A0"/>
    <w:rsid w:val="6EA55AEC"/>
    <w:rsid w:val="6EA6177A"/>
    <w:rsid w:val="6EA65CEA"/>
    <w:rsid w:val="6EB04805"/>
    <w:rsid w:val="6EB04D47"/>
    <w:rsid w:val="6EB303E4"/>
    <w:rsid w:val="6EB50351"/>
    <w:rsid w:val="6EB70B27"/>
    <w:rsid w:val="6EB83BFB"/>
    <w:rsid w:val="6EB8444E"/>
    <w:rsid w:val="6EBB0ACA"/>
    <w:rsid w:val="6EBE0699"/>
    <w:rsid w:val="6EC231C8"/>
    <w:rsid w:val="6EC33BC4"/>
    <w:rsid w:val="6EC46FDD"/>
    <w:rsid w:val="6EC7160C"/>
    <w:rsid w:val="6EC73068"/>
    <w:rsid w:val="6EC77D30"/>
    <w:rsid w:val="6EC9360F"/>
    <w:rsid w:val="6EC94FC4"/>
    <w:rsid w:val="6ECD227F"/>
    <w:rsid w:val="6ECE0E06"/>
    <w:rsid w:val="6ECF3033"/>
    <w:rsid w:val="6ED8429D"/>
    <w:rsid w:val="6EDB2983"/>
    <w:rsid w:val="6EDC5F8F"/>
    <w:rsid w:val="6EDD5F4F"/>
    <w:rsid w:val="6EE3336E"/>
    <w:rsid w:val="6EE41D73"/>
    <w:rsid w:val="6EE60768"/>
    <w:rsid w:val="6EE81FF1"/>
    <w:rsid w:val="6EE96640"/>
    <w:rsid w:val="6EEB0FB7"/>
    <w:rsid w:val="6EEB3FC4"/>
    <w:rsid w:val="6EEB42AC"/>
    <w:rsid w:val="6EF47329"/>
    <w:rsid w:val="6EF474E8"/>
    <w:rsid w:val="6EF56BFD"/>
    <w:rsid w:val="6EFD6BBE"/>
    <w:rsid w:val="6F014991"/>
    <w:rsid w:val="6F0252EA"/>
    <w:rsid w:val="6F0349EE"/>
    <w:rsid w:val="6F0532E4"/>
    <w:rsid w:val="6F067B5B"/>
    <w:rsid w:val="6F073B62"/>
    <w:rsid w:val="6F086E73"/>
    <w:rsid w:val="6F0A1C47"/>
    <w:rsid w:val="6F0A3459"/>
    <w:rsid w:val="6F0B01CF"/>
    <w:rsid w:val="6F0B1F14"/>
    <w:rsid w:val="6F0B557E"/>
    <w:rsid w:val="6F0C1560"/>
    <w:rsid w:val="6F0E7CBF"/>
    <w:rsid w:val="6F0F5E8B"/>
    <w:rsid w:val="6F1058E4"/>
    <w:rsid w:val="6F144A06"/>
    <w:rsid w:val="6F150254"/>
    <w:rsid w:val="6F161010"/>
    <w:rsid w:val="6F1664D4"/>
    <w:rsid w:val="6F192A9E"/>
    <w:rsid w:val="6F1A27F9"/>
    <w:rsid w:val="6F1B4439"/>
    <w:rsid w:val="6F213E96"/>
    <w:rsid w:val="6F231363"/>
    <w:rsid w:val="6F323C1A"/>
    <w:rsid w:val="6F336A26"/>
    <w:rsid w:val="6F3E62E9"/>
    <w:rsid w:val="6F3E67F6"/>
    <w:rsid w:val="6F3F7718"/>
    <w:rsid w:val="6F4108FD"/>
    <w:rsid w:val="6F415FBF"/>
    <w:rsid w:val="6F4162E7"/>
    <w:rsid w:val="6F4576BD"/>
    <w:rsid w:val="6F467459"/>
    <w:rsid w:val="6F4A288C"/>
    <w:rsid w:val="6F5002D8"/>
    <w:rsid w:val="6F574533"/>
    <w:rsid w:val="6F5B39C3"/>
    <w:rsid w:val="6F6127D9"/>
    <w:rsid w:val="6F651D5B"/>
    <w:rsid w:val="6F693FB4"/>
    <w:rsid w:val="6F6C08B9"/>
    <w:rsid w:val="6F6C3363"/>
    <w:rsid w:val="6F6D41E3"/>
    <w:rsid w:val="6F6F075E"/>
    <w:rsid w:val="6F6F6BD2"/>
    <w:rsid w:val="6F710E60"/>
    <w:rsid w:val="6F76349D"/>
    <w:rsid w:val="6F7860DF"/>
    <w:rsid w:val="6F7D2B5F"/>
    <w:rsid w:val="6F8566E4"/>
    <w:rsid w:val="6F8A1A3C"/>
    <w:rsid w:val="6F9208F0"/>
    <w:rsid w:val="6F930901"/>
    <w:rsid w:val="6F9450C5"/>
    <w:rsid w:val="6F9455E1"/>
    <w:rsid w:val="6F9557E8"/>
    <w:rsid w:val="6F960F80"/>
    <w:rsid w:val="6F991A3B"/>
    <w:rsid w:val="6F9D0DCD"/>
    <w:rsid w:val="6F9D6F1D"/>
    <w:rsid w:val="6FA3039A"/>
    <w:rsid w:val="6FA3150A"/>
    <w:rsid w:val="6FA52D0E"/>
    <w:rsid w:val="6FA72C0A"/>
    <w:rsid w:val="6FA752B6"/>
    <w:rsid w:val="6FA81EC2"/>
    <w:rsid w:val="6FA85F7F"/>
    <w:rsid w:val="6FA873CB"/>
    <w:rsid w:val="6FAF46CD"/>
    <w:rsid w:val="6FB16FC8"/>
    <w:rsid w:val="6FB92EDC"/>
    <w:rsid w:val="6FBB361D"/>
    <w:rsid w:val="6FBB675D"/>
    <w:rsid w:val="6FBE3493"/>
    <w:rsid w:val="6FC04279"/>
    <w:rsid w:val="6FC206B6"/>
    <w:rsid w:val="6FC477DB"/>
    <w:rsid w:val="6FC54822"/>
    <w:rsid w:val="6FC65D90"/>
    <w:rsid w:val="6FC8150C"/>
    <w:rsid w:val="6FCB058D"/>
    <w:rsid w:val="6FCB345C"/>
    <w:rsid w:val="6FCC05E5"/>
    <w:rsid w:val="6FCF4FA5"/>
    <w:rsid w:val="6FCF56A0"/>
    <w:rsid w:val="6FD05B18"/>
    <w:rsid w:val="6FD131C7"/>
    <w:rsid w:val="6FD76303"/>
    <w:rsid w:val="6FDB0C9B"/>
    <w:rsid w:val="6FDE58E3"/>
    <w:rsid w:val="6FE1093F"/>
    <w:rsid w:val="6FE23804"/>
    <w:rsid w:val="6FE2547B"/>
    <w:rsid w:val="6FE44D6C"/>
    <w:rsid w:val="6FE47C8F"/>
    <w:rsid w:val="6FE54913"/>
    <w:rsid w:val="6FE80510"/>
    <w:rsid w:val="6FE915E7"/>
    <w:rsid w:val="6FE9765D"/>
    <w:rsid w:val="6FEC6252"/>
    <w:rsid w:val="6FF1191A"/>
    <w:rsid w:val="6FF11935"/>
    <w:rsid w:val="6FF60405"/>
    <w:rsid w:val="6FF712C0"/>
    <w:rsid w:val="6FFF154F"/>
    <w:rsid w:val="6FFF1DF9"/>
    <w:rsid w:val="7000585A"/>
    <w:rsid w:val="700E5BDD"/>
    <w:rsid w:val="700F46C6"/>
    <w:rsid w:val="7012711E"/>
    <w:rsid w:val="70131A31"/>
    <w:rsid w:val="70184CF3"/>
    <w:rsid w:val="701D156C"/>
    <w:rsid w:val="701F6FD6"/>
    <w:rsid w:val="70214D2E"/>
    <w:rsid w:val="7025597E"/>
    <w:rsid w:val="7027728A"/>
    <w:rsid w:val="70280263"/>
    <w:rsid w:val="70290749"/>
    <w:rsid w:val="70291F88"/>
    <w:rsid w:val="70292E94"/>
    <w:rsid w:val="702E6265"/>
    <w:rsid w:val="70307DBC"/>
    <w:rsid w:val="70311EB7"/>
    <w:rsid w:val="70325E82"/>
    <w:rsid w:val="703275D8"/>
    <w:rsid w:val="703522E0"/>
    <w:rsid w:val="703977F5"/>
    <w:rsid w:val="703A6FBE"/>
    <w:rsid w:val="703C2DB9"/>
    <w:rsid w:val="70460385"/>
    <w:rsid w:val="70465819"/>
    <w:rsid w:val="70495453"/>
    <w:rsid w:val="704966E3"/>
    <w:rsid w:val="704A79FD"/>
    <w:rsid w:val="704A7C2A"/>
    <w:rsid w:val="704C7282"/>
    <w:rsid w:val="704E4B8C"/>
    <w:rsid w:val="70522B3A"/>
    <w:rsid w:val="705257CF"/>
    <w:rsid w:val="7053007F"/>
    <w:rsid w:val="705512D7"/>
    <w:rsid w:val="70556837"/>
    <w:rsid w:val="70572BC6"/>
    <w:rsid w:val="70585696"/>
    <w:rsid w:val="705935F5"/>
    <w:rsid w:val="70626216"/>
    <w:rsid w:val="7064788B"/>
    <w:rsid w:val="70651B61"/>
    <w:rsid w:val="706670FB"/>
    <w:rsid w:val="70676CF7"/>
    <w:rsid w:val="706915A2"/>
    <w:rsid w:val="706B6E8D"/>
    <w:rsid w:val="706C1141"/>
    <w:rsid w:val="70761FC0"/>
    <w:rsid w:val="70812E3F"/>
    <w:rsid w:val="708244C1"/>
    <w:rsid w:val="70827064"/>
    <w:rsid w:val="708376DE"/>
    <w:rsid w:val="7084648B"/>
    <w:rsid w:val="7089592B"/>
    <w:rsid w:val="70897BFE"/>
    <w:rsid w:val="708A49EB"/>
    <w:rsid w:val="708B7819"/>
    <w:rsid w:val="708D0410"/>
    <w:rsid w:val="708E2919"/>
    <w:rsid w:val="70943F4A"/>
    <w:rsid w:val="70950889"/>
    <w:rsid w:val="70962F46"/>
    <w:rsid w:val="70964C48"/>
    <w:rsid w:val="709740B3"/>
    <w:rsid w:val="70981F36"/>
    <w:rsid w:val="709C24CA"/>
    <w:rsid w:val="709E027A"/>
    <w:rsid w:val="709F3565"/>
    <w:rsid w:val="70A21665"/>
    <w:rsid w:val="70A518F6"/>
    <w:rsid w:val="70A55D29"/>
    <w:rsid w:val="70A64022"/>
    <w:rsid w:val="70A64E2F"/>
    <w:rsid w:val="70B00AAA"/>
    <w:rsid w:val="70B46AFA"/>
    <w:rsid w:val="70B54896"/>
    <w:rsid w:val="70B8521D"/>
    <w:rsid w:val="70C25CC9"/>
    <w:rsid w:val="70C42D2B"/>
    <w:rsid w:val="70C51073"/>
    <w:rsid w:val="70C66AA3"/>
    <w:rsid w:val="70C66B1E"/>
    <w:rsid w:val="70C71C78"/>
    <w:rsid w:val="70C97302"/>
    <w:rsid w:val="70CD5A04"/>
    <w:rsid w:val="70D0347E"/>
    <w:rsid w:val="70D07922"/>
    <w:rsid w:val="70D108E6"/>
    <w:rsid w:val="70D45F8B"/>
    <w:rsid w:val="70D51DAC"/>
    <w:rsid w:val="70D51E30"/>
    <w:rsid w:val="70DC6567"/>
    <w:rsid w:val="70DD1A5F"/>
    <w:rsid w:val="70E03B10"/>
    <w:rsid w:val="70E04927"/>
    <w:rsid w:val="70E52A21"/>
    <w:rsid w:val="70E8294D"/>
    <w:rsid w:val="70EB098D"/>
    <w:rsid w:val="70EC0E10"/>
    <w:rsid w:val="70EC76D6"/>
    <w:rsid w:val="70F03029"/>
    <w:rsid w:val="70F07A7D"/>
    <w:rsid w:val="70F17F27"/>
    <w:rsid w:val="70F21646"/>
    <w:rsid w:val="70F233EB"/>
    <w:rsid w:val="70F63450"/>
    <w:rsid w:val="70F6405B"/>
    <w:rsid w:val="70F93997"/>
    <w:rsid w:val="71032163"/>
    <w:rsid w:val="71062862"/>
    <w:rsid w:val="71094FDD"/>
    <w:rsid w:val="710C778A"/>
    <w:rsid w:val="71120272"/>
    <w:rsid w:val="71123A97"/>
    <w:rsid w:val="711241AD"/>
    <w:rsid w:val="7113156F"/>
    <w:rsid w:val="71150C5E"/>
    <w:rsid w:val="7116284A"/>
    <w:rsid w:val="711654AE"/>
    <w:rsid w:val="71172549"/>
    <w:rsid w:val="71186432"/>
    <w:rsid w:val="711A10A6"/>
    <w:rsid w:val="711A294B"/>
    <w:rsid w:val="71207D60"/>
    <w:rsid w:val="7124712B"/>
    <w:rsid w:val="71281515"/>
    <w:rsid w:val="71293D0F"/>
    <w:rsid w:val="712B30CE"/>
    <w:rsid w:val="712C6B6C"/>
    <w:rsid w:val="712D36E7"/>
    <w:rsid w:val="71325ADA"/>
    <w:rsid w:val="71325B8C"/>
    <w:rsid w:val="71345330"/>
    <w:rsid w:val="71384D7B"/>
    <w:rsid w:val="713C5DA8"/>
    <w:rsid w:val="713D7836"/>
    <w:rsid w:val="713E10D4"/>
    <w:rsid w:val="713F229B"/>
    <w:rsid w:val="71405507"/>
    <w:rsid w:val="7142646D"/>
    <w:rsid w:val="71431472"/>
    <w:rsid w:val="71453DC6"/>
    <w:rsid w:val="714551B0"/>
    <w:rsid w:val="71461992"/>
    <w:rsid w:val="714A1482"/>
    <w:rsid w:val="714A2340"/>
    <w:rsid w:val="714C528C"/>
    <w:rsid w:val="715444CC"/>
    <w:rsid w:val="7157231D"/>
    <w:rsid w:val="715E6CDC"/>
    <w:rsid w:val="71630005"/>
    <w:rsid w:val="71643E4D"/>
    <w:rsid w:val="716646DD"/>
    <w:rsid w:val="716C1333"/>
    <w:rsid w:val="716E78EE"/>
    <w:rsid w:val="71730B0F"/>
    <w:rsid w:val="717802CC"/>
    <w:rsid w:val="717804FA"/>
    <w:rsid w:val="717920B2"/>
    <w:rsid w:val="717F128E"/>
    <w:rsid w:val="71801131"/>
    <w:rsid w:val="71826496"/>
    <w:rsid w:val="71855190"/>
    <w:rsid w:val="71855821"/>
    <w:rsid w:val="71867FE1"/>
    <w:rsid w:val="7188160E"/>
    <w:rsid w:val="718A62D9"/>
    <w:rsid w:val="718B3849"/>
    <w:rsid w:val="718D136F"/>
    <w:rsid w:val="718E4C5A"/>
    <w:rsid w:val="71987625"/>
    <w:rsid w:val="71997D14"/>
    <w:rsid w:val="71A14E1B"/>
    <w:rsid w:val="71A32941"/>
    <w:rsid w:val="71A33B87"/>
    <w:rsid w:val="71A47B31"/>
    <w:rsid w:val="71A550F7"/>
    <w:rsid w:val="71A5632E"/>
    <w:rsid w:val="71A60B83"/>
    <w:rsid w:val="71A75801"/>
    <w:rsid w:val="71A97CCA"/>
    <w:rsid w:val="71AC37DB"/>
    <w:rsid w:val="71AE2B03"/>
    <w:rsid w:val="71B521B3"/>
    <w:rsid w:val="71B57750"/>
    <w:rsid w:val="71BB16F0"/>
    <w:rsid w:val="71BB7F57"/>
    <w:rsid w:val="71BE1062"/>
    <w:rsid w:val="71BE6120"/>
    <w:rsid w:val="71C1491C"/>
    <w:rsid w:val="71C34D91"/>
    <w:rsid w:val="71C52B3F"/>
    <w:rsid w:val="71C8684B"/>
    <w:rsid w:val="71C91239"/>
    <w:rsid w:val="71CA154A"/>
    <w:rsid w:val="71CA26BC"/>
    <w:rsid w:val="71CD2A60"/>
    <w:rsid w:val="71CD555E"/>
    <w:rsid w:val="71CE6D52"/>
    <w:rsid w:val="71CF3736"/>
    <w:rsid w:val="71D23226"/>
    <w:rsid w:val="71D71326"/>
    <w:rsid w:val="71D965E5"/>
    <w:rsid w:val="71DF1AC3"/>
    <w:rsid w:val="71E12237"/>
    <w:rsid w:val="71E402B6"/>
    <w:rsid w:val="71E7423F"/>
    <w:rsid w:val="71E80D02"/>
    <w:rsid w:val="71E84BC0"/>
    <w:rsid w:val="71E95746"/>
    <w:rsid w:val="71E960E9"/>
    <w:rsid w:val="71EA783E"/>
    <w:rsid w:val="71EC6F19"/>
    <w:rsid w:val="71EE7DA5"/>
    <w:rsid w:val="71F11A6D"/>
    <w:rsid w:val="71F15DA2"/>
    <w:rsid w:val="71F47632"/>
    <w:rsid w:val="71F57FBF"/>
    <w:rsid w:val="71F8046C"/>
    <w:rsid w:val="71F83CC2"/>
    <w:rsid w:val="71F91A60"/>
    <w:rsid w:val="71FC5E9A"/>
    <w:rsid w:val="71FD5F42"/>
    <w:rsid w:val="720065A4"/>
    <w:rsid w:val="72012219"/>
    <w:rsid w:val="72021D5D"/>
    <w:rsid w:val="720324D4"/>
    <w:rsid w:val="72035580"/>
    <w:rsid w:val="720930EC"/>
    <w:rsid w:val="720A7F73"/>
    <w:rsid w:val="720B7CDC"/>
    <w:rsid w:val="720E0702"/>
    <w:rsid w:val="72120EB3"/>
    <w:rsid w:val="721661A3"/>
    <w:rsid w:val="721728AC"/>
    <w:rsid w:val="721836C2"/>
    <w:rsid w:val="721A2752"/>
    <w:rsid w:val="721A4068"/>
    <w:rsid w:val="721D4D44"/>
    <w:rsid w:val="721D6562"/>
    <w:rsid w:val="721F0505"/>
    <w:rsid w:val="721F290F"/>
    <w:rsid w:val="72200435"/>
    <w:rsid w:val="72213DE3"/>
    <w:rsid w:val="72253C9E"/>
    <w:rsid w:val="722D47F9"/>
    <w:rsid w:val="722D5198"/>
    <w:rsid w:val="72324A62"/>
    <w:rsid w:val="723251C5"/>
    <w:rsid w:val="723308C5"/>
    <w:rsid w:val="72352722"/>
    <w:rsid w:val="723953C3"/>
    <w:rsid w:val="72406FD7"/>
    <w:rsid w:val="7242590A"/>
    <w:rsid w:val="72440855"/>
    <w:rsid w:val="724551DE"/>
    <w:rsid w:val="724C64E6"/>
    <w:rsid w:val="724D6C0D"/>
    <w:rsid w:val="724F3973"/>
    <w:rsid w:val="725055FD"/>
    <w:rsid w:val="7252339E"/>
    <w:rsid w:val="725400CE"/>
    <w:rsid w:val="72563E57"/>
    <w:rsid w:val="72596459"/>
    <w:rsid w:val="725D4628"/>
    <w:rsid w:val="725D7774"/>
    <w:rsid w:val="725F2CF0"/>
    <w:rsid w:val="72606729"/>
    <w:rsid w:val="72607A0C"/>
    <w:rsid w:val="72662C66"/>
    <w:rsid w:val="726A16B0"/>
    <w:rsid w:val="726A7902"/>
    <w:rsid w:val="726E605C"/>
    <w:rsid w:val="72700166"/>
    <w:rsid w:val="727226CC"/>
    <w:rsid w:val="72753DE5"/>
    <w:rsid w:val="72755C3D"/>
    <w:rsid w:val="727C41A2"/>
    <w:rsid w:val="727D25C8"/>
    <w:rsid w:val="727F77BA"/>
    <w:rsid w:val="727F7F9E"/>
    <w:rsid w:val="72807126"/>
    <w:rsid w:val="728569FE"/>
    <w:rsid w:val="7288525F"/>
    <w:rsid w:val="728B3524"/>
    <w:rsid w:val="728C7879"/>
    <w:rsid w:val="72963D97"/>
    <w:rsid w:val="72971B0F"/>
    <w:rsid w:val="72983FB9"/>
    <w:rsid w:val="7298621E"/>
    <w:rsid w:val="72997AD3"/>
    <w:rsid w:val="729F6CFF"/>
    <w:rsid w:val="72A1555D"/>
    <w:rsid w:val="72A33140"/>
    <w:rsid w:val="72A42B58"/>
    <w:rsid w:val="72A66F9E"/>
    <w:rsid w:val="72A74D1D"/>
    <w:rsid w:val="72AC1CC9"/>
    <w:rsid w:val="72AC75B3"/>
    <w:rsid w:val="72B0278C"/>
    <w:rsid w:val="72B64983"/>
    <w:rsid w:val="72B765B8"/>
    <w:rsid w:val="72B90857"/>
    <w:rsid w:val="72BA6194"/>
    <w:rsid w:val="72BD382B"/>
    <w:rsid w:val="72C214EC"/>
    <w:rsid w:val="72C26885"/>
    <w:rsid w:val="72C47C6E"/>
    <w:rsid w:val="72C74A3D"/>
    <w:rsid w:val="72C859A8"/>
    <w:rsid w:val="72CB6327"/>
    <w:rsid w:val="72CE7E91"/>
    <w:rsid w:val="72D10C83"/>
    <w:rsid w:val="72D13425"/>
    <w:rsid w:val="72D45781"/>
    <w:rsid w:val="72D66B06"/>
    <w:rsid w:val="72D72DA9"/>
    <w:rsid w:val="72D87A50"/>
    <w:rsid w:val="72D97AB4"/>
    <w:rsid w:val="72DB38F8"/>
    <w:rsid w:val="72DD2049"/>
    <w:rsid w:val="72DE1A2C"/>
    <w:rsid w:val="72DE6C5E"/>
    <w:rsid w:val="72E15E16"/>
    <w:rsid w:val="72E4292B"/>
    <w:rsid w:val="72E6253F"/>
    <w:rsid w:val="72E7768F"/>
    <w:rsid w:val="72E86029"/>
    <w:rsid w:val="72E96C29"/>
    <w:rsid w:val="72EA3AFD"/>
    <w:rsid w:val="72EB4B5E"/>
    <w:rsid w:val="72EF5E2A"/>
    <w:rsid w:val="72F12676"/>
    <w:rsid w:val="72F457C5"/>
    <w:rsid w:val="72FA4354"/>
    <w:rsid w:val="72FB7871"/>
    <w:rsid w:val="72FC75EE"/>
    <w:rsid w:val="73007857"/>
    <w:rsid w:val="73045E18"/>
    <w:rsid w:val="73054EDC"/>
    <w:rsid w:val="73067138"/>
    <w:rsid w:val="730724BE"/>
    <w:rsid w:val="73076568"/>
    <w:rsid w:val="730C5D2A"/>
    <w:rsid w:val="730E05B0"/>
    <w:rsid w:val="730E4732"/>
    <w:rsid w:val="730F6AA2"/>
    <w:rsid w:val="7310692C"/>
    <w:rsid w:val="73133B24"/>
    <w:rsid w:val="7314346D"/>
    <w:rsid w:val="73144E0F"/>
    <w:rsid w:val="73170220"/>
    <w:rsid w:val="73171ABB"/>
    <w:rsid w:val="731B277F"/>
    <w:rsid w:val="731D5CA5"/>
    <w:rsid w:val="73203D0A"/>
    <w:rsid w:val="73217FC1"/>
    <w:rsid w:val="73221500"/>
    <w:rsid w:val="73221F8B"/>
    <w:rsid w:val="73235C6B"/>
    <w:rsid w:val="73286430"/>
    <w:rsid w:val="732B67A4"/>
    <w:rsid w:val="732D5122"/>
    <w:rsid w:val="732F4F57"/>
    <w:rsid w:val="73317C2B"/>
    <w:rsid w:val="73337CF4"/>
    <w:rsid w:val="733561B9"/>
    <w:rsid w:val="733822AD"/>
    <w:rsid w:val="733A6F36"/>
    <w:rsid w:val="733B181B"/>
    <w:rsid w:val="733D714D"/>
    <w:rsid w:val="733F0D8F"/>
    <w:rsid w:val="734035B1"/>
    <w:rsid w:val="734270F6"/>
    <w:rsid w:val="734635F5"/>
    <w:rsid w:val="734C5BFD"/>
    <w:rsid w:val="734E32AD"/>
    <w:rsid w:val="734F400C"/>
    <w:rsid w:val="734F5F56"/>
    <w:rsid w:val="73510A90"/>
    <w:rsid w:val="7354438F"/>
    <w:rsid w:val="73552361"/>
    <w:rsid w:val="73553A72"/>
    <w:rsid w:val="7355539D"/>
    <w:rsid w:val="735754B8"/>
    <w:rsid w:val="735801E9"/>
    <w:rsid w:val="7358061E"/>
    <w:rsid w:val="7359621F"/>
    <w:rsid w:val="735B10E7"/>
    <w:rsid w:val="735C36AA"/>
    <w:rsid w:val="735E1BBA"/>
    <w:rsid w:val="73606F14"/>
    <w:rsid w:val="736305DA"/>
    <w:rsid w:val="73660D0B"/>
    <w:rsid w:val="7369244E"/>
    <w:rsid w:val="736B7E9D"/>
    <w:rsid w:val="736D76AA"/>
    <w:rsid w:val="736E4391"/>
    <w:rsid w:val="736F0761"/>
    <w:rsid w:val="73716F28"/>
    <w:rsid w:val="73743296"/>
    <w:rsid w:val="73746080"/>
    <w:rsid w:val="73763BC2"/>
    <w:rsid w:val="7376564B"/>
    <w:rsid w:val="73775CA4"/>
    <w:rsid w:val="73781E2A"/>
    <w:rsid w:val="737D1E68"/>
    <w:rsid w:val="737E7C7F"/>
    <w:rsid w:val="73853246"/>
    <w:rsid w:val="738675B5"/>
    <w:rsid w:val="73873AF8"/>
    <w:rsid w:val="73881D83"/>
    <w:rsid w:val="738844E4"/>
    <w:rsid w:val="73887A9A"/>
    <w:rsid w:val="738D0004"/>
    <w:rsid w:val="738E342D"/>
    <w:rsid w:val="73956B53"/>
    <w:rsid w:val="739850E4"/>
    <w:rsid w:val="73985C21"/>
    <w:rsid w:val="739A13E8"/>
    <w:rsid w:val="739B53E3"/>
    <w:rsid w:val="739C0A51"/>
    <w:rsid w:val="739E1612"/>
    <w:rsid w:val="739E1901"/>
    <w:rsid w:val="739E28D4"/>
    <w:rsid w:val="73A114F5"/>
    <w:rsid w:val="73A24759"/>
    <w:rsid w:val="73A348D8"/>
    <w:rsid w:val="73A4403C"/>
    <w:rsid w:val="73A55AC9"/>
    <w:rsid w:val="73A64794"/>
    <w:rsid w:val="73A778FD"/>
    <w:rsid w:val="73AA1422"/>
    <w:rsid w:val="73AA1BD1"/>
    <w:rsid w:val="73AB76C7"/>
    <w:rsid w:val="73AD0DC4"/>
    <w:rsid w:val="73AE5642"/>
    <w:rsid w:val="73B048FC"/>
    <w:rsid w:val="73B52AE3"/>
    <w:rsid w:val="73B54BAD"/>
    <w:rsid w:val="73B62AC1"/>
    <w:rsid w:val="73B67AE2"/>
    <w:rsid w:val="73B93EE5"/>
    <w:rsid w:val="73B97203"/>
    <w:rsid w:val="73BA6F6A"/>
    <w:rsid w:val="73C346FD"/>
    <w:rsid w:val="73C70E07"/>
    <w:rsid w:val="73C72F6F"/>
    <w:rsid w:val="73C80804"/>
    <w:rsid w:val="73CA3945"/>
    <w:rsid w:val="73CE5521"/>
    <w:rsid w:val="73D15D1A"/>
    <w:rsid w:val="73D346B5"/>
    <w:rsid w:val="73D4694A"/>
    <w:rsid w:val="73D62E13"/>
    <w:rsid w:val="73D943FA"/>
    <w:rsid w:val="73DB45D5"/>
    <w:rsid w:val="73DF0290"/>
    <w:rsid w:val="73E01CD1"/>
    <w:rsid w:val="73E03BDE"/>
    <w:rsid w:val="73E212B8"/>
    <w:rsid w:val="73E223A7"/>
    <w:rsid w:val="73E334C8"/>
    <w:rsid w:val="73E400F6"/>
    <w:rsid w:val="73E422FE"/>
    <w:rsid w:val="73E616A4"/>
    <w:rsid w:val="73E75676"/>
    <w:rsid w:val="73ED3905"/>
    <w:rsid w:val="73EF262F"/>
    <w:rsid w:val="73EF6311"/>
    <w:rsid w:val="73F0237B"/>
    <w:rsid w:val="73F1142D"/>
    <w:rsid w:val="73F11CB1"/>
    <w:rsid w:val="73F2195D"/>
    <w:rsid w:val="73F32557"/>
    <w:rsid w:val="73F63871"/>
    <w:rsid w:val="73F751C6"/>
    <w:rsid w:val="73FA31A0"/>
    <w:rsid w:val="73FB1E5F"/>
    <w:rsid w:val="74035919"/>
    <w:rsid w:val="74051876"/>
    <w:rsid w:val="74081892"/>
    <w:rsid w:val="740A4EF9"/>
    <w:rsid w:val="740B57E2"/>
    <w:rsid w:val="740E49EC"/>
    <w:rsid w:val="740F5903"/>
    <w:rsid w:val="74100036"/>
    <w:rsid w:val="74103E0A"/>
    <w:rsid w:val="74185868"/>
    <w:rsid w:val="741B0798"/>
    <w:rsid w:val="741F27CA"/>
    <w:rsid w:val="7422193C"/>
    <w:rsid w:val="742417EC"/>
    <w:rsid w:val="7427267D"/>
    <w:rsid w:val="74275340"/>
    <w:rsid w:val="742961E1"/>
    <w:rsid w:val="742B7999"/>
    <w:rsid w:val="742C1A50"/>
    <w:rsid w:val="742D7484"/>
    <w:rsid w:val="743006D3"/>
    <w:rsid w:val="74307638"/>
    <w:rsid w:val="743164A4"/>
    <w:rsid w:val="74343D24"/>
    <w:rsid w:val="74346672"/>
    <w:rsid w:val="74362367"/>
    <w:rsid w:val="7438568C"/>
    <w:rsid w:val="743A0466"/>
    <w:rsid w:val="743D2183"/>
    <w:rsid w:val="74440A3A"/>
    <w:rsid w:val="74487B04"/>
    <w:rsid w:val="744C482A"/>
    <w:rsid w:val="744F0B5E"/>
    <w:rsid w:val="744F44CB"/>
    <w:rsid w:val="74512B28"/>
    <w:rsid w:val="74512B82"/>
    <w:rsid w:val="74534AF2"/>
    <w:rsid w:val="74620C32"/>
    <w:rsid w:val="74623B89"/>
    <w:rsid w:val="74624D35"/>
    <w:rsid w:val="74634609"/>
    <w:rsid w:val="74637F1A"/>
    <w:rsid w:val="74646906"/>
    <w:rsid w:val="746639EF"/>
    <w:rsid w:val="7466689A"/>
    <w:rsid w:val="74675552"/>
    <w:rsid w:val="746960C4"/>
    <w:rsid w:val="746C7BF2"/>
    <w:rsid w:val="746F4078"/>
    <w:rsid w:val="746F7452"/>
    <w:rsid w:val="74755CD9"/>
    <w:rsid w:val="747C5F8C"/>
    <w:rsid w:val="747D2327"/>
    <w:rsid w:val="747E1443"/>
    <w:rsid w:val="7480340D"/>
    <w:rsid w:val="74832F17"/>
    <w:rsid w:val="7484275B"/>
    <w:rsid w:val="74844CAB"/>
    <w:rsid w:val="748517A8"/>
    <w:rsid w:val="74866CC7"/>
    <w:rsid w:val="74882FCE"/>
    <w:rsid w:val="748E30C9"/>
    <w:rsid w:val="748E3538"/>
    <w:rsid w:val="748F3650"/>
    <w:rsid w:val="749434A6"/>
    <w:rsid w:val="7495365F"/>
    <w:rsid w:val="749618E8"/>
    <w:rsid w:val="74966E26"/>
    <w:rsid w:val="749D0A29"/>
    <w:rsid w:val="74A0243F"/>
    <w:rsid w:val="74A2664A"/>
    <w:rsid w:val="74A37BCD"/>
    <w:rsid w:val="74A57F4E"/>
    <w:rsid w:val="74A721A4"/>
    <w:rsid w:val="74A85D95"/>
    <w:rsid w:val="74A964C0"/>
    <w:rsid w:val="74AA048A"/>
    <w:rsid w:val="74AE1D28"/>
    <w:rsid w:val="74AF00B7"/>
    <w:rsid w:val="74AF70D9"/>
    <w:rsid w:val="74B11683"/>
    <w:rsid w:val="74B11819"/>
    <w:rsid w:val="74B35591"/>
    <w:rsid w:val="74B50428"/>
    <w:rsid w:val="74B5540C"/>
    <w:rsid w:val="74B60BDD"/>
    <w:rsid w:val="74B66762"/>
    <w:rsid w:val="74B91D73"/>
    <w:rsid w:val="74BA27B1"/>
    <w:rsid w:val="74BB50A3"/>
    <w:rsid w:val="74BD0FA0"/>
    <w:rsid w:val="74BD6E6A"/>
    <w:rsid w:val="74BF3CF7"/>
    <w:rsid w:val="74C56D6A"/>
    <w:rsid w:val="74C61EE0"/>
    <w:rsid w:val="74C63F7D"/>
    <w:rsid w:val="74C6415A"/>
    <w:rsid w:val="74C652C4"/>
    <w:rsid w:val="74C6729E"/>
    <w:rsid w:val="74C80AB8"/>
    <w:rsid w:val="74CD0B7E"/>
    <w:rsid w:val="74CD1997"/>
    <w:rsid w:val="74D467B4"/>
    <w:rsid w:val="74D65F6A"/>
    <w:rsid w:val="74D737B4"/>
    <w:rsid w:val="74D92EAB"/>
    <w:rsid w:val="74DB6A9F"/>
    <w:rsid w:val="74DC0B46"/>
    <w:rsid w:val="74DC6B4B"/>
    <w:rsid w:val="74DD3B22"/>
    <w:rsid w:val="74DD5F11"/>
    <w:rsid w:val="74DF2CE2"/>
    <w:rsid w:val="74E03A67"/>
    <w:rsid w:val="74E07442"/>
    <w:rsid w:val="74E32A13"/>
    <w:rsid w:val="74E33682"/>
    <w:rsid w:val="74E514C2"/>
    <w:rsid w:val="74E7348C"/>
    <w:rsid w:val="74E954B5"/>
    <w:rsid w:val="74E965AE"/>
    <w:rsid w:val="74EC2DFC"/>
    <w:rsid w:val="74EC6970"/>
    <w:rsid w:val="74EE47EA"/>
    <w:rsid w:val="74F040EF"/>
    <w:rsid w:val="74F26891"/>
    <w:rsid w:val="74F360E5"/>
    <w:rsid w:val="74F62A91"/>
    <w:rsid w:val="74F811F5"/>
    <w:rsid w:val="74F85C15"/>
    <w:rsid w:val="74F87553"/>
    <w:rsid w:val="74FD61A4"/>
    <w:rsid w:val="74FE7731"/>
    <w:rsid w:val="75047AD1"/>
    <w:rsid w:val="7506180B"/>
    <w:rsid w:val="750670C1"/>
    <w:rsid w:val="750877EE"/>
    <w:rsid w:val="750B0F29"/>
    <w:rsid w:val="750C3049"/>
    <w:rsid w:val="750D68EF"/>
    <w:rsid w:val="75122299"/>
    <w:rsid w:val="7513602F"/>
    <w:rsid w:val="75137DDD"/>
    <w:rsid w:val="751574ED"/>
    <w:rsid w:val="75186B30"/>
    <w:rsid w:val="751A2497"/>
    <w:rsid w:val="751C574D"/>
    <w:rsid w:val="751E4FC1"/>
    <w:rsid w:val="75204F58"/>
    <w:rsid w:val="75222C20"/>
    <w:rsid w:val="75254E90"/>
    <w:rsid w:val="75271A80"/>
    <w:rsid w:val="752A64AA"/>
    <w:rsid w:val="752C6D65"/>
    <w:rsid w:val="752D5343"/>
    <w:rsid w:val="752E2E69"/>
    <w:rsid w:val="75303555"/>
    <w:rsid w:val="75324707"/>
    <w:rsid w:val="75370D20"/>
    <w:rsid w:val="75377CA6"/>
    <w:rsid w:val="75392043"/>
    <w:rsid w:val="753A180E"/>
    <w:rsid w:val="753C36FE"/>
    <w:rsid w:val="753C7130"/>
    <w:rsid w:val="753C71E8"/>
    <w:rsid w:val="753F01C9"/>
    <w:rsid w:val="7541494A"/>
    <w:rsid w:val="75414E2E"/>
    <w:rsid w:val="754211E6"/>
    <w:rsid w:val="75435F0B"/>
    <w:rsid w:val="75473B02"/>
    <w:rsid w:val="75483F2B"/>
    <w:rsid w:val="75496169"/>
    <w:rsid w:val="754A3AD5"/>
    <w:rsid w:val="754B7577"/>
    <w:rsid w:val="755040D4"/>
    <w:rsid w:val="75535620"/>
    <w:rsid w:val="7554252E"/>
    <w:rsid w:val="7559387A"/>
    <w:rsid w:val="755A323A"/>
    <w:rsid w:val="755F0521"/>
    <w:rsid w:val="75606B68"/>
    <w:rsid w:val="756856C2"/>
    <w:rsid w:val="756A4F5D"/>
    <w:rsid w:val="756D165C"/>
    <w:rsid w:val="756D1BE3"/>
    <w:rsid w:val="75714EA8"/>
    <w:rsid w:val="75734D20"/>
    <w:rsid w:val="757727AE"/>
    <w:rsid w:val="75781356"/>
    <w:rsid w:val="75792B53"/>
    <w:rsid w:val="757955DC"/>
    <w:rsid w:val="757C2328"/>
    <w:rsid w:val="75816281"/>
    <w:rsid w:val="75884DE9"/>
    <w:rsid w:val="758E21BD"/>
    <w:rsid w:val="758E56B6"/>
    <w:rsid w:val="75914176"/>
    <w:rsid w:val="75915B3B"/>
    <w:rsid w:val="75950A24"/>
    <w:rsid w:val="759727BC"/>
    <w:rsid w:val="75992562"/>
    <w:rsid w:val="759C3A3A"/>
    <w:rsid w:val="75A072D0"/>
    <w:rsid w:val="75A63ED8"/>
    <w:rsid w:val="75A73F22"/>
    <w:rsid w:val="75AC22EC"/>
    <w:rsid w:val="75B0176A"/>
    <w:rsid w:val="75B074A3"/>
    <w:rsid w:val="75B271A0"/>
    <w:rsid w:val="75B551F1"/>
    <w:rsid w:val="75B92092"/>
    <w:rsid w:val="75BA0FDC"/>
    <w:rsid w:val="75BA6D25"/>
    <w:rsid w:val="75BE43D9"/>
    <w:rsid w:val="75C13CDD"/>
    <w:rsid w:val="75C45AFE"/>
    <w:rsid w:val="75C913B8"/>
    <w:rsid w:val="75CA4D08"/>
    <w:rsid w:val="75CD1D63"/>
    <w:rsid w:val="75CE3D78"/>
    <w:rsid w:val="75CF4FA6"/>
    <w:rsid w:val="75D82E83"/>
    <w:rsid w:val="75DA01D2"/>
    <w:rsid w:val="75DC1A57"/>
    <w:rsid w:val="75DC4673"/>
    <w:rsid w:val="75E31BBD"/>
    <w:rsid w:val="75E35E0E"/>
    <w:rsid w:val="75E44568"/>
    <w:rsid w:val="75E4520A"/>
    <w:rsid w:val="75E812A6"/>
    <w:rsid w:val="75E85738"/>
    <w:rsid w:val="75E953FF"/>
    <w:rsid w:val="75EC0C15"/>
    <w:rsid w:val="75EE4750"/>
    <w:rsid w:val="75EF7A3B"/>
    <w:rsid w:val="75F0011F"/>
    <w:rsid w:val="75F172B1"/>
    <w:rsid w:val="75F34009"/>
    <w:rsid w:val="75F47896"/>
    <w:rsid w:val="75F66C28"/>
    <w:rsid w:val="75F66D43"/>
    <w:rsid w:val="75F7781F"/>
    <w:rsid w:val="75F778FF"/>
    <w:rsid w:val="75FD02A7"/>
    <w:rsid w:val="760015EB"/>
    <w:rsid w:val="76054785"/>
    <w:rsid w:val="7607269A"/>
    <w:rsid w:val="760A7C5D"/>
    <w:rsid w:val="760C4DB2"/>
    <w:rsid w:val="760D6F22"/>
    <w:rsid w:val="76114C42"/>
    <w:rsid w:val="76150AEA"/>
    <w:rsid w:val="76177B6A"/>
    <w:rsid w:val="76187666"/>
    <w:rsid w:val="76214970"/>
    <w:rsid w:val="762209FE"/>
    <w:rsid w:val="76224B19"/>
    <w:rsid w:val="762766C9"/>
    <w:rsid w:val="76277EFA"/>
    <w:rsid w:val="76281AC6"/>
    <w:rsid w:val="762B4A47"/>
    <w:rsid w:val="762E031F"/>
    <w:rsid w:val="763044F2"/>
    <w:rsid w:val="76363D7A"/>
    <w:rsid w:val="76395BD6"/>
    <w:rsid w:val="763A5A2E"/>
    <w:rsid w:val="763B7EA7"/>
    <w:rsid w:val="763D33F7"/>
    <w:rsid w:val="764206AB"/>
    <w:rsid w:val="76432944"/>
    <w:rsid w:val="76443835"/>
    <w:rsid w:val="764576B9"/>
    <w:rsid w:val="76483BB7"/>
    <w:rsid w:val="764B53A1"/>
    <w:rsid w:val="764B630F"/>
    <w:rsid w:val="764D5571"/>
    <w:rsid w:val="764E3729"/>
    <w:rsid w:val="76505E20"/>
    <w:rsid w:val="765112C2"/>
    <w:rsid w:val="76525402"/>
    <w:rsid w:val="76533A1C"/>
    <w:rsid w:val="76571FEE"/>
    <w:rsid w:val="76572FEF"/>
    <w:rsid w:val="76576AFC"/>
    <w:rsid w:val="765B4ACC"/>
    <w:rsid w:val="765C6B0F"/>
    <w:rsid w:val="76615595"/>
    <w:rsid w:val="766251F7"/>
    <w:rsid w:val="76665A38"/>
    <w:rsid w:val="76666CEB"/>
    <w:rsid w:val="766C5B58"/>
    <w:rsid w:val="766C643D"/>
    <w:rsid w:val="766D6F83"/>
    <w:rsid w:val="766E0324"/>
    <w:rsid w:val="767174B1"/>
    <w:rsid w:val="76741388"/>
    <w:rsid w:val="767529EB"/>
    <w:rsid w:val="767651E6"/>
    <w:rsid w:val="767742A5"/>
    <w:rsid w:val="76790114"/>
    <w:rsid w:val="767A492C"/>
    <w:rsid w:val="767B3701"/>
    <w:rsid w:val="767D5E56"/>
    <w:rsid w:val="767D696B"/>
    <w:rsid w:val="768100EE"/>
    <w:rsid w:val="76817819"/>
    <w:rsid w:val="76827230"/>
    <w:rsid w:val="768A4892"/>
    <w:rsid w:val="768F69A4"/>
    <w:rsid w:val="76903EB6"/>
    <w:rsid w:val="769061A5"/>
    <w:rsid w:val="769130D9"/>
    <w:rsid w:val="76917763"/>
    <w:rsid w:val="769622F3"/>
    <w:rsid w:val="76965764"/>
    <w:rsid w:val="76980984"/>
    <w:rsid w:val="769C2DF2"/>
    <w:rsid w:val="769C7217"/>
    <w:rsid w:val="769D3CC1"/>
    <w:rsid w:val="76A0342E"/>
    <w:rsid w:val="76A449C2"/>
    <w:rsid w:val="76A84D0D"/>
    <w:rsid w:val="76A86BE7"/>
    <w:rsid w:val="76AC500B"/>
    <w:rsid w:val="76AC7239"/>
    <w:rsid w:val="76AE5D3E"/>
    <w:rsid w:val="76B02633"/>
    <w:rsid w:val="76B1326F"/>
    <w:rsid w:val="76B27A13"/>
    <w:rsid w:val="76B32500"/>
    <w:rsid w:val="76B3312A"/>
    <w:rsid w:val="76B57C16"/>
    <w:rsid w:val="76B57E6C"/>
    <w:rsid w:val="76BA1F50"/>
    <w:rsid w:val="76BB072D"/>
    <w:rsid w:val="76BE3B31"/>
    <w:rsid w:val="76BF5F6A"/>
    <w:rsid w:val="76C10199"/>
    <w:rsid w:val="76C36012"/>
    <w:rsid w:val="76C45833"/>
    <w:rsid w:val="76C47680"/>
    <w:rsid w:val="76C50B46"/>
    <w:rsid w:val="76C52C3F"/>
    <w:rsid w:val="76C55C58"/>
    <w:rsid w:val="76C5614F"/>
    <w:rsid w:val="76C92E49"/>
    <w:rsid w:val="76C94AFE"/>
    <w:rsid w:val="76CB25FC"/>
    <w:rsid w:val="76CB6DCE"/>
    <w:rsid w:val="76CE4585"/>
    <w:rsid w:val="76D33CC8"/>
    <w:rsid w:val="76D4359C"/>
    <w:rsid w:val="76D90CA2"/>
    <w:rsid w:val="76D973F4"/>
    <w:rsid w:val="76E02F28"/>
    <w:rsid w:val="76E638F6"/>
    <w:rsid w:val="76E934EC"/>
    <w:rsid w:val="76EA00FF"/>
    <w:rsid w:val="76EA1012"/>
    <w:rsid w:val="76EA3BD6"/>
    <w:rsid w:val="76EA4290"/>
    <w:rsid w:val="76EA64BB"/>
    <w:rsid w:val="76EB046B"/>
    <w:rsid w:val="76EB6051"/>
    <w:rsid w:val="76EC22A8"/>
    <w:rsid w:val="76EC6353"/>
    <w:rsid w:val="76EE1609"/>
    <w:rsid w:val="76F1105B"/>
    <w:rsid w:val="76F138B2"/>
    <w:rsid w:val="76F16A48"/>
    <w:rsid w:val="76F3654B"/>
    <w:rsid w:val="76F6432C"/>
    <w:rsid w:val="76F6685F"/>
    <w:rsid w:val="76F7659B"/>
    <w:rsid w:val="76FC450A"/>
    <w:rsid w:val="77005040"/>
    <w:rsid w:val="77020109"/>
    <w:rsid w:val="770976EA"/>
    <w:rsid w:val="7709790E"/>
    <w:rsid w:val="770C0F88"/>
    <w:rsid w:val="770F4460"/>
    <w:rsid w:val="770F46D8"/>
    <w:rsid w:val="77121571"/>
    <w:rsid w:val="77161E07"/>
    <w:rsid w:val="771764D0"/>
    <w:rsid w:val="77183DD1"/>
    <w:rsid w:val="771B1C48"/>
    <w:rsid w:val="771B2B3C"/>
    <w:rsid w:val="771C2E26"/>
    <w:rsid w:val="771F5FC8"/>
    <w:rsid w:val="7721446A"/>
    <w:rsid w:val="77247424"/>
    <w:rsid w:val="772868C8"/>
    <w:rsid w:val="772A0C8C"/>
    <w:rsid w:val="772B58B2"/>
    <w:rsid w:val="772C7143"/>
    <w:rsid w:val="7730376D"/>
    <w:rsid w:val="77337CA6"/>
    <w:rsid w:val="77356000"/>
    <w:rsid w:val="773B2198"/>
    <w:rsid w:val="773C7ABF"/>
    <w:rsid w:val="774050A4"/>
    <w:rsid w:val="77442C5E"/>
    <w:rsid w:val="77442D99"/>
    <w:rsid w:val="77474F19"/>
    <w:rsid w:val="774A0AA0"/>
    <w:rsid w:val="774A3CE0"/>
    <w:rsid w:val="774F27F1"/>
    <w:rsid w:val="774F742B"/>
    <w:rsid w:val="77501FC8"/>
    <w:rsid w:val="77516083"/>
    <w:rsid w:val="77545CF4"/>
    <w:rsid w:val="77590B09"/>
    <w:rsid w:val="775B5042"/>
    <w:rsid w:val="775D45CC"/>
    <w:rsid w:val="775D68E3"/>
    <w:rsid w:val="776526EF"/>
    <w:rsid w:val="776A2B50"/>
    <w:rsid w:val="776A4BC1"/>
    <w:rsid w:val="776A6714"/>
    <w:rsid w:val="776E3736"/>
    <w:rsid w:val="77702943"/>
    <w:rsid w:val="77720337"/>
    <w:rsid w:val="7775485B"/>
    <w:rsid w:val="7778058B"/>
    <w:rsid w:val="77782186"/>
    <w:rsid w:val="777831E3"/>
    <w:rsid w:val="777B0924"/>
    <w:rsid w:val="777B0C61"/>
    <w:rsid w:val="777D1E86"/>
    <w:rsid w:val="777D3D44"/>
    <w:rsid w:val="777E5BA0"/>
    <w:rsid w:val="7781497E"/>
    <w:rsid w:val="77822FF8"/>
    <w:rsid w:val="778A1780"/>
    <w:rsid w:val="778B0B99"/>
    <w:rsid w:val="778D7592"/>
    <w:rsid w:val="778E46F4"/>
    <w:rsid w:val="77933344"/>
    <w:rsid w:val="77935DDC"/>
    <w:rsid w:val="77947734"/>
    <w:rsid w:val="77985785"/>
    <w:rsid w:val="77987BBD"/>
    <w:rsid w:val="77A05719"/>
    <w:rsid w:val="77A330C7"/>
    <w:rsid w:val="77A57835"/>
    <w:rsid w:val="77A85155"/>
    <w:rsid w:val="77A90C4F"/>
    <w:rsid w:val="77AB7D22"/>
    <w:rsid w:val="77B168FC"/>
    <w:rsid w:val="77B86F29"/>
    <w:rsid w:val="77B87920"/>
    <w:rsid w:val="77B92EBE"/>
    <w:rsid w:val="77BA3B3C"/>
    <w:rsid w:val="77BB7C88"/>
    <w:rsid w:val="77BC475C"/>
    <w:rsid w:val="77C2709F"/>
    <w:rsid w:val="77C27642"/>
    <w:rsid w:val="77C37BE3"/>
    <w:rsid w:val="77C40E4A"/>
    <w:rsid w:val="77C76C79"/>
    <w:rsid w:val="77C93B8D"/>
    <w:rsid w:val="77CA0B19"/>
    <w:rsid w:val="77CB0E43"/>
    <w:rsid w:val="77CF24C9"/>
    <w:rsid w:val="77CF5BFC"/>
    <w:rsid w:val="77D01D36"/>
    <w:rsid w:val="77D2004B"/>
    <w:rsid w:val="77D465D8"/>
    <w:rsid w:val="77D724D2"/>
    <w:rsid w:val="77E00D8E"/>
    <w:rsid w:val="77E7615C"/>
    <w:rsid w:val="77EC404D"/>
    <w:rsid w:val="77F42148"/>
    <w:rsid w:val="77F55D78"/>
    <w:rsid w:val="77F57CEE"/>
    <w:rsid w:val="77F959B0"/>
    <w:rsid w:val="77FA6BC3"/>
    <w:rsid w:val="77FC23DF"/>
    <w:rsid w:val="77FD5E17"/>
    <w:rsid w:val="780178D9"/>
    <w:rsid w:val="78070232"/>
    <w:rsid w:val="7808174F"/>
    <w:rsid w:val="780848DB"/>
    <w:rsid w:val="780D320A"/>
    <w:rsid w:val="780D5D16"/>
    <w:rsid w:val="780E55FF"/>
    <w:rsid w:val="78103B19"/>
    <w:rsid w:val="78153022"/>
    <w:rsid w:val="78153E6C"/>
    <w:rsid w:val="78191BAF"/>
    <w:rsid w:val="781A3E2B"/>
    <w:rsid w:val="781A76B7"/>
    <w:rsid w:val="782567A5"/>
    <w:rsid w:val="7827413F"/>
    <w:rsid w:val="782B1465"/>
    <w:rsid w:val="782F54A5"/>
    <w:rsid w:val="782F6799"/>
    <w:rsid w:val="78322C70"/>
    <w:rsid w:val="783A5239"/>
    <w:rsid w:val="783B5B16"/>
    <w:rsid w:val="783F0EE9"/>
    <w:rsid w:val="7844275F"/>
    <w:rsid w:val="78451B1A"/>
    <w:rsid w:val="78474AE0"/>
    <w:rsid w:val="784851F9"/>
    <w:rsid w:val="784939F7"/>
    <w:rsid w:val="78496E82"/>
    <w:rsid w:val="784A1D68"/>
    <w:rsid w:val="784A5EBD"/>
    <w:rsid w:val="784D3606"/>
    <w:rsid w:val="784F1A40"/>
    <w:rsid w:val="785008C9"/>
    <w:rsid w:val="7850375C"/>
    <w:rsid w:val="78532FC3"/>
    <w:rsid w:val="78534B6C"/>
    <w:rsid w:val="78545860"/>
    <w:rsid w:val="786122B9"/>
    <w:rsid w:val="78612553"/>
    <w:rsid w:val="78612958"/>
    <w:rsid w:val="78640127"/>
    <w:rsid w:val="786679AE"/>
    <w:rsid w:val="78685442"/>
    <w:rsid w:val="786A7120"/>
    <w:rsid w:val="786C436B"/>
    <w:rsid w:val="786F5952"/>
    <w:rsid w:val="786F5A58"/>
    <w:rsid w:val="78712028"/>
    <w:rsid w:val="78714100"/>
    <w:rsid w:val="78720888"/>
    <w:rsid w:val="78746DD4"/>
    <w:rsid w:val="7878394F"/>
    <w:rsid w:val="787839B6"/>
    <w:rsid w:val="787C7A05"/>
    <w:rsid w:val="787D4A1B"/>
    <w:rsid w:val="78832006"/>
    <w:rsid w:val="7883206A"/>
    <w:rsid w:val="788334CC"/>
    <w:rsid w:val="788400FD"/>
    <w:rsid w:val="78840639"/>
    <w:rsid w:val="78862194"/>
    <w:rsid w:val="78882A4F"/>
    <w:rsid w:val="788860C0"/>
    <w:rsid w:val="788906A9"/>
    <w:rsid w:val="7889092B"/>
    <w:rsid w:val="788952F2"/>
    <w:rsid w:val="788A7179"/>
    <w:rsid w:val="788D434B"/>
    <w:rsid w:val="789456D9"/>
    <w:rsid w:val="78946A2C"/>
    <w:rsid w:val="7896392E"/>
    <w:rsid w:val="7896555B"/>
    <w:rsid w:val="789905D3"/>
    <w:rsid w:val="78993DE2"/>
    <w:rsid w:val="789D4C91"/>
    <w:rsid w:val="78A21BA4"/>
    <w:rsid w:val="78A43B6E"/>
    <w:rsid w:val="78A551F0"/>
    <w:rsid w:val="78A771BA"/>
    <w:rsid w:val="78A87A19"/>
    <w:rsid w:val="78A93B94"/>
    <w:rsid w:val="78AA5D02"/>
    <w:rsid w:val="78AD486C"/>
    <w:rsid w:val="78AD7761"/>
    <w:rsid w:val="78AE2A84"/>
    <w:rsid w:val="78B3143B"/>
    <w:rsid w:val="78B547CC"/>
    <w:rsid w:val="78B64AE2"/>
    <w:rsid w:val="78B74F24"/>
    <w:rsid w:val="78B84D0E"/>
    <w:rsid w:val="78BA5ADC"/>
    <w:rsid w:val="78BB0EB8"/>
    <w:rsid w:val="78BC49E1"/>
    <w:rsid w:val="78BD5E66"/>
    <w:rsid w:val="78BF53BE"/>
    <w:rsid w:val="78BF5821"/>
    <w:rsid w:val="78C0123F"/>
    <w:rsid w:val="78C064CE"/>
    <w:rsid w:val="78C23706"/>
    <w:rsid w:val="78C43263"/>
    <w:rsid w:val="78C97416"/>
    <w:rsid w:val="78CC05E7"/>
    <w:rsid w:val="78CC1AE5"/>
    <w:rsid w:val="78CC37D6"/>
    <w:rsid w:val="78CE0F82"/>
    <w:rsid w:val="78CE4307"/>
    <w:rsid w:val="78CF2C76"/>
    <w:rsid w:val="78D13233"/>
    <w:rsid w:val="78D258BE"/>
    <w:rsid w:val="78D32347"/>
    <w:rsid w:val="78D43D28"/>
    <w:rsid w:val="78D75F9B"/>
    <w:rsid w:val="78DB6E64"/>
    <w:rsid w:val="78DF5D91"/>
    <w:rsid w:val="78E0447A"/>
    <w:rsid w:val="78E8526E"/>
    <w:rsid w:val="78EA3B70"/>
    <w:rsid w:val="78ED0743"/>
    <w:rsid w:val="78ED347C"/>
    <w:rsid w:val="78EF290F"/>
    <w:rsid w:val="78F624D3"/>
    <w:rsid w:val="78F65A4C"/>
    <w:rsid w:val="78F826E1"/>
    <w:rsid w:val="78F8518E"/>
    <w:rsid w:val="78FA3665"/>
    <w:rsid w:val="79021CCC"/>
    <w:rsid w:val="79055A3A"/>
    <w:rsid w:val="79091C23"/>
    <w:rsid w:val="790C5923"/>
    <w:rsid w:val="790E4BC5"/>
    <w:rsid w:val="790F39B9"/>
    <w:rsid w:val="79141CE3"/>
    <w:rsid w:val="79144124"/>
    <w:rsid w:val="79151218"/>
    <w:rsid w:val="79155E21"/>
    <w:rsid w:val="79177B9C"/>
    <w:rsid w:val="791967B9"/>
    <w:rsid w:val="791F460E"/>
    <w:rsid w:val="79202AC9"/>
    <w:rsid w:val="79233EA0"/>
    <w:rsid w:val="79261336"/>
    <w:rsid w:val="79273E57"/>
    <w:rsid w:val="79276766"/>
    <w:rsid w:val="792C51F3"/>
    <w:rsid w:val="792F5026"/>
    <w:rsid w:val="79302186"/>
    <w:rsid w:val="79361F5B"/>
    <w:rsid w:val="793A4D5B"/>
    <w:rsid w:val="793C3E38"/>
    <w:rsid w:val="793D367B"/>
    <w:rsid w:val="79436BE8"/>
    <w:rsid w:val="7944575E"/>
    <w:rsid w:val="7948390C"/>
    <w:rsid w:val="79500D88"/>
    <w:rsid w:val="79507E75"/>
    <w:rsid w:val="795A214F"/>
    <w:rsid w:val="795A6380"/>
    <w:rsid w:val="795B0579"/>
    <w:rsid w:val="795B3622"/>
    <w:rsid w:val="795F78E4"/>
    <w:rsid w:val="79635347"/>
    <w:rsid w:val="79656E51"/>
    <w:rsid w:val="79664EED"/>
    <w:rsid w:val="7968312F"/>
    <w:rsid w:val="79686F7B"/>
    <w:rsid w:val="79690914"/>
    <w:rsid w:val="796B63F0"/>
    <w:rsid w:val="796C4F91"/>
    <w:rsid w:val="796D6D81"/>
    <w:rsid w:val="796E4E00"/>
    <w:rsid w:val="796E4E17"/>
    <w:rsid w:val="79706D65"/>
    <w:rsid w:val="79750A88"/>
    <w:rsid w:val="79752E15"/>
    <w:rsid w:val="797A48CF"/>
    <w:rsid w:val="797A7547"/>
    <w:rsid w:val="797D2DF0"/>
    <w:rsid w:val="798045BA"/>
    <w:rsid w:val="79857332"/>
    <w:rsid w:val="798968C0"/>
    <w:rsid w:val="798B6E72"/>
    <w:rsid w:val="798D00E8"/>
    <w:rsid w:val="798E181F"/>
    <w:rsid w:val="79903B48"/>
    <w:rsid w:val="79923508"/>
    <w:rsid w:val="799636BA"/>
    <w:rsid w:val="79982AA2"/>
    <w:rsid w:val="79983E9C"/>
    <w:rsid w:val="79984573"/>
    <w:rsid w:val="79A42A44"/>
    <w:rsid w:val="79A47B9E"/>
    <w:rsid w:val="79A55439"/>
    <w:rsid w:val="79AB45E1"/>
    <w:rsid w:val="79AD74AE"/>
    <w:rsid w:val="79BB7793"/>
    <w:rsid w:val="79BC561B"/>
    <w:rsid w:val="79C15489"/>
    <w:rsid w:val="79C22609"/>
    <w:rsid w:val="79C40956"/>
    <w:rsid w:val="79C55196"/>
    <w:rsid w:val="79C60FFD"/>
    <w:rsid w:val="79C6572F"/>
    <w:rsid w:val="79C6672B"/>
    <w:rsid w:val="79C95CB0"/>
    <w:rsid w:val="79CA51EA"/>
    <w:rsid w:val="79CF3E92"/>
    <w:rsid w:val="79D2573A"/>
    <w:rsid w:val="79D305C2"/>
    <w:rsid w:val="79D443CF"/>
    <w:rsid w:val="79D73F33"/>
    <w:rsid w:val="79D75C83"/>
    <w:rsid w:val="79D77D0B"/>
    <w:rsid w:val="79DC68BE"/>
    <w:rsid w:val="79E17905"/>
    <w:rsid w:val="79E42378"/>
    <w:rsid w:val="79E63D12"/>
    <w:rsid w:val="79E74997"/>
    <w:rsid w:val="79E908C6"/>
    <w:rsid w:val="79EB5EDE"/>
    <w:rsid w:val="79EB6210"/>
    <w:rsid w:val="79ED6F37"/>
    <w:rsid w:val="79EE0E19"/>
    <w:rsid w:val="79EE2BC7"/>
    <w:rsid w:val="79EF64B4"/>
    <w:rsid w:val="79F23811"/>
    <w:rsid w:val="79F50733"/>
    <w:rsid w:val="79F5161F"/>
    <w:rsid w:val="79F611E7"/>
    <w:rsid w:val="79F6788B"/>
    <w:rsid w:val="79F833BF"/>
    <w:rsid w:val="79F85530"/>
    <w:rsid w:val="79F87B05"/>
    <w:rsid w:val="79F95D73"/>
    <w:rsid w:val="79FF6738"/>
    <w:rsid w:val="7A004CC9"/>
    <w:rsid w:val="7A013C8D"/>
    <w:rsid w:val="7A016D9E"/>
    <w:rsid w:val="7A0375F9"/>
    <w:rsid w:val="7A066163"/>
    <w:rsid w:val="7A083C89"/>
    <w:rsid w:val="7A0C3D9C"/>
    <w:rsid w:val="7A0C7D74"/>
    <w:rsid w:val="7A0E4B4F"/>
    <w:rsid w:val="7A0F3366"/>
    <w:rsid w:val="7A1062A7"/>
    <w:rsid w:val="7A136321"/>
    <w:rsid w:val="7A170370"/>
    <w:rsid w:val="7A1940E8"/>
    <w:rsid w:val="7A1C0345"/>
    <w:rsid w:val="7A1D59B7"/>
    <w:rsid w:val="7A200480"/>
    <w:rsid w:val="7A2103F2"/>
    <w:rsid w:val="7A234A4C"/>
    <w:rsid w:val="7A236D15"/>
    <w:rsid w:val="7A252633"/>
    <w:rsid w:val="7A271668"/>
    <w:rsid w:val="7A272A21"/>
    <w:rsid w:val="7A275CF5"/>
    <w:rsid w:val="7A28257D"/>
    <w:rsid w:val="7A296EB1"/>
    <w:rsid w:val="7A2B44E4"/>
    <w:rsid w:val="7A2B4A16"/>
    <w:rsid w:val="7A2B700B"/>
    <w:rsid w:val="7A2D1FFE"/>
    <w:rsid w:val="7A2F072C"/>
    <w:rsid w:val="7A3333F0"/>
    <w:rsid w:val="7A340FD3"/>
    <w:rsid w:val="7A35037F"/>
    <w:rsid w:val="7A360A0B"/>
    <w:rsid w:val="7A3765BA"/>
    <w:rsid w:val="7A380852"/>
    <w:rsid w:val="7A383B1F"/>
    <w:rsid w:val="7A392094"/>
    <w:rsid w:val="7A3B07A4"/>
    <w:rsid w:val="7A3B6660"/>
    <w:rsid w:val="7A3D7C35"/>
    <w:rsid w:val="7A3F642D"/>
    <w:rsid w:val="7A410F49"/>
    <w:rsid w:val="7A414D7E"/>
    <w:rsid w:val="7A441CAA"/>
    <w:rsid w:val="7A484035"/>
    <w:rsid w:val="7A4B2370"/>
    <w:rsid w:val="7A4B3B42"/>
    <w:rsid w:val="7A4C7B5A"/>
    <w:rsid w:val="7A4D1FE3"/>
    <w:rsid w:val="7A4F0F30"/>
    <w:rsid w:val="7A504651"/>
    <w:rsid w:val="7A52374F"/>
    <w:rsid w:val="7A5267C7"/>
    <w:rsid w:val="7A527411"/>
    <w:rsid w:val="7A533BED"/>
    <w:rsid w:val="7A53517D"/>
    <w:rsid w:val="7A545120"/>
    <w:rsid w:val="7A57594B"/>
    <w:rsid w:val="7A5769BE"/>
    <w:rsid w:val="7A5902A7"/>
    <w:rsid w:val="7A594510"/>
    <w:rsid w:val="7A5C64F0"/>
    <w:rsid w:val="7A5D3ACB"/>
    <w:rsid w:val="7A5E0E2C"/>
    <w:rsid w:val="7A600586"/>
    <w:rsid w:val="7A604644"/>
    <w:rsid w:val="7A616E0F"/>
    <w:rsid w:val="7A6335B5"/>
    <w:rsid w:val="7A645E03"/>
    <w:rsid w:val="7A647493"/>
    <w:rsid w:val="7A663BD1"/>
    <w:rsid w:val="7A684EB7"/>
    <w:rsid w:val="7A6D1D3E"/>
    <w:rsid w:val="7A6D7491"/>
    <w:rsid w:val="7A6F5299"/>
    <w:rsid w:val="7A7050D6"/>
    <w:rsid w:val="7A74066E"/>
    <w:rsid w:val="7A741062"/>
    <w:rsid w:val="7A7568B6"/>
    <w:rsid w:val="7A76118E"/>
    <w:rsid w:val="7A763E93"/>
    <w:rsid w:val="7A7C49F2"/>
    <w:rsid w:val="7A7C66D5"/>
    <w:rsid w:val="7A804167"/>
    <w:rsid w:val="7A807CC3"/>
    <w:rsid w:val="7A813A63"/>
    <w:rsid w:val="7A816897"/>
    <w:rsid w:val="7A85177D"/>
    <w:rsid w:val="7A85352B"/>
    <w:rsid w:val="7A88301C"/>
    <w:rsid w:val="7A8E05EF"/>
    <w:rsid w:val="7A911A71"/>
    <w:rsid w:val="7A950817"/>
    <w:rsid w:val="7A980DA7"/>
    <w:rsid w:val="7A9A534A"/>
    <w:rsid w:val="7A9D399F"/>
    <w:rsid w:val="7AA04C0E"/>
    <w:rsid w:val="7AA37E55"/>
    <w:rsid w:val="7AA40413"/>
    <w:rsid w:val="7AA5257E"/>
    <w:rsid w:val="7AA61523"/>
    <w:rsid w:val="7AAB0B58"/>
    <w:rsid w:val="7AAB106D"/>
    <w:rsid w:val="7AAB5484"/>
    <w:rsid w:val="7AAC7794"/>
    <w:rsid w:val="7AB32441"/>
    <w:rsid w:val="7AB446E2"/>
    <w:rsid w:val="7AB45B3A"/>
    <w:rsid w:val="7AB61AE7"/>
    <w:rsid w:val="7AB641E3"/>
    <w:rsid w:val="7ABA409A"/>
    <w:rsid w:val="7ABB20B8"/>
    <w:rsid w:val="7ABE3957"/>
    <w:rsid w:val="7ABF0019"/>
    <w:rsid w:val="7ABF2A34"/>
    <w:rsid w:val="7ABF4A4A"/>
    <w:rsid w:val="7AC13063"/>
    <w:rsid w:val="7ACA60E4"/>
    <w:rsid w:val="7ACB4CB6"/>
    <w:rsid w:val="7ACD0A2E"/>
    <w:rsid w:val="7AD06B21"/>
    <w:rsid w:val="7AD149C3"/>
    <w:rsid w:val="7AD46261"/>
    <w:rsid w:val="7AD54137"/>
    <w:rsid w:val="7AD8672B"/>
    <w:rsid w:val="7AD869D0"/>
    <w:rsid w:val="7AD95681"/>
    <w:rsid w:val="7ADA2D76"/>
    <w:rsid w:val="7ADB4883"/>
    <w:rsid w:val="7ADC0EBB"/>
    <w:rsid w:val="7ADD47AC"/>
    <w:rsid w:val="7ADF7C44"/>
    <w:rsid w:val="7AE4066E"/>
    <w:rsid w:val="7AE741B6"/>
    <w:rsid w:val="7AE94593"/>
    <w:rsid w:val="7AEC043F"/>
    <w:rsid w:val="7AF04E38"/>
    <w:rsid w:val="7AF067EA"/>
    <w:rsid w:val="7AF15A86"/>
    <w:rsid w:val="7AF3257E"/>
    <w:rsid w:val="7AF406B1"/>
    <w:rsid w:val="7AF41682"/>
    <w:rsid w:val="7AF54293"/>
    <w:rsid w:val="7AF54EF0"/>
    <w:rsid w:val="7AF83CFD"/>
    <w:rsid w:val="7AF86B3D"/>
    <w:rsid w:val="7AF87B9F"/>
    <w:rsid w:val="7AF93194"/>
    <w:rsid w:val="7AFD1314"/>
    <w:rsid w:val="7AFE453D"/>
    <w:rsid w:val="7AFE6E3A"/>
    <w:rsid w:val="7AFF11E6"/>
    <w:rsid w:val="7AFF78D0"/>
    <w:rsid w:val="7B01427E"/>
    <w:rsid w:val="7B055127"/>
    <w:rsid w:val="7B08167A"/>
    <w:rsid w:val="7B0E3521"/>
    <w:rsid w:val="7B114DBF"/>
    <w:rsid w:val="7B1460FA"/>
    <w:rsid w:val="7B1857C5"/>
    <w:rsid w:val="7B1A6E15"/>
    <w:rsid w:val="7B1B35BD"/>
    <w:rsid w:val="7B1C2B77"/>
    <w:rsid w:val="7B1E39AE"/>
    <w:rsid w:val="7B201DEF"/>
    <w:rsid w:val="7B2741B5"/>
    <w:rsid w:val="7B290E4E"/>
    <w:rsid w:val="7B2A0E6E"/>
    <w:rsid w:val="7B2C59B4"/>
    <w:rsid w:val="7B2D296D"/>
    <w:rsid w:val="7B2F56DF"/>
    <w:rsid w:val="7B335A49"/>
    <w:rsid w:val="7B340ACA"/>
    <w:rsid w:val="7B38552F"/>
    <w:rsid w:val="7B3A0E71"/>
    <w:rsid w:val="7B3A14DF"/>
    <w:rsid w:val="7B3B1E3C"/>
    <w:rsid w:val="7B3D3E06"/>
    <w:rsid w:val="7B3D79A6"/>
    <w:rsid w:val="7B3E6B19"/>
    <w:rsid w:val="7B3F060A"/>
    <w:rsid w:val="7B410F70"/>
    <w:rsid w:val="7B4124F0"/>
    <w:rsid w:val="7B4447DA"/>
    <w:rsid w:val="7B445577"/>
    <w:rsid w:val="7B47087B"/>
    <w:rsid w:val="7B4A4237"/>
    <w:rsid w:val="7B4E68F8"/>
    <w:rsid w:val="7B4E72E8"/>
    <w:rsid w:val="7B4F1153"/>
    <w:rsid w:val="7B4F3755"/>
    <w:rsid w:val="7B4F58E7"/>
    <w:rsid w:val="7B511678"/>
    <w:rsid w:val="7B536D91"/>
    <w:rsid w:val="7B596F56"/>
    <w:rsid w:val="7B5A7B6A"/>
    <w:rsid w:val="7B5D0004"/>
    <w:rsid w:val="7B5D1252"/>
    <w:rsid w:val="7B6274A7"/>
    <w:rsid w:val="7B6306DE"/>
    <w:rsid w:val="7B631385"/>
    <w:rsid w:val="7B652682"/>
    <w:rsid w:val="7B654B6B"/>
    <w:rsid w:val="7B676CE3"/>
    <w:rsid w:val="7B6B0973"/>
    <w:rsid w:val="7B6C46EB"/>
    <w:rsid w:val="7B783090"/>
    <w:rsid w:val="7B7C15F3"/>
    <w:rsid w:val="7B7F032E"/>
    <w:rsid w:val="7B811F45"/>
    <w:rsid w:val="7B823084"/>
    <w:rsid w:val="7B840B5D"/>
    <w:rsid w:val="7B850519"/>
    <w:rsid w:val="7B8A4BDD"/>
    <w:rsid w:val="7B8B6742"/>
    <w:rsid w:val="7B8D5D2B"/>
    <w:rsid w:val="7B9204D2"/>
    <w:rsid w:val="7B957F8E"/>
    <w:rsid w:val="7B984B55"/>
    <w:rsid w:val="7B985504"/>
    <w:rsid w:val="7B9C62A6"/>
    <w:rsid w:val="7B9C7FBE"/>
    <w:rsid w:val="7B9D1FAF"/>
    <w:rsid w:val="7BA03767"/>
    <w:rsid w:val="7BA24506"/>
    <w:rsid w:val="7BA54001"/>
    <w:rsid w:val="7BA54D62"/>
    <w:rsid w:val="7BA565E8"/>
    <w:rsid w:val="7BA7127F"/>
    <w:rsid w:val="7BB416C6"/>
    <w:rsid w:val="7BB514DD"/>
    <w:rsid w:val="7BB613ED"/>
    <w:rsid w:val="7BB657A5"/>
    <w:rsid w:val="7BBD2838"/>
    <w:rsid w:val="7BBF668B"/>
    <w:rsid w:val="7BC239EF"/>
    <w:rsid w:val="7BC24D7B"/>
    <w:rsid w:val="7BC253DB"/>
    <w:rsid w:val="7BC260B9"/>
    <w:rsid w:val="7BC31A99"/>
    <w:rsid w:val="7BC57E1C"/>
    <w:rsid w:val="7BC96680"/>
    <w:rsid w:val="7BCA2CE9"/>
    <w:rsid w:val="7BCC68E1"/>
    <w:rsid w:val="7BD04F09"/>
    <w:rsid w:val="7BD072F8"/>
    <w:rsid w:val="7BD32074"/>
    <w:rsid w:val="7BDA78A7"/>
    <w:rsid w:val="7BDC0735"/>
    <w:rsid w:val="7BDC20F7"/>
    <w:rsid w:val="7BE24C3F"/>
    <w:rsid w:val="7BE47C82"/>
    <w:rsid w:val="7BE75B20"/>
    <w:rsid w:val="7BEA2DF2"/>
    <w:rsid w:val="7BEC0EB7"/>
    <w:rsid w:val="7BEE14E6"/>
    <w:rsid w:val="7BEE56AC"/>
    <w:rsid w:val="7BF4637E"/>
    <w:rsid w:val="7BF67DD3"/>
    <w:rsid w:val="7BF737B1"/>
    <w:rsid w:val="7BFF098B"/>
    <w:rsid w:val="7C0366AE"/>
    <w:rsid w:val="7C050EE0"/>
    <w:rsid w:val="7C0641F8"/>
    <w:rsid w:val="7C0922CE"/>
    <w:rsid w:val="7C093CE8"/>
    <w:rsid w:val="7C0A3E8D"/>
    <w:rsid w:val="7C0B31C6"/>
    <w:rsid w:val="7C0B5CB2"/>
    <w:rsid w:val="7C0E7550"/>
    <w:rsid w:val="7C120701"/>
    <w:rsid w:val="7C1352FD"/>
    <w:rsid w:val="7C192B97"/>
    <w:rsid w:val="7C1E6D91"/>
    <w:rsid w:val="7C24777F"/>
    <w:rsid w:val="7C247B65"/>
    <w:rsid w:val="7C287930"/>
    <w:rsid w:val="7C2B3018"/>
    <w:rsid w:val="7C2B4089"/>
    <w:rsid w:val="7C2F676D"/>
    <w:rsid w:val="7C3000C2"/>
    <w:rsid w:val="7C32320D"/>
    <w:rsid w:val="7C354ADD"/>
    <w:rsid w:val="7C3611F8"/>
    <w:rsid w:val="7C37202F"/>
    <w:rsid w:val="7C3743CF"/>
    <w:rsid w:val="7C386AE4"/>
    <w:rsid w:val="7C3A7897"/>
    <w:rsid w:val="7C3C5E41"/>
    <w:rsid w:val="7C4538E2"/>
    <w:rsid w:val="7C457811"/>
    <w:rsid w:val="7C461EB6"/>
    <w:rsid w:val="7C5752CC"/>
    <w:rsid w:val="7C586B30"/>
    <w:rsid w:val="7C592589"/>
    <w:rsid w:val="7C5B3531"/>
    <w:rsid w:val="7C5C4A87"/>
    <w:rsid w:val="7C5F7533"/>
    <w:rsid w:val="7C6026CD"/>
    <w:rsid w:val="7C604A95"/>
    <w:rsid w:val="7C6213A4"/>
    <w:rsid w:val="7C630DA8"/>
    <w:rsid w:val="7C686C61"/>
    <w:rsid w:val="7C6B0666"/>
    <w:rsid w:val="7C6C1462"/>
    <w:rsid w:val="7C6D432F"/>
    <w:rsid w:val="7C6D5355"/>
    <w:rsid w:val="7C6E245F"/>
    <w:rsid w:val="7C705D9C"/>
    <w:rsid w:val="7C706589"/>
    <w:rsid w:val="7C76787C"/>
    <w:rsid w:val="7C776EA4"/>
    <w:rsid w:val="7C7868B8"/>
    <w:rsid w:val="7C7A2394"/>
    <w:rsid w:val="7C7B2B20"/>
    <w:rsid w:val="7C7F1957"/>
    <w:rsid w:val="7C8333CB"/>
    <w:rsid w:val="7C857F63"/>
    <w:rsid w:val="7C8C36AC"/>
    <w:rsid w:val="7C8D3638"/>
    <w:rsid w:val="7C8D7797"/>
    <w:rsid w:val="7C8F5C81"/>
    <w:rsid w:val="7C915949"/>
    <w:rsid w:val="7C934BF5"/>
    <w:rsid w:val="7C936510"/>
    <w:rsid w:val="7C941F01"/>
    <w:rsid w:val="7C96772D"/>
    <w:rsid w:val="7C986322"/>
    <w:rsid w:val="7C9B30F3"/>
    <w:rsid w:val="7C9B563F"/>
    <w:rsid w:val="7C9C69AA"/>
    <w:rsid w:val="7C9E1873"/>
    <w:rsid w:val="7C9E2AB0"/>
    <w:rsid w:val="7CA37C99"/>
    <w:rsid w:val="7CA40BFC"/>
    <w:rsid w:val="7CA47825"/>
    <w:rsid w:val="7CA72FCD"/>
    <w:rsid w:val="7CA81807"/>
    <w:rsid w:val="7CA83501"/>
    <w:rsid w:val="7CA8479F"/>
    <w:rsid w:val="7CAA12D7"/>
    <w:rsid w:val="7CAA3B32"/>
    <w:rsid w:val="7CAC2FCB"/>
    <w:rsid w:val="7CAE1ACC"/>
    <w:rsid w:val="7CAE2911"/>
    <w:rsid w:val="7CAF12CE"/>
    <w:rsid w:val="7CB00C1E"/>
    <w:rsid w:val="7CB13FFA"/>
    <w:rsid w:val="7CB43C54"/>
    <w:rsid w:val="7CB7605B"/>
    <w:rsid w:val="7CB81B01"/>
    <w:rsid w:val="7CB81BCE"/>
    <w:rsid w:val="7CBA66EC"/>
    <w:rsid w:val="7CBE516E"/>
    <w:rsid w:val="7CC035C4"/>
    <w:rsid w:val="7CC36AC0"/>
    <w:rsid w:val="7CC61BD9"/>
    <w:rsid w:val="7CC63201"/>
    <w:rsid w:val="7CD1648C"/>
    <w:rsid w:val="7CD54514"/>
    <w:rsid w:val="7CD75AC5"/>
    <w:rsid w:val="7CD82038"/>
    <w:rsid w:val="7CD93432"/>
    <w:rsid w:val="7CDA4D1D"/>
    <w:rsid w:val="7CDC48ED"/>
    <w:rsid w:val="7CDE28A9"/>
    <w:rsid w:val="7CDE77DA"/>
    <w:rsid w:val="7CDF10B4"/>
    <w:rsid w:val="7CDF1372"/>
    <w:rsid w:val="7CE55AAB"/>
    <w:rsid w:val="7CEA51F7"/>
    <w:rsid w:val="7CEA765F"/>
    <w:rsid w:val="7CED015B"/>
    <w:rsid w:val="7CEE34A4"/>
    <w:rsid w:val="7CEF7382"/>
    <w:rsid w:val="7CF1372A"/>
    <w:rsid w:val="7CF26BC4"/>
    <w:rsid w:val="7CF33ADD"/>
    <w:rsid w:val="7CF34174"/>
    <w:rsid w:val="7CF34556"/>
    <w:rsid w:val="7CF52271"/>
    <w:rsid w:val="7CF820C9"/>
    <w:rsid w:val="7CFF255A"/>
    <w:rsid w:val="7D000B33"/>
    <w:rsid w:val="7D022970"/>
    <w:rsid w:val="7D0257AF"/>
    <w:rsid w:val="7D04340C"/>
    <w:rsid w:val="7D051299"/>
    <w:rsid w:val="7D056BA5"/>
    <w:rsid w:val="7D074AFB"/>
    <w:rsid w:val="7D0A0DA0"/>
    <w:rsid w:val="7D0C0FF1"/>
    <w:rsid w:val="7D0C1FE3"/>
    <w:rsid w:val="7D0C3179"/>
    <w:rsid w:val="7D0E618A"/>
    <w:rsid w:val="7D103C02"/>
    <w:rsid w:val="7D121F07"/>
    <w:rsid w:val="7D124E1E"/>
    <w:rsid w:val="7D130B3A"/>
    <w:rsid w:val="7D132C92"/>
    <w:rsid w:val="7D146DE8"/>
    <w:rsid w:val="7D175BE8"/>
    <w:rsid w:val="7D1A7420"/>
    <w:rsid w:val="7D1D0C29"/>
    <w:rsid w:val="7D204BA3"/>
    <w:rsid w:val="7D210871"/>
    <w:rsid w:val="7D221505"/>
    <w:rsid w:val="7D225C18"/>
    <w:rsid w:val="7D236892"/>
    <w:rsid w:val="7D2535D0"/>
    <w:rsid w:val="7D2710B4"/>
    <w:rsid w:val="7D2C12B8"/>
    <w:rsid w:val="7D2D6066"/>
    <w:rsid w:val="7D2E23BF"/>
    <w:rsid w:val="7D2F142F"/>
    <w:rsid w:val="7D2F244E"/>
    <w:rsid w:val="7D2F70C8"/>
    <w:rsid w:val="7D32101D"/>
    <w:rsid w:val="7D3357F3"/>
    <w:rsid w:val="7D366731"/>
    <w:rsid w:val="7D38005B"/>
    <w:rsid w:val="7D3B0631"/>
    <w:rsid w:val="7D3D4631"/>
    <w:rsid w:val="7D3E32DF"/>
    <w:rsid w:val="7D3E3E65"/>
    <w:rsid w:val="7D3E4C1D"/>
    <w:rsid w:val="7D3F20B7"/>
    <w:rsid w:val="7D421983"/>
    <w:rsid w:val="7D4274B2"/>
    <w:rsid w:val="7D433B30"/>
    <w:rsid w:val="7D477CDF"/>
    <w:rsid w:val="7D480840"/>
    <w:rsid w:val="7D492DAE"/>
    <w:rsid w:val="7D4D7AEF"/>
    <w:rsid w:val="7D4F4435"/>
    <w:rsid w:val="7D5209FB"/>
    <w:rsid w:val="7D562F5D"/>
    <w:rsid w:val="7D58414F"/>
    <w:rsid w:val="7D586CD5"/>
    <w:rsid w:val="7D59338C"/>
    <w:rsid w:val="7D5A649D"/>
    <w:rsid w:val="7D5C7094"/>
    <w:rsid w:val="7D5D44AD"/>
    <w:rsid w:val="7D5E2F89"/>
    <w:rsid w:val="7D613B20"/>
    <w:rsid w:val="7D66053E"/>
    <w:rsid w:val="7D664F32"/>
    <w:rsid w:val="7D6D017E"/>
    <w:rsid w:val="7D6E7D0C"/>
    <w:rsid w:val="7D7154FD"/>
    <w:rsid w:val="7D724936"/>
    <w:rsid w:val="7D7531F8"/>
    <w:rsid w:val="7D76570A"/>
    <w:rsid w:val="7D7858E9"/>
    <w:rsid w:val="7D7908D4"/>
    <w:rsid w:val="7D795E15"/>
    <w:rsid w:val="7D796E93"/>
    <w:rsid w:val="7D7B1D25"/>
    <w:rsid w:val="7D7C2F0A"/>
    <w:rsid w:val="7D7D498E"/>
    <w:rsid w:val="7D7E4305"/>
    <w:rsid w:val="7D7F51E6"/>
    <w:rsid w:val="7D8301F3"/>
    <w:rsid w:val="7D8541F1"/>
    <w:rsid w:val="7D893A1A"/>
    <w:rsid w:val="7D8A2C07"/>
    <w:rsid w:val="7D8F021D"/>
    <w:rsid w:val="7D907B74"/>
    <w:rsid w:val="7D910387"/>
    <w:rsid w:val="7D9118CF"/>
    <w:rsid w:val="7D913F95"/>
    <w:rsid w:val="7D9203D6"/>
    <w:rsid w:val="7D9341B1"/>
    <w:rsid w:val="7D957E61"/>
    <w:rsid w:val="7D960EDE"/>
    <w:rsid w:val="7D9A5540"/>
    <w:rsid w:val="7D9D33C2"/>
    <w:rsid w:val="7DA07886"/>
    <w:rsid w:val="7DA25A5D"/>
    <w:rsid w:val="7DA458A7"/>
    <w:rsid w:val="7DA848BB"/>
    <w:rsid w:val="7DAC1DF0"/>
    <w:rsid w:val="7DAD243F"/>
    <w:rsid w:val="7DAE551C"/>
    <w:rsid w:val="7DB027AB"/>
    <w:rsid w:val="7DB11A29"/>
    <w:rsid w:val="7DB12889"/>
    <w:rsid w:val="7DB3215D"/>
    <w:rsid w:val="7DB402A0"/>
    <w:rsid w:val="7DB473EC"/>
    <w:rsid w:val="7DB66366"/>
    <w:rsid w:val="7DB80184"/>
    <w:rsid w:val="7DBA5267"/>
    <w:rsid w:val="7DBE16B8"/>
    <w:rsid w:val="7DBE4EB9"/>
    <w:rsid w:val="7DC223A1"/>
    <w:rsid w:val="7DC3472E"/>
    <w:rsid w:val="7DC40841"/>
    <w:rsid w:val="7DC660DC"/>
    <w:rsid w:val="7DC773AF"/>
    <w:rsid w:val="7DC9372F"/>
    <w:rsid w:val="7DCA20C6"/>
    <w:rsid w:val="7DCA3876"/>
    <w:rsid w:val="7DCC7E18"/>
    <w:rsid w:val="7DCE0CD0"/>
    <w:rsid w:val="7DD30170"/>
    <w:rsid w:val="7DD33260"/>
    <w:rsid w:val="7DD5153B"/>
    <w:rsid w:val="7DD637F4"/>
    <w:rsid w:val="7DD95FAF"/>
    <w:rsid w:val="7DD97D0A"/>
    <w:rsid w:val="7DDA5318"/>
    <w:rsid w:val="7DDB5E9F"/>
    <w:rsid w:val="7DDD542C"/>
    <w:rsid w:val="7DDF1614"/>
    <w:rsid w:val="7DE53074"/>
    <w:rsid w:val="7DE91CE0"/>
    <w:rsid w:val="7DE94FAB"/>
    <w:rsid w:val="7DE9763F"/>
    <w:rsid w:val="7DEA218B"/>
    <w:rsid w:val="7DEB5D9B"/>
    <w:rsid w:val="7DEB5DB6"/>
    <w:rsid w:val="7DEC7A0D"/>
    <w:rsid w:val="7DF06F0E"/>
    <w:rsid w:val="7DF30F1F"/>
    <w:rsid w:val="7DF639FB"/>
    <w:rsid w:val="7DF869DB"/>
    <w:rsid w:val="7DF93937"/>
    <w:rsid w:val="7DFA3790"/>
    <w:rsid w:val="7DFA69A0"/>
    <w:rsid w:val="7DFC3B04"/>
    <w:rsid w:val="7E002EC9"/>
    <w:rsid w:val="7E004358"/>
    <w:rsid w:val="7E03126B"/>
    <w:rsid w:val="7E0330C3"/>
    <w:rsid w:val="7E04339B"/>
    <w:rsid w:val="7E05177A"/>
    <w:rsid w:val="7E061E36"/>
    <w:rsid w:val="7E062BD5"/>
    <w:rsid w:val="7E0718B7"/>
    <w:rsid w:val="7E081EDD"/>
    <w:rsid w:val="7E0B1F99"/>
    <w:rsid w:val="7E103CE8"/>
    <w:rsid w:val="7E1075B0"/>
    <w:rsid w:val="7E1259BF"/>
    <w:rsid w:val="7E131C9F"/>
    <w:rsid w:val="7E150331"/>
    <w:rsid w:val="7E163A44"/>
    <w:rsid w:val="7E174067"/>
    <w:rsid w:val="7E1A3651"/>
    <w:rsid w:val="7E1D1CCD"/>
    <w:rsid w:val="7E1F2E8B"/>
    <w:rsid w:val="7E1F63FA"/>
    <w:rsid w:val="7E22548F"/>
    <w:rsid w:val="7E240949"/>
    <w:rsid w:val="7E25038A"/>
    <w:rsid w:val="7E263C4F"/>
    <w:rsid w:val="7E2B0164"/>
    <w:rsid w:val="7E2B2E00"/>
    <w:rsid w:val="7E2E3EDA"/>
    <w:rsid w:val="7E2E7A36"/>
    <w:rsid w:val="7E301291"/>
    <w:rsid w:val="7E33329E"/>
    <w:rsid w:val="7E34233A"/>
    <w:rsid w:val="7E350A9B"/>
    <w:rsid w:val="7E3534E9"/>
    <w:rsid w:val="7E372D8F"/>
    <w:rsid w:val="7E3862DC"/>
    <w:rsid w:val="7E3A63DB"/>
    <w:rsid w:val="7E3B2C58"/>
    <w:rsid w:val="7E3F1C43"/>
    <w:rsid w:val="7E3F688C"/>
    <w:rsid w:val="7E404885"/>
    <w:rsid w:val="7E4133F2"/>
    <w:rsid w:val="7E413AB7"/>
    <w:rsid w:val="7E414658"/>
    <w:rsid w:val="7E427FC3"/>
    <w:rsid w:val="7E4578C0"/>
    <w:rsid w:val="7E4F6B64"/>
    <w:rsid w:val="7E533B1A"/>
    <w:rsid w:val="7E576F8D"/>
    <w:rsid w:val="7E585F35"/>
    <w:rsid w:val="7E5A411E"/>
    <w:rsid w:val="7E5B702C"/>
    <w:rsid w:val="7E5C7711"/>
    <w:rsid w:val="7E5E52E4"/>
    <w:rsid w:val="7E607353"/>
    <w:rsid w:val="7E682A9E"/>
    <w:rsid w:val="7E6944C5"/>
    <w:rsid w:val="7E6B47E6"/>
    <w:rsid w:val="7E6E2217"/>
    <w:rsid w:val="7E6E260F"/>
    <w:rsid w:val="7E6E6D91"/>
    <w:rsid w:val="7E6E7B40"/>
    <w:rsid w:val="7E7318ED"/>
    <w:rsid w:val="7E741730"/>
    <w:rsid w:val="7E7452B2"/>
    <w:rsid w:val="7E762BCF"/>
    <w:rsid w:val="7E78372F"/>
    <w:rsid w:val="7E7A05AA"/>
    <w:rsid w:val="7E7A0727"/>
    <w:rsid w:val="7E7C540E"/>
    <w:rsid w:val="7E7F0292"/>
    <w:rsid w:val="7E804381"/>
    <w:rsid w:val="7E831E5F"/>
    <w:rsid w:val="7E84630F"/>
    <w:rsid w:val="7E850599"/>
    <w:rsid w:val="7E864F71"/>
    <w:rsid w:val="7E88396C"/>
    <w:rsid w:val="7E891A1C"/>
    <w:rsid w:val="7E8A0D63"/>
    <w:rsid w:val="7E8B30DA"/>
    <w:rsid w:val="7E8B6BBA"/>
    <w:rsid w:val="7E9D0CF2"/>
    <w:rsid w:val="7E9F25DB"/>
    <w:rsid w:val="7E9F7B09"/>
    <w:rsid w:val="7EA01C51"/>
    <w:rsid w:val="7EA06B86"/>
    <w:rsid w:val="7EA9413F"/>
    <w:rsid w:val="7EA96724"/>
    <w:rsid w:val="7EAA1064"/>
    <w:rsid w:val="7EAB498A"/>
    <w:rsid w:val="7EAB552B"/>
    <w:rsid w:val="7EAC11EF"/>
    <w:rsid w:val="7EAD3051"/>
    <w:rsid w:val="7EAD3818"/>
    <w:rsid w:val="7EAE41AE"/>
    <w:rsid w:val="7EB46AB9"/>
    <w:rsid w:val="7EB54CC9"/>
    <w:rsid w:val="7EB91FE2"/>
    <w:rsid w:val="7EBA1813"/>
    <w:rsid w:val="7EBA5882"/>
    <w:rsid w:val="7EBB5099"/>
    <w:rsid w:val="7EBB576E"/>
    <w:rsid w:val="7EBE717B"/>
    <w:rsid w:val="7EBF7B56"/>
    <w:rsid w:val="7EC057FB"/>
    <w:rsid w:val="7EC06FC0"/>
    <w:rsid w:val="7EC12B2B"/>
    <w:rsid w:val="7EC17A70"/>
    <w:rsid w:val="7EC363D0"/>
    <w:rsid w:val="7EC55059"/>
    <w:rsid w:val="7EC60718"/>
    <w:rsid w:val="7ECD1958"/>
    <w:rsid w:val="7ECD3266"/>
    <w:rsid w:val="7ECE7E36"/>
    <w:rsid w:val="7ED00AED"/>
    <w:rsid w:val="7ED069BF"/>
    <w:rsid w:val="7ED07331"/>
    <w:rsid w:val="7ED31367"/>
    <w:rsid w:val="7ED702C2"/>
    <w:rsid w:val="7EDB344D"/>
    <w:rsid w:val="7EDC197A"/>
    <w:rsid w:val="7EDC3936"/>
    <w:rsid w:val="7EDC56E4"/>
    <w:rsid w:val="7EDC7492"/>
    <w:rsid w:val="7EDD534E"/>
    <w:rsid w:val="7EDE2FDB"/>
    <w:rsid w:val="7EDF50BE"/>
    <w:rsid w:val="7EE051FD"/>
    <w:rsid w:val="7EE12CFA"/>
    <w:rsid w:val="7EE1738C"/>
    <w:rsid w:val="7EE46793"/>
    <w:rsid w:val="7EE76EDF"/>
    <w:rsid w:val="7EEC0D28"/>
    <w:rsid w:val="7EEC7925"/>
    <w:rsid w:val="7EEF21C0"/>
    <w:rsid w:val="7EEF674E"/>
    <w:rsid w:val="7EF0118F"/>
    <w:rsid w:val="7EF63CFC"/>
    <w:rsid w:val="7EF76800"/>
    <w:rsid w:val="7EF960B4"/>
    <w:rsid w:val="7EFA43CF"/>
    <w:rsid w:val="7EFA76FC"/>
    <w:rsid w:val="7EFC2740"/>
    <w:rsid w:val="7EFD1537"/>
    <w:rsid w:val="7EFE762D"/>
    <w:rsid w:val="7F0625A9"/>
    <w:rsid w:val="7F0B40D9"/>
    <w:rsid w:val="7F0B5056"/>
    <w:rsid w:val="7F0C1E16"/>
    <w:rsid w:val="7F0C595B"/>
    <w:rsid w:val="7F0F1615"/>
    <w:rsid w:val="7F0F5AB9"/>
    <w:rsid w:val="7F0F67BC"/>
    <w:rsid w:val="7F10316E"/>
    <w:rsid w:val="7F112989"/>
    <w:rsid w:val="7F115E49"/>
    <w:rsid w:val="7F1205D4"/>
    <w:rsid w:val="7F1219E1"/>
    <w:rsid w:val="7F157938"/>
    <w:rsid w:val="7F160BF6"/>
    <w:rsid w:val="7F17671C"/>
    <w:rsid w:val="7F192494"/>
    <w:rsid w:val="7F1B26B0"/>
    <w:rsid w:val="7F1D5754"/>
    <w:rsid w:val="7F214AE0"/>
    <w:rsid w:val="7F223597"/>
    <w:rsid w:val="7F236625"/>
    <w:rsid w:val="7F285F22"/>
    <w:rsid w:val="7F286B7B"/>
    <w:rsid w:val="7F29611F"/>
    <w:rsid w:val="7F2D390A"/>
    <w:rsid w:val="7F2F3A66"/>
    <w:rsid w:val="7F3178E6"/>
    <w:rsid w:val="7F361093"/>
    <w:rsid w:val="7F371041"/>
    <w:rsid w:val="7F3C5718"/>
    <w:rsid w:val="7F3E639F"/>
    <w:rsid w:val="7F3F45EC"/>
    <w:rsid w:val="7F4260C1"/>
    <w:rsid w:val="7F494EC2"/>
    <w:rsid w:val="7F4F5E8E"/>
    <w:rsid w:val="7F5C2DC9"/>
    <w:rsid w:val="7F5E434B"/>
    <w:rsid w:val="7F601E71"/>
    <w:rsid w:val="7F6345E2"/>
    <w:rsid w:val="7F682D6B"/>
    <w:rsid w:val="7F6B6885"/>
    <w:rsid w:val="7F6D4D5F"/>
    <w:rsid w:val="7F6E35B7"/>
    <w:rsid w:val="7F744EB3"/>
    <w:rsid w:val="7F75017D"/>
    <w:rsid w:val="7F753593"/>
    <w:rsid w:val="7F766A8F"/>
    <w:rsid w:val="7F7815C9"/>
    <w:rsid w:val="7F784977"/>
    <w:rsid w:val="7F7A0779"/>
    <w:rsid w:val="7F7C23C6"/>
    <w:rsid w:val="7F7D722D"/>
    <w:rsid w:val="7F850890"/>
    <w:rsid w:val="7F86491F"/>
    <w:rsid w:val="7F894946"/>
    <w:rsid w:val="7F8C2A9F"/>
    <w:rsid w:val="7F8E0DA1"/>
    <w:rsid w:val="7F9070CE"/>
    <w:rsid w:val="7F921C01"/>
    <w:rsid w:val="7F933E41"/>
    <w:rsid w:val="7F96164C"/>
    <w:rsid w:val="7F977AF3"/>
    <w:rsid w:val="7F9A610E"/>
    <w:rsid w:val="7F9D2B4A"/>
    <w:rsid w:val="7F9D3213"/>
    <w:rsid w:val="7F9D68BB"/>
    <w:rsid w:val="7F9F3680"/>
    <w:rsid w:val="7FA06711"/>
    <w:rsid w:val="7FA2248A"/>
    <w:rsid w:val="7FAB7D7C"/>
    <w:rsid w:val="7FAF1BE2"/>
    <w:rsid w:val="7FB126D0"/>
    <w:rsid w:val="7FB34697"/>
    <w:rsid w:val="7FB803BA"/>
    <w:rsid w:val="7FB977D3"/>
    <w:rsid w:val="7FBC1776"/>
    <w:rsid w:val="7FBC23AB"/>
    <w:rsid w:val="7FBD1D96"/>
    <w:rsid w:val="7FBD218C"/>
    <w:rsid w:val="7FC00B62"/>
    <w:rsid w:val="7FC04692"/>
    <w:rsid w:val="7FC132B1"/>
    <w:rsid w:val="7FC14B0D"/>
    <w:rsid w:val="7FC15B1B"/>
    <w:rsid w:val="7FC44AF6"/>
    <w:rsid w:val="7FCC682E"/>
    <w:rsid w:val="7FCD6C22"/>
    <w:rsid w:val="7FCE14D1"/>
    <w:rsid w:val="7FD06BE5"/>
    <w:rsid w:val="7FD15524"/>
    <w:rsid w:val="7FD3207C"/>
    <w:rsid w:val="7FD376DA"/>
    <w:rsid w:val="7FD4460D"/>
    <w:rsid w:val="7FD57C56"/>
    <w:rsid w:val="7FDB3BED"/>
    <w:rsid w:val="7FDB75CA"/>
    <w:rsid w:val="7FDD6455"/>
    <w:rsid w:val="7FDE6A78"/>
    <w:rsid w:val="7FDF5CF8"/>
    <w:rsid w:val="7FE02FB2"/>
    <w:rsid w:val="7FE17FCC"/>
    <w:rsid w:val="7FE505A7"/>
    <w:rsid w:val="7FE717E7"/>
    <w:rsid w:val="7FE94F61"/>
    <w:rsid w:val="7FEB71F4"/>
    <w:rsid w:val="7FEC5B37"/>
    <w:rsid w:val="7FEE1B73"/>
    <w:rsid w:val="7FEE1FE2"/>
    <w:rsid w:val="7FEF286A"/>
    <w:rsid w:val="7FF30190"/>
    <w:rsid w:val="7FF41395"/>
    <w:rsid w:val="7FF6229D"/>
    <w:rsid w:val="7FF75F52"/>
    <w:rsid w:val="7FF82696"/>
    <w:rsid w:val="7FF928A5"/>
    <w:rsid w:val="7FFB0CC9"/>
    <w:rsid w:val="7FFB61F5"/>
    <w:rsid w:val="7FFC4290"/>
    <w:rsid w:val="7FFE5D60"/>
    <w:rsid w:val="7FFE5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paragraph" w:styleId="5">
    <w:name w:val="heading 2"/>
    <w:basedOn w:val="1"/>
    <w:next w:val="1"/>
    <w:qFormat/>
    <w:uiPriority w:val="9"/>
    <w:pPr>
      <w:keepLines/>
      <w:spacing w:beforeLines="50" w:line="500" w:lineRule="atLeast"/>
      <w:outlineLvl w:val="1"/>
    </w:pPr>
    <w:rPr>
      <w:rFonts w:ascii="宋体" w:hAnsi="宋体"/>
      <w:b/>
      <w:bCs/>
      <w:sz w:val="28"/>
      <w:szCs w:val="21"/>
    </w:rPr>
  </w:style>
  <w:style w:type="paragraph" w:styleId="6">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7">
    <w:name w:val="heading 4"/>
    <w:basedOn w:val="1"/>
    <w:next w:val="1"/>
    <w:qFormat/>
    <w:uiPriority w:val="0"/>
    <w:pPr>
      <w:spacing w:before="280" w:after="290" w:line="372" w:lineRule="auto"/>
      <w:outlineLvl w:val="3"/>
    </w:pPr>
    <w:rPr>
      <w:rFonts w:ascii="Arial" w:hAnsi="Arial" w:eastAsia="黑体"/>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spacing w:line="360" w:lineRule="auto"/>
      <w:jc w:val="both"/>
    </w:pPr>
    <w:rPr>
      <w:rFonts w:ascii="宋体" w:hAnsi="宋体" w:eastAsia="宋体" w:cs="宋体"/>
      <w:color w:val="000000"/>
      <w:sz w:val="24"/>
      <w:szCs w:val="24"/>
      <w:lang w:val="en-US" w:eastAsia="zh-CN" w:bidi="ar-SA"/>
    </w:rPr>
  </w:style>
  <w:style w:type="paragraph" w:styleId="3">
    <w:name w:val="List 3"/>
    <w:basedOn w:val="1"/>
    <w:next w:val="1"/>
    <w:qFormat/>
    <w:uiPriority w:val="0"/>
    <w:pPr>
      <w:snapToGrid w:val="0"/>
      <w:spacing w:line="360" w:lineRule="auto"/>
    </w:pPr>
    <w:rPr>
      <w:rFonts w:ascii="Calibri" w:hAnsi="Calibri" w:cs="宋体"/>
      <w:sz w:val="24"/>
    </w:rPr>
  </w:style>
  <w:style w:type="paragraph" w:styleId="8">
    <w:name w:val="Normal Indent"/>
    <w:basedOn w:val="1"/>
    <w:next w:val="1"/>
    <w:qFormat/>
    <w:uiPriority w:val="0"/>
    <w:pPr>
      <w:ind w:firstLine="420"/>
    </w:pPr>
    <w:rPr>
      <w:rFonts w:ascii="宋体" w:hAnsi="宋体"/>
      <w:sz w:val="26"/>
    </w:rPr>
  </w:style>
  <w:style w:type="paragraph" w:styleId="9">
    <w:name w:val="annotation text"/>
    <w:basedOn w:val="1"/>
    <w:link w:val="53"/>
    <w:semiHidden/>
    <w:unhideWhenUsed/>
    <w:qFormat/>
    <w:uiPriority w:val="99"/>
    <w:pPr>
      <w:jc w:val="left"/>
    </w:pPr>
  </w:style>
  <w:style w:type="paragraph" w:styleId="10">
    <w:name w:val="Body Text"/>
    <w:basedOn w:val="1"/>
    <w:next w:val="1"/>
    <w:qFormat/>
    <w:uiPriority w:val="0"/>
    <w:pPr>
      <w:widowControl/>
      <w:snapToGrid w:val="0"/>
      <w:spacing w:line="360" w:lineRule="auto"/>
    </w:pPr>
    <w:rPr>
      <w:kern w:val="0"/>
    </w:rPr>
  </w:style>
  <w:style w:type="paragraph" w:styleId="11">
    <w:name w:val="Body Text Indent"/>
    <w:basedOn w:val="1"/>
    <w:next w:val="12"/>
    <w:qFormat/>
    <w:uiPriority w:val="0"/>
    <w:pPr>
      <w:spacing w:after="120"/>
      <w:ind w:left="420" w:leftChars="200"/>
    </w:pPr>
  </w:style>
  <w:style w:type="paragraph" w:customStyle="1" w:styleId="12">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13">
    <w:name w:val="Plain Text"/>
    <w:basedOn w:val="1"/>
    <w:qFormat/>
    <w:uiPriority w:val="0"/>
    <w:rPr>
      <w:rFonts w:ascii="宋体" w:hAnsi="Courier New" w:cs="Courier New"/>
      <w:szCs w:val="21"/>
    </w:rPr>
  </w:style>
  <w:style w:type="paragraph" w:styleId="14">
    <w:name w:val="Date"/>
    <w:basedOn w:val="1"/>
    <w:next w:val="1"/>
    <w:qFormat/>
    <w:uiPriority w:val="0"/>
    <w:rPr>
      <w:rFonts w:cs="Dutch801 Rm BT"/>
      <w:b/>
      <w:sz w:val="28"/>
    </w:rPr>
  </w:style>
  <w:style w:type="paragraph" w:styleId="15">
    <w:name w:val="Body Text Indent 2"/>
    <w:basedOn w:val="1"/>
    <w:unhideWhenUsed/>
    <w:qFormat/>
    <w:uiPriority w:val="99"/>
    <w:pPr>
      <w:spacing w:after="120" w:line="480" w:lineRule="auto"/>
      <w:ind w:left="420" w:leftChars="200"/>
    </w:pPr>
  </w:style>
  <w:style w:type="paragraph" w:styleId="16">
    <w:name w:val="Balloon Text"/>
    <w:basedOn w:val="1"/>
    <w:link w:val="55"/>
    <w:semiHidden/>
    <w:unhideWhenUsed/>
    <w:qFormat/>
    <w:uiPriority w:val="99"/>
    <w:rPr>
      <w:sz w:val="18"/>
      <w:szCs w:val="18"/>
    </w:rPr>
  </w:style>
  <w:style w:type="paragraph" w:styleId="17">
    <w:name w:val="footer"/>
    <w:basedOn w:val="1"/>
    <w:link w:val="30"/>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Normal (Web)"/>
    <w:basedOn w:val="1"/>
    <w:link w:val="31"/>
    <w:qFormat/>
    <w:uiPriority w:val="0"/>
    <w:pPr>
      <w:widowControl/>
      <w:spacing w:before="100" w:beforeAutospacing="1" w:after="100" w:afterAutospacing="1"/>
      <w:jc w:val="left"/>
    </w:pPr>
    <w:rPr>
      <w:rFonts w:ascii="宋体" w:hAnsi="宋体" w:cstheme="minorBidi"/>
      <w:sz w:val="24"/>
      <w:szCs w:val="22"/>
    </w:rPr>
  </w:style>
  <w:style w:type="paragraph" w:styleId="20">
    <w:name w:val="annotation subject"/>
    <w:basedOn w:val="9"/>
    <w:next w:val="9"/>
    <w:link w:val="54"/>
    <w:semiHidden/>
    <w:unhideWhenUsed/>
    <w:qFormat/>
    <w:uiPriority w:val="99"/>
    <w:rPr>
      <w:b/>
      <w:bCs/>
    </w:rPr>
  </w:style>
  <w:style w:type="paragraph" w:styleId="21">
    <w:name w:val="Body Text First Indent 2"/>
    <w:basedOn w:val="11"/>
    <w:next w:val="1"/>
    <w:qFormat/>
    <w:uiPriority w:val="0"/>
    <w:pPr>
      <w:ind w:firstLine="21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Hyperlink"/>
    <w:basedOn w:val="24"/>
    <w:qFormat/>
    <w:uiPriority w:val="0"/>
    <w:rPr>
      <w:color w:val="0000FF"/>
      <w:u w:val="single"/>
    </w:rPr>
  </w:style>
  <w:style w:type="character" w:styleId="27">
    <w:name w:val="annotation reference"/>
    <w:qFormat/>
    <w:uiPriority w:val="99"/>
    <w:rPr>
      <w:sz w:val="21"/>
    </w:rPr>
  </w:style>
  <w:style w:type="paragraph" w:customStyle="1" w:styleId="28">
    <w:name w:val="环评正文"/>
    <w:basedOn w:val="1"/>
    <w:qFormat/>
    <w:uiPriority w:val="3"/>
    <w:pPr>
      <w:spacing w:line="480" w:lineRule="exact"/>
      <w:ind w:firstLine="520" w:firstLineChars="200"/>
    </w:pPr>
    <w:rPr>
      <w:sz w:val="26"/>
    </w:rPr>
  </w:style>
  <w:style w:type="paragraph" w:customStyle="1" w:styleId="29">
    <w:name w:val="Char1"/>
    <w:basedOn w:val="1"/>
    <w:qFormat/>
    <w:uiPriority w:val="0"/>
    <w:pPr>
      <w:spacing w:line="360" w:lineRule="auto"/>
      <w:ind w:firstLine="200" w:firstLineChars="200"/>
    </w:pPr>
    <w:rPr>
      <w:rFonts w:ascii="宋体" w:hAnsi="宋体" w:cs="宋体"/>
      <w:sz w:val="24"/>
    </w:rPr>
  </w:style>
  <w:style w:type="character" w:customStyle="1" w:styleId="30">
    <w:name w:val="页脚 Char"/>
    <w:link w:val="17"/>
    <w:qFormat/>
    <w:locked/>
    <w:uiPriority w:val="99"/>
    <w:rPr>
      <w:sz w:val="18"/>
    </w:rPr>
  </w:style>
  <w:style w:type="character" w:customStyle="1" w:styleId="31">
    <w:name w:val="普通(网站) Char"/>
    <w:link w:val="19"/>
    <w:qFormat/>
    <w:locked/>
    <w:uiPriority w:val="0"/>
    <w:rPr>
      <w:rFonts w:ascii="宋体" w:hAnsi="宋体" w:eastAsia="宋体"/>
      <w:sz w:val="24"/>
    </w:rPr>
  </w:style>
  <w:style w:type="character" w:customStyle="1" w:styleId="32">
    <w:name w:val="表格 Char"/>
    <w:link w:val="33"/>
    <w:qFormat/>
    <w:locked/>
    <w:uiPriority w:val="0"/>
    <w:rPr>
      <w:rFonts w:ascii="宋体"/>
    </w:rPr>
  </w:style>
  <w:style w:type="paragraph" w:customStyle="1" w:styleId="33">
    <w:name w:val="表格"/>
    <w:basedOn w:val="1"/>
    <w:next w:val="1"/>
    <w:link w:val="32"/>
    <w:qFormat/>
    <w:uiPriority w:val="0"/>
    <w:pPr>
      <w:adjustRightInd w:val="0"/>
      <w:snapToGrid w:val="0"/>
      <w:spacing w:beforeLines="10" w:afterLines="10" w:line="259" w:lineRule="auto"/>
      <w:jc w:val="center"/>
    </w:pPr>
    <w:rPr>
      <w:rFonts w:ascii="宋体" w:hAnsiTheme="minorHAnsi" w:eastAsiaTheme="minorEastAsia" w:cstheme="minorBidi"/>
      <w:szCs w:val="22"/>
    </w:rPr>
  </w:style>
  <w:style w:type="character" w:customStyle="1" w:styleId="34">
    <w:name w:val="页脚 Char1"/>
    <w:basedOn w:val="24"/>
    <w:semiHidden/>
    <w:qFormat/>
    <w:uiPriority w:val="99"/>
    <w:rPr>
      <w:rFonts w:ascii="Times New Roman" w:hAnsi="Times New Roman" w:eastAsia="宋体" w:cs="Times New Roman"/>
      <w:sz w:val="18"/>
      <w:szCs w:val="18"/>
    </w:rPr>
  </w:style>
  <w:style w:type="paragraph" w:customStyle="1" w:styleId="35">
    <w:name w:val="正文文本 21"/>
    <w:basedOn w:val="1"/>
    <w:qFormat/>
    <w:uiPriority w:val="0"/>
    <w:pPr>
      <w:adjustRightInd w:val="0"/>
      <w:ind w:firstLine="480"/>
    </w:pPr>
    <w:rPr>
      <w:rFonts w:ascii="宋体"/>
      <w:kern w:val="0"/>
      <w:sz w:val="24"/>
    </w:rPr>
  </w:style>
  <w:style w:type="paragraph" w:customStyle="1" w:styleId="36">
    <w:name w:val="正文 首行缩进:  2 字符"/>
    <w:basedOn w:val="1"/>
    <w:qFormat/>
    <w:uiPriority w:val="0"/>
    <w:pPr>
      <w:autoSpaceDE w:val="0"/>
      <w:autoSpaceDN w:val="0"/>
      <w:adjustRightInd w:val="0"/>
      <w:snapToGrid w:val="0"/>
      <w:spacing w:line="360" w:lineRule="auto"/>
      <w:ind w:firstLine="480" w:firstLineChars="200"/>
      <w:outlineLvl w:val="0"/>
    </w:pPr>
    <w:rPr>
      <w:rFonts w:ascii="宋体" w:hAnsi="宋体"/>
      <w:color w:val="000000"/>
      <w:sz w:val="24"/>
    </w:rPr>
  </w:style>
  <w:style w:type="paragraph" w:customStyle="1" w:styleId="37">
    <w:name w:val="表格内容"/>
    <w:basedOn w:val="1"/>
    <w:qFormat/>
    <w:uiPriority w:val="0"/>
    <w:pPr>
      <w:spacing w:line="360" w:lineRule="exact"/>
      <w:jc w:val="center"/>
    </w:pPr>
    <w:rPr>
      <w:sz w:val="24"/>
    </w:rPr>
  </w:style>
  <w:style w:type="paragraph" w:customStyle="1" w:styleId="38">
    <w:name w:val="列出段落1"/>
    <w:basedOn w:val="1"/>
    <w:qFormat/>
    <w:uiPriority w:val="0"/>
    <w:pPr>
      <w:ind w:firstLine="420" w:firstLineChars="200"/>
    </w:pPr>
    <w:rPr>
      <w:rFonts w:ascii="Calibri" w:hAnsi="Calibri" w:cs="黑体"/>
      <w:szCs w:val="22"/>
    </w:rPr>
  </w:style>
  <w:style w:type="paragraph" w:customStyle="1" w:styleId="39">
    <w:name w:val="L表内容"/>
    <w:basedOn w:val="1"/>
    <w:qFormat/>
    <w:uiPriority w:val="0"/>
    <w:pPr>
      <w:spacing w:line="240" w:lineRule="atLeast"/>
      <w:jc w:val="center"/>
    </w:pPr>
    <w:rPr>
      <w:szCs w:val="21"/>
    </w:rPr>
  </w:style>
  <w:style w:type="paragraph" w:customStyle="1" w:styleId="40">
    <w:name w:val="xl31"/>
    <w:basedOn w:val="1"/>
    <w:qFormat/>
    <w:uiPriority w:val="0"/>
    <w:pPr>
      <w:widowControl/>
      <w:spacing w:before="100" w:beforeAutospacing="1" w:after="100" w:afterAutospacing="1"/>
      <w:jc w:val="center"/>
    </w:pPr>
    <w:rPr>
      <w:rFonts w:cs="Dutch801 Rm BT"/>
      <w:kern w:val="0"/>
      <w:sz w:val="24"/>
    </w:rPr>
  </w:style>
  <w:style w:type="paragraph" w:customStyle="1" w:styleId="41">
    <w:name w:val="123正文"/>
    <w:basedOn w:val="1"/>
    <w:qFormat/>
    <w:uiPriority w:val="0"/>
    <w:pPr>
      <w:ind w:firstLine="480"/>
    </w:pPr>
  </w:style>
  <w:style w:type="paragraph" w:customStyle="1" w:styleId="42">
    <w:name w:val="V表格文本"/>
    <w:basedOn w:val="1"/>
    <w:next w:val="1"/>
    <w:qFormat/>
    <w:uiPriority w:val="1"/>
    <w:pPr>
      <w:spacing w:line="320" w:lineRule="atLeast"/>
      <w:jc w:val="center"/>
    </w:pPr>
    <w:rPr>
      <w:kern w:val="0"/>
      <w:szCs w:val="20"/>
    </w:rPr>
  </w:style>
  <w:style w:type="character" w:customStyle="1" w:styleId="43">
    <w:name w:val="font71"/>
    <w:basedOn w:val="24"/>
    <w:qFormat/>
    <w:uiPriority w:val="0"/>
    <w:rPr>
      <w:rFonts w:hint="default" w:ascii="Times New Roman" w:hAnsi="Times New Roman" w:cs="Times New Roman"/>
      <w:color w:val="000000"/>
      <w:sz w:val="21"/>
      <w:szCs w:val="21"/>
      <w:u w:val="none"/>
      <w:vertAlign w:val="subscript"/>
    </w:rPr>
  </w:style>
  <w:style w:type="paragraph" w:customStyle="1" w:styleId="44">
    <w:name w:val="0正文缩"/>
    <w:basedOn w:val="1"/>
    <w:qFormat/>
    <w:uiPriority w:val="0"/>
    <w:pPr>
      <w:adjustRightInd w:val="0"/>
      <w:snapToGrid w:val="0"/>
      <w:spacing w:line="460" w:lineRule="exact"/>
      <w:ind w:firstLine="200" w:firstLineChars="200"/>
    </w:pPr>
    <w:rPr>
      <w:kern w:val="0"/>
      <w:sz w:val="24"/>
      <w:szCs w:val="21"/>
    </w:rPr>
  </w:style>
  <w:style w:type="paragraph" w:customStyle="1" w:styleId="45">
    <w:name w:val="Body Text 22"/>
    <w:basedOn w:val="1"/>
    <w:qFormat/>
    <w:uiPriority w:val="0"/>
    <w:pPr>
      <w:adjustRightInd w:val="0"/>
      <w:spacing w:line="440" w:lineRule="atLeast"/>
      <w:ind w:firstLine="480"/>
      <w:textAlignment w:val="baseline"/>
    </w:pPr>
    <w:rPr>
      <w:rFonts w:eastAsia="仿宋_GB2312" w:cs="Dutch801 Rm BT"/>
      <w:sz w:val="24"/>
      <w:szCs w:val="20"/>
    </w:rPr>
  </w:style>
  <w:style w:type="paragraph" w:customStyle="1" w:styleId="46">
    <w:name w:val="p0"/>
    <w:basedOn w:val="1"/>
    <w:qFormat/>
    <w:uiPriority w:val="0"/>
    <w:pPr>
      <w:widowControl/>
    </w:pPr>
    <w:rPr>
      <w:kern w:val="0"/>
      <w:szCs w:val="21"/>
    </w:rPr>
  </w:style>
  <w:style w:type="paragraph" w:customStyle="1" w:styleId="47">
    <w:name w:val="4小表"/>
    <w:basedOn w:val="1"/>
    <w:qFormat/>
    <w:uiPriority w:val="0"/>
    <w:pPr>
      <w:adjustRightInd w:val="0"/>
      <w:snapToGrid w:val="0"/>
      <w:jc w:val="center"/>
    </w:pPr>
    <w:rPr>
      <w:kern w:val="0"/>
      <w:szCs w:val="21"/>
    </w:rPr>
  </w:style>
  <w:style w:type="paragraph" w:customStyle="1" w:styleId="48">
    <w:name w:val="L正文"/>
    <w:basedOn w:val="1"/>
    <w:qFormat/>
    <w:uiPriority w:val="0"/>
    <w:pPr>
      <w:adjustRightInd w:val="0"/>
      <w:snapToGrid w:val="0"/>
      <w:spacing w:line="460" w:lineRule="exact"/>
      <w:ind w:firstLine="200" w:firstLineChars="200"/>
      <w:jc w:val="left"/>
    </w:pPr>
    <w:rPr>
      <w:sz w:val="24"/>
    </w:rPr>
  </w:style>
  <w:style w:type="paragraph" w:customStyle="1" w:styleId="49">
    <w:name w:val="Table Paragraph"/>
    <w:basedOn w:val="1"/>
    <w:qFormat/>
    <w:uiPriority w:val="1"/>
    <w:pPr>
      <w:autoSpaceDE w:val="0"/>
      <w:autoSpaceDN w:val="0"/>
      <w:adjustRightInd w:val="0"/>
      <w:spacing w:line="360" w:lineRule="auto"/>
      <w:ind w:firstLine="643" w:firstLineChars="200"/>
      <w:jc w:val="left"/>
    </w:pPr>
    <w:rPr>
      <w:kern w:val="0"/>
      <w:sz w:val="24"/>
    </w:rPr>
  </w:style>
  <w:style w:type="paragraph" w:customStyle="1" w:styleId="50">
    <w:name w:val="表格正文"/>
    <w:basedOn w:val="1"/>
    <w:qFormat/>
    <w:uiPriority w:val="0"/>
    <w:pPr>
      <w:spacing w:line="360" w:lineRule="exact"/>
      <w:jc w:val="center"/>
    </w:pPr>
  </w:style>
  <w:style w:type="paragraph" w:customStyle="1" w:styleId="51">
    <w:name w:val="Other|1"/>
    <w:basedOn w:val="1"/>
    <w:qFormat/>
    <w:uiPriority w:val="0"/>
    <w:pPr>
      <w:spacing w:after="150" w:line="480" w:lineRule="auto"/>
      <w:ind w:firstLine="400"/>
      <w:jc w:val="left"/>
    </w:pPr>
    <w:rPr>
      <w:rFonts w:ascii="宋体" w:hAnsi="宋体" w:cs="宋体"/>
      <w:kern w:val="0"/>
      <w:sz w:val="19"/>
      <w:szCs w:val="19"/>
      <w:lang w:val="zh-TW" w:eastAsia="zh-TW" w:bidi="zh-TW"/>
    </w:rPr>
  </w:style>
  <w:style w:type="paragraph" w:customStyle="1" w:styleId="52">
    <w:name w:val="正文01"/>
    <w:basedOn w:val="1"/>
    <w:qFormat/>
    <w:uiPriority w:val="0"/>
    <w:pPr>
      <w:autoSpaceDE w:val="0"/>
      <w:autoSpaceDN w:val="0"/>
      <w:adjustRightInd w:val="0"/>
      <w:spacing w:line="360" w:lineRule="auto"/>
      <w:ind w:firstLine="482"/>
      <w:textAlignment w:val="baseline"/>
    </w:pPr>
    <w:rPr>
      <w:kern w:val="0"/>
      <w:sz w:val="24"/>
      <w:szCs w:val="20"/>
    </w:rPr>
  </w:style>
  <w:style w:type="character" w:customStyle="1" w:styleId="53">
    <w:name w:val="批注文字 Char"/>
    <w:basedOn w:val="24"/>
    <w:link w:val="9"/>
    <w:semiHidden/>
    <w:qFormat/>
    <w:uiPriority w:val="99"/>
    <w:rPr>
      <w:kern w:val="2"/>
      <w:sz w:val="21"/>
      <w:szCs w:val="24"/>
    </w:rPr>
  </w:style>
  <w:style w:type="character" w:customStyle="1" w:styleId="54">
    <w:name w:val="批注主题 Char"/>
    <w:basedOn w:val="53"/>
    <w:link w:val="20"/>
    <w:semiHidden/>
    <w:qFormat/>
    <w:uiPriority w:val="99"/>
    <w:rPr>
      <w:b/>
      <w:bCs/>
      <w:kern w:val="2"/>
      <w:sz w:val="21"/>
      <w:szCs w:val="24"/>
    </w:rPr>
  </w:style>
  <w:style w:type="character" w:customStyle="1" w:styleId="55">
    <w:name w:val="批注框文本 Char"/>
    <w:basedOn w:val="24"/>
    <w:link w:val="16"/>
    <w:semiHidden/>
    <w:qFormat/>
    <w:uiPriority w:val="99"/>
    <w:rPr>
      <w:kern w:val="2"/>
      <w:sz w:val="18"/>
      <w:szCs w:val="18"/>
    </w:rPr>
  </w:style>
  <w:style w:type="paragraph" w:styleId="56">
    <w:name w:val="List Paragraph"/>
    <w:basedOn w:val="1"/>
    <w:qFormat/>
    <w:uiPriority w:val="99"/>
    <w:pPr>
      <w:ind w:firstLine="420" w:firstLineChars="200"/>
    </w:pPr>
  </w:style>
  <w:style w:type="paragraph" w:customStyle="1" w:styleId="57">
    <w:name w:val="表格填充1"/>
    <w:basedOn w:val="1"/>
    <w:qFormat/>
    <w:uiPriority w:val="0"/>
    <w:pPr>
      <w:adjustRightInd w:val="0"/>
      <w:snapToGrid w:val="0"/>
      <w:spacing w:line="400" w:lineRule="exact"/>
      <w:jc w:val="center"/>
    </w:pPr>
    <w:rPr>
      <w:snapToGrid w:val="0"/>
      <w:kern w:val="0"/>
      <w:szCs w:val="18"/>
    </w:rPr>
  </w:style>
  <w:style w:type="paragraph" w:customStyle="1" w:styleId="58">
    <w:name w:val="Char11"/>
    <w:basedOn w:val="1"/>
    <w:qFormat/>
    <w:uiPriority w:val="0"/>
    <w:pPr>
      <w:spacing w:line="360" w:lineRule="auto"/>
      <w:ind w:firstLine="200" w:firstLineChars="200"/>
    </w:pPr>
    <w:rPr>
      <w:rFonts w:ascii="宋体" w:hAnsi="宋体" w:cs="宋体"/>
      <w:sz w:val="24"/>
    </w:rPr>
  </w:style>
  <w:style w:type="paragraph" w:customStyle="1" w:styleId="59">
    <w:name w:val="BGZW"/>
    <w:qFormat/>
    <w:uiPriority w:val="0"/>
    <w:pPr>
      <w:widowControl w:val="0"/>
      <w:spacing w:line="360" w:lineRule="auto"/>
      <w:ind w:firstLine="480" w:firstLineChars="200"/>
      <w:jc w:val="both"/>
    </w:pPr>
    <w:rPr>
      <w:rFonts w:ascii="Times New Roman" w:hAnsi="Times New Roman" w:eastAsia="宋体" w:cs="宋体"/>
      <w:snapToGrid w:val="0"/>
      <w:sz w:val="24"/>
      <w:lang w:val="en-US" w:eastAsia="zh-CN" w:bidi="ar-SA"/>
    </w:rPr>
  </w:style>
  <w:style w:type="paragraph" w:customStyle="1" w:styleId="60">
    <w:name w:val="正文（陈闻文）"/>
    <w:basedOn w:val="10"/>
    <w:qFormat/>
    <w:uiPriority w:val="0"/>
    <w:pPr>
      <w:overflowPunct w:val="0"/>
      <w:topLinePunct/>
      <w:autoSpaceDE w:val="0"/>
      <w:autoSpaceDN w:val="0"/>
      <w:ind w:firstLine="482"/>
    </w:pPr>
    <w:rPr>
      <w:rFonts w:eastAsiaTheme="minorEastAsia"/>
      <w:sz w:val="24"/>
    </w:rPr>
  </w:style>
  <w:style w:type="paragraph" w:customStyle="1" w:styleId="61">
    <w:name w:val="表内文字（陈闻文）"/>
    <w:qFormat/>
    <w:uiPriority w:val="0"/>
    <w:pPr>
      <w:widowControl w:val="0"/>
      <w:spacing w:line="200" w:lineRule="atLeast"/>
      <w:jc w:val="center"/>
    </w:pPr>
    <w:rPr>
      <w:rFonts w:ascii="Times New Roman" w:hAnsi="Times New Roman" w:eastAsia="宋体" w:cs="Calibri"/>
      <w:color w:val="000000"/>
      <w:kern w:val="2"/>
      <w:sz w:val="21"/>
      <w:szCs w:val="22"/>
      <w:lang w:val="en-US" w:eastAsia="zh-CN" w:bidi="ar-SA"/>
    </w:rPr>
  </w:style>
  <w:style w:type="paragraph" w:customStyle="1" w:styleId="62">
    <w:name w:val="表"/>
    <w:basedOn w:val="8"/>
    <w:qFormat/>
    <w:uiPriority w:val="0"/>
    <w:pPr>
      <w:tabs>
        <w:tab w:val="left" w:pos="1736"/>
        <w:tab w:val="left" w:pos="2476"/>
        <w:tab w:val="left" w:pos="5505"/>
        <w:tab w:val="left" w:pos="9692"/>
      </w:tabs>
      <w:spacing w:line="360" w:lineRule="exact"/>
      <w:jc w:val="center"/>
    </w:pPr>
    <w:rPr>
      <w:snapToGrid w:val="0"/>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1.bin"/><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numbering" Target="numbering.xml"/><Relationship Id="rId24" Type="http://schemas.openxmlformats.org/officeDocument/2006/relationships/image" Target="media/image11.jpeg"/><Relationship Id="rId23" Type="http://schemas.openxmlformats.org/officeDocument/2006/relationships/image" Target="media/image10.wmf"/><Relationship Id="rId22" Type="http://schemas.openxmlformats.org/officeDocument/2006/relationships/oleObject" Target="embeddings/oleObject8.bin"/><Relationship Id="rId21" Type="http://schemas.openxmlformats.org/officeDocument/2006/relationships/image" Target="media/image9.png"/><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oleObject" Target="embeddings/oleObject6.bin"/><Relationship Id="rId17" Type="http://schemas.openxmlformats.org/officeDocument/2006/relationships/image" Target="media/image7.emf"/><Relationship Id="rId16" Type="http://schemas.openxmlformats.org/officeDocument/2006/relationships/oleObject" Target="embeddings/oleObject5.bin"/><Relationship Id="rId15" Type="http://schemas.openxmlformats.org/officeDocument/2006/relationships/image" Target="media/image6.emf"/><Relationship Id="rId14" Type="http://schemas.openxmlformats.org/officeDocument/2006/relationships/oleObject" Target="embeddings/oleObject4.bin"/><Relationship Id="rId13" Type="http://schemas.openxmlformats.org/officeDocument/2006/relationships/image" Target="media/image5.emf"/><Relationship Id="rId12" Type="http://schemas.openxmlformats.org/officeDocument/2006/relationships/oleObject" Target="embeddings/oleObject3.bin"/><Relationship Id="rId11" Type="http://schemas.openxmlformats.org/officeDocument/2006/relationships/image" Target="media/image4.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81C7B-AF92-458A-92C4-83F565A8205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70</Pages>
  <Words>44613</Words>
  <Characters>51400</Characters>
  <Lines>408</Lines>
  <Paragraphs>114</Paragraphs>
  <TotalTime>0</TotalTime>
  <ScaleCrop>false</ScaleCrop>
  <LinksUpToDate>false</LinksUpToDate>
  <CharactersWithSpaces>51538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2023-05-24T03:59:00Z</dcterms:created>
  <dc:creator>Administrator</dc:creator>
  <cp:lastModifiedBy>陈春曦</cp:lastModifiedBy>
  <cp:lastPrinted>2021-10-18T04:59:00Z</cp:lastPrinted>
  <dcterms:modified xsi:type="dcterms:W3CDTF">2023-08-18T05:42:27Z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C61B8003F97D4DDD9595F6933DD0B29A</vt:lpwstr>
  </property>
</Properties>
</file>