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315" w:lineRule="atLeast"/>
        <w:ind w:left="2240" w:right="0" w:hanging="2240"/>
        <w:jc w:val="left"/>
        <w:rPr>
          <w:rFonts w:ascii="sans-serif" w:hAnsi="sans-serif" w:eastAsia="sans-serif" w:cs="sans-serif"/>
          <w:i w:val="0"/>
          <w:caps w:val="0"/>
          <w:color w:val="000000"/>
          <w:spacing w:val="0"/>
          <w:sz w:val="32"/>
          <w:szCs w:val="32"/>
        </w:rPr>
      </w:pPr>
      <w:r>
        <w:rPr>
          <w:rFonts w:ascii="方正黑体_GBK" w:hAnsi="方正黑体_GBK" w:eastAsia="方正黑体_GBK" w:cs="方正黑体_GBK"/>
          <w:i w:val="0"/>
          <w:caps w:val="0"/>
          <w:color w:val="000000"/>
          <w:spacing w:val="0"/>
          <w:sz w:val="32"/>
          <w:szCs w:val="32"/>
        </w:rPr>
        <w:t>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11" w:right="0" w:hanging="11"/>
        <w:jc w:val="center"/>
        <w:textAlignment w:val="auto"/>
        <w:rPr>
          <w:rFonts w:hint="default" w:ascii="sans-serif" w:hAnsi="sans-serif" w:eastAsia="sans-serif" w:cs="sans-serif"/>
          <w:i w:val="0"/>
          <w:caps w:val="0"/>
          <w:color w:val="000000"/>
          <w:spacing w:val="0"/>
          <w:sz w:val="44"/>
          <w:szCs w:val="44"/>
        </w:rPr>
      </w:pPr>
      <w:r>
        <w:rPr>
          <w:rFonts w:hint="default" w:ascii="Times New Roman" w:hAnsi="Times New Roman" w:eastAsia="sans-serif" w:cs="Times New Roman"/>
          <w:i w:val="0"/>
          <w:caps w:val="0"/>
          <w:color w:val="000000"/>
          <w:spacing w:val="0"/>
          <w:sz w:val="44"/>
          <w:szCs w:val="44"/>
        </w:rPr>
        <w:t>2023-2025</w:t>
      </w:r>
      <w:r>
        <w:rPr>
          <w:rFonts w:ascii="方正小标宋_GBK" w:hAnsi="方正小标宋_GBK" w:eastAsia="方正小标宋_GBK" w:cs="方正小标宋_GBK"/>
          <w:i w:val="0"/>
          <w:caps w:val="0"/>
          <w:color w:val="000000"/>
          <w:spacing w:val="0"/>
          <w:sz w:val="44"/>
          <w:szCs w:val="44"/>
        </w:rPr>
        <w:t>年铜梁区县域商业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11" w:right="0" w:hanging="11"/>
        <w:jc w:val="center"/>
        <w:textAlignment w:val="auto"/>
        <w:rPr>
          <w:rFonts w:hint="default" w:ascii="sans-serif" w:hAnsi="sans-serif" w:eastAsia="sans-serif" w:cs="sans-serif"/>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体系建设专项资金储备项目申报指南</w:t>
      </w:r>
    </w:p>
    <w:p>
      <w:pPr>
        <w:pStyle w:val="4"/>
        <w:keepNext w:val="0"/>
        <w:keepLines w:val="0"/>
        <w:widowControl/>
        <w:suppressLineNumbers w:val="0"/>
        <w:spacing w:before="0" w:beforeAutospacing="0" w:after="0" w:afterAutospacing="0" w:line="600" w:lineRule="atLeast"/>
        <w:ind w:left="0" w:right="0" w:firstLine="64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32"/>
          <w:szCs w:val="32"/>
        </w:rPr>
        <w:t> </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一、支持方向和标准</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2"/>
          <w:szCs w:val="32"/>
        </w:rPr>
        <w:t>（一）镇级商贸中心改造提升项目</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1.</w:t>
      </w:r>
      <w:r>
        <w:rPr>
          <w:rFonts w:ascii="方正仿宋_GBK" w:hAnsi="方正仿宋_GBK" w:eastAsia="方正仿宋_GBK" w:cs="方正仿宋_GBK"/>
          <w:b/>
          <w:i w:val="0"/>
          <w:caps w:val="0"/>
          <w:color w:val="000000"/>
          <w:spacing w:val="0"/>
          <w:sz w:val="32"/>
          <w:szCs w:val="32"/>
        </w:rPr>
        <w:t>支持方向。</w:t>
      </w:r>
      <w:r>
        <w:rPr>
          <w:rFonts w:hint="eastAsia" w:ascii="方正仿宋_GBK" w:hAnsi="方正仿宋_GBK" w:eastAsia="方正仿宋_GBK" w:cs="方正仿宋_GBK"/>
          <w:i w:val="0"/>
          <w:caps w:val="0"/>
          <w:color w:val="000000"/>
          <w:spacing w:val="0"/>
          <w:sz w:val="32"/>
          <w:szCs w:val="32"/>
        </w:rPr>
        <w:t>以人口相对聚集的镇为重点，支持升级改造一批商贸中心、大中型超市、集贸市场等，完善配备电子收款机（</w:t>
      </w:r>
      <w:r>
        <w:rPr>
          <w:rFonts w:hint="default" w:ascii="Times New Roman" w:hAnsi="Times New Roman" w:eastAsia="sans-serif" w:cs="Times New Roman"/>
          <w:i w:val="0"/>
          <w:caps w:val="0"/>
          <w:color w:val="000000"/>
          <w:spacing w:val="0"/>
          <w:sz w:val="32"/>
          <w:szCs w:val="32"/>
        </w:rPr>
        <w:t>POS</w:t>
      </w:r>
      <w:r>
        <w:rPr>
          <w:rFonts w:hint="eastAsia" w:ascii="方正仿宋_GBK" w:hAnsi="方正仿宋_GBK" w:eastAsia="方正仿宋_GBK" w:cs="方正仿宋_GBK"/>
          <w:i w:val="0"/>
          <w:caps w:val="0"/>
          <w:color w:val="000000"/>
          <w:spacing w:val="0"/>
          <w:sz w:val="32"/>
          <w:szCs w:val="32"/>
        </w:rPr>
        <w:t>机）、电脑、打印机、线上线下购物（发布服务信息）系统、电子商务、货架陈列、配建消防设施、店招店牌等信息系统和相关设备设施。设置统一的镇级商贸中心标识标牌。完善休闲娱乐设施、固定（临时）停车位、环境整治等基础设施设备配套建设，丰富家居百货、洗衣修鞋、维修、美容美发、餐饮、休闲娱乐、亲子教育等服务业态、拓展消费新业态新场景，打造镇级商业集聚区。</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b/>
          <w:i w:val="0"/>
          <w:caps w:val="0"/>
          <w:color w:val="000000"/>
          <w:spacing w:val="0"/>
          <w:sz w:val="32"/>
          <w:szCs w:val="32"/>
        </w:rPr>
        <w:t>支持标准。</w:t>
      </w:r>
      <w:r>
        <w:rPr>
          <w:rFonts w:hint="eastAsia" w:ascii="方正仿宋_GBK" w:hAnsi="方正仿宋_GBK" w:eastAsia="方正仿宋_GBK" w:cs="方正仿宋_GBK"/>
          <w:i w:val="0"/>
          <w:caps w:val="0"/>
          <w:color w:val="000000"/>
          <w:spacing w:val="0"/>
          <w:sz w:val="32"/>
          <w:szCs w:val="32"/>
        </w:rPr>
        <w:t>以镇为单位，按照不超过项目实际投资额的</w:t>
      </w:r>
      <w:r>
        <w:rPr>
          <w:rFonts w:hint="default" w:ascii="Times New Roman" w:hAnsi="Times New Roman" w:eastAsia="sans-serif" w:cs="Times New Roman"/>
          <w:i w:val="0"/>
          <w:caps w:val="0"/>
          <w:color w:val="000000"/>
          <w:spacing w:val="0"/>
          <w:sz w:val="32"/>
          <w:szCs w:val="32"/>
        </w:rPr>
        <w:t>40%</w:t>
      </w:r>
      <w:r>
        <w:rPr>
          <w:rFonts w:hint="eastAsia" w:ascii="方正仿宋_GBK" w:hAnsi="方正仿宋_GBK" w:eastAsia="方正仿宋_GBK" w:cs="方正仿宋_GBK"/>
          <w:i w:val="0"/>
          <w:caps w:val="0"/>
          <w:color w:val="000000"/>
          <w:spacing w:val="0"/>
          <w:sz w:val="32"/>
          <w:szCs w:val="32"/>
        </w:rPr>
        <w:t>给予资金支持，每个镇级商贸中心支持金额最高不超过</w:t>
      </w:r>
      <w:r>
        <w:rPr>
          <w:rFonts w:hint="default" w:ascii="Times New Roman" w:hAnsi="Times New Roman" w:eastAsia="sans-serif" w:cs="Times New Roman"/>
          <w:i w:val="0"/>
          <w:caps w:val="0"/>
          <w:color w:val="000000"/>
          <w:spacing w:val="0"/>
          <w:sz w:val="32"/>
          <w:szCs w:val="32"/>
        </w:rPr>
        <w:t>100</w:t>
      </w:r>
      <w:r>
        <w:rPr>
          <w:rFonts w:hint="eastAsia" w:ascii="方正仿宋_GBK" w:hAnsi="方正仿宋_GBK" w:eastAsia="方正仿宋_GBK" w:cs="方正仿宋_GBK"/>
          <w:i w:val="0"/>
          <w:caps w:val="0"/>
          <w:color w:val="000000"/>
          <w:spacing w:val="0"/>
          <w:sz w:val="32"/>
          <w:szCs w:val="32"/>
        </w:rPr>
        <w:t>万元。</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（二）区、镇级物流体系项目</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b/>
          <w:i w:val="0"/>
          <w:caps w:val="0"/>
          <w:color w:val="000000"/>
          <w:spacing w:val="0"/>
          <w:sz w:val="32"/>
          <w:szCs w:val="32"/>
        </w:rPr>
        <w:t>1.支持方向</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）改造提升区级寄递物流配送中心。按照</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统一分拨处理、统一运输配送、统一末端站点、统一服务标准、统一信息系统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的建设模式，采取由区级统一配送到村级或由区级统一转运至镇街再配送至村级农村网点的运输模式，缩短快递送达村户平均时间，对建设改造的县级物流配送中心，配备统一的货架、仓库、分拣、配送车辆、装卸设备等设施，完善标准化的仓储、快递分拣、配送车辆等物流设施，满足统仓共配要求，提升城乡共同配送中心服务功能、辐射能力，打造县域物流配送体系核心枢纽。引进自动化分拣线，提升日均处理能力。</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改扩建镇级寄递物流中转站。按照“统筹协同、因地制宜、分类推进”的工作思路，在保证邮政普遍服务和特殊服务质量的前提下，对镇级客运站、服务站、电商服务中心、农资站及原有邮政设施等改造提升，增加快递分拣、配送、快件收取、电商、通信业务等功能，提高综合利用率，与区级寄递物流公共配送中心形成合力，降低物流成本。</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b/>
          <w:i w:val="0"/>
          <w:caps w:val="0"/>
          <w:color w:val="000000"/>
          <w:spacing w:val="0"/>
          <w:sz w:val="32"/>
          <w:szCs w:val="32"/>
        </w:rPr>
        <w:t>2.</w:t>
      </w:r>
      <w:r>
        <w:rPr>
          <w:rFonts w:hint="eastAsia" w:ascii="方正仿宋_GBK" w:hAnsi="方正仿宋_GBK" w:eastAsia="方正仿宋_GBK" w:cs="方正仿宋_GBK"/>
          <w:b/>
          <w:i w:val="0"/>
          <w:caps w:val="0"/>
          <w:color w:val="000000"/>
          <w:spacing w:val="0"/>
          <w:sz w:val="32"/>
          <w:szCs w:val="32"/>
        </w:rPr>
        <w:t>支持标准。</w:t>
      </w:r>
      <w:r>
        <w:rPr>
          <w:rFonts w:hint="eastAsia" w:ascii="方正仿宋_GBK" w:hAnsi="方正仿宋_GBK" w:eastAsia="方正仿宋_GBK" w:cs="方正仿宋_GBK"/>
          <w:i w:val="0"/>
          <w:caps w:val="0"/>
          <w:color w:val="000000"/>
          <w:spacing w:val="0"/>
          <w:sz w:val="32"/>
          <w:szCs w:val="32"/>
        </w:rPr>
        <w:t>按照不超过项目实际投资额的</w:t>
      </w:r>
      <w:r>
        <w:rPr>
          <w:rFonts w:hint="default" w:ascii="Times New Roman" w:hAnsi="Times New Roman" w:eastAsia="sans-serif" w:cs="Times New Roman"/>
          <w:i w:val="0"/>
          <w:caps w:val="0"/>
          <w:color w:val="000000"/>
          <w:spacing w:val="0"/>
          <w:sz w:val="32"/>
          <w:szCs w:val="32"/>
        </w:rPr>
        <w:t>40%</w:t>
      </w:r>
      <w:r>
        <w:rPr>
          <w:rFonts w:hint="eastAsia" w:ascii="方正仿宋_GBK" w:hAnsi="方正仿宋_GBK" w:eastAsia="方正仿宋_GBK" w:cs="方正仿宋_GBK"/>
          <w:i w:val="0"/>
          <w:caps w:val="0"/>
          <w:color w:val="000000"/>
          <w:spacing w:val="0"/>
          <w:sz w:val="32"/>
          <w:szCs w:val="32"/>
        </w:rPr>
        <w:t>给予资金支持。改造提升区级寄递物流配送中心最高不超过</w:t>
      </w:r>
      <w:r>
        <w:rPr>
          <w:rFonts w:hint="default" w:ascii="Times New Roman" w:hAnsi="Times New Roman" w:eastAsia="sans-serif" w:cs="Times New Roman"/>
          <w:i w:val="0"/>
          <w:caps w:val="0"/>
          <w:color w:val="000000"/>
          <w:spacing w:val="0"/>
          <w:sz w:val="32"/>
          <w:szCs w:val="32"/>
        </w:rPr>
        <w:t>200</w:t>
      </w:r>
      <w:r>
        <w:rPr>
          <w:rFonts w:hint="eastAsia" w:ascii="方正仿宋_GBK" w:hAnsi="方正仿宋_GBK" w:eastAsia="方正仿宋_GBK" w:cs="方正仿宋_GBK"/>
          <w:i w:val="0"/>
          <w:caps w:val="0"/>
          <w:color w:val="000000"/>
          <w:spacing w:val="0"/>
          <w:sz w:val="32"/>
          <w:szCs w:val="32"/>
        </w:rPr>
        <w:t>万元，改扩建镇级寄递物流中转站最高不超过</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个。</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（三）供应链下沉项目</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b/>
          <w:i w:val="0"/>
          <w:caps w:val="0"/>
          <w:color w:val="000000"/>
          <w:spacing w:val="0"/>
          <w:sz w:val="32"/>
          <w:szCs w:val="32"/>
        </w:rPr>
        <w:t>1.</w:t>
      </w:r>
      <w:r>
        <w:rPr>
          <w:rFonts w:hint="eastAsia" w:ascii="方正仿宋_GBK" w:hAnsi="方正仿宋_GBK" w:eastAsia="方正仿宋_GBK" w:cs="方正仿宋_GBK"/>
          <w:b/>
          <w:i w:val="0"/>
          <w:caps w:val="0"/>
          <w:color w:val="000000"/>
          <w:spacing w:val="0"/>
          <w:sz w:val="32"/>
          <w:szCs w:val="32"/>
        </w:rPr>
        <w:t>支持方向。</w:t>
      </w:r>
      <w:r>
        <w:rPr>
          <w:rFonts w:hint="eastAsia" w:ascii="方正仿宋_GBK" w:hAnsi="方正仿宋_GBK" w:eastAsia="方正仿宋_GBK" w:cs="方正仿宋_GBK"/>
          <w:i w:val="0"/>
          <w:caps w:val="0"/>
          <w:color w:val="000000"/>
          <w:spacing w:val="0"/>
          <w:sz w:val="32"/>
          <w:szCs w:val="32"/>
        </w:rPr>
        <w:t>加强龙头商贸流通企业培育，引导大型流通企业下沉镇级和村社发展供应链，布局一批中心仓、前置仓、物流仓储等设施，提供直供直销、集中采购、统一配送、现代仓配建设和管理等服务。支持本地商贸流通企业组建联合购销平台，加大农村地区商品投放力度。发挥龙头企业示范引领作用，引导农村邮政、供销、电商、商贸流通企业从传统批发、零售向综合性服务转变，整合购物、订餐、家政、职介、租赁、同城配送等服务，发展购物、餐饮、亲子、娱乐、农资等多种业态，提高社区、村镇生活服务的便捷性和服务质量；引导商贸流通、电子商务、生活服务与现代农业、乡村旅游、加工制造等特色产业跨界融合，增强服务业推动生产、促进流通、扩大消费的功能。</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b/>
          <w:i w:val="0"/>
          <w:caps w:val="0"/>
          <w:color w:val="000000"/>
          <w:spacing w:val="0"/>
          <w:sz w:val="32"/>
          <w:szCs w:val="32"/>
        </w:rPr>
        <w:t>2.</w:t>
      </w:r>
      <w:r>
        <w:rPr>
          <w:rFonts w:hint="eastAsia" w:ascii="方正仿宋_GBK" w:hAnsi="方正仿宋_GBK" w:eastAsia="方正仿宋_GBK" w:cs="方正仿宋_GBK"/>
          <w:b/>
          <w:i w:val="0"/>
          <w:caps w:val="0"/>
          <w:color w:val="000000"/>
          <w:spacing w:val="0"/>
          <w:sz w:val="32"/>
          <w:szCs w:val="32"/>
        </w:rPr>
        <w:t>支持标准。</w:t>
      </w:r>
      <w:r>
        <w:rPr>
          <w:rFonts w:hint="eastAsia" w:ascii="方正仿宋_GBK" w:hAnsi="方正仿宋_GBK" w:eastAsia="方正仿宋_GBK" w:cs="方正仿宋_GBK"/>
          <w:i w:val="0"/>
          <w:caps w:val="0"/>
          <w:color w:val="000000"/>
          <w:spacing w:val="0"/>
          <w:sz w:val="32"/>
          <w:szCs w:val="32"/>
        </w:rPr>
        <w:t>以项目为单位，按照不超过项目实际投资额的</w:t>
      </w:r>
      <w:r>
        <w:rPr>
          <w:rFonts w:hint="default" w:ascii="Times New Roman" w:hAnsi="Times New Roman" w:eastAsia="sans-serif" w:cs="Times New Roman"/>
          <w:i w:val="0"/>
          <w:caps w:val="0"/>
          <w:color w:val="000000"/>
          <w:spacing w:val="0"/>
          <w:sz w:val="32"/>
          <w:szCs w:val="32"/>
        </w:rPr>
        <w:t>40%</w:t>
      </w:r>
      <w:r>
        <w:rPr>
          <w:rFonts w:hint="eastAsia" w:ascii="方正仿宋_GBK" w:hAnsi="方正仿宋_GBK" w:eastAsia="方正仿宋_GBK" w:cs="方正仿宋_GBK"/>
          <w:i w:val="0"/>
          <w:caps w:val="0"/>
          <w:color w:val="000000"/>
          <w:spacing w:val="0"/>
          <w:sz w:val="32"/>
          <w:szCs w:val="32"/>
        </w:rPr>
        <w:t>给予资金支持，最高不超过</w:t>
      </w:r>
      <w:r>
        <w:rPr>
          <w:rFonts w:hint="default" w:ascii="Times New Roman" w:hAnsi="Times New Roman" w:eastAsia="sans-serif" w:cs="Times New Roman"/>
          <w:i w:val="0"/>
          <w:caps w:val="0"/>
          <w:color w:val="000000"/>
          <w:spacing w:val="0"/>
          <w:sz w:val="32"/>
          <w:szCs w:val="32"/>
        </w:rPr>
        <w:t>200</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个。</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（四）农产品上行项目</w:t>
      </w:r>
    </w:p>
    <w:p>
      <w:pPr>
        <w:pStyle w:val="4"/>
        <w:keepNext w:val="0"/>
        <w:keepLines w:val="0"/>
        <w:widowControl/>
        <w:suppressLineNumbers w:val="0"/>
        <w:spacing w:before="0" w:beforeAutospacing="0" w:after="0" w:afterAutospacing="0" w:line="579" w:lineRule="atLeast"/>
        <w:ind w:left="0" w:right="210" w:firstLine="640"/>
        <w:jc w:val="lef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b/>
          <w:i w:val="0"/>
          <w:caps w:val="0"/>
          <w:color w:val="000000"/>
          <w:spacing w:val="0"/>
          <w:sz w:val="32"/>
          <w:szCs w:val="32"/>
        </w:rPr>
        <w:t>1.</w:t>
      </w:r>
      <w:r>
        <w:rPr>
          <w:rFonts w:hint="eastAsia" w:ascii="方正仿宋_GBK" w:hAnsi="方正仿宋_GBK" w:eastAsia="方正仿宋_GBK" w:cs="方正仿宋_GBK"/>
          <w:b/>
          <w:i w:val="0"/>
          <w:caps w:val="0"/>
          <w:color w:val="000000"/>
          <w:spacing w:val="0"/>
          <w:sz w:val="32"/>
          <w:szCs w:val="32"/>
        </w:rPr>
        <w:t>支持方向。</w:t>
      </w:r>
      <w:r>
        <w:rPr>
          <w:rFonts w:hint="eastAsia" w:ascii="方正仿宋_GBK" w:hAnsi="方正仿宋_GBK" w:eastAsia="方正仿宋_GBK" w:cs="方正仿宋_GBK"/>
          <w:i w:val="0"/>
          <w:caps w:val="0"/>
          <w:color w:val="000000"/>
          <w:spacing w:val="0"/>
          <w:sz w:val="32"/>
          <w:szCs w:val="32"/>
        </w:rPr>
        <w:t>引导商贸、电商、专业合作社、集体经济组织等围绕农村产品上行，建设农产品交易市场或集散分拨中心，配备分拣、预冷、初加工、配送等商品化处理设施，加强标准和品牌应用，提高农村产品商品转化率。整合现有电子商务服务网点，统筹产品开发、设计、营销、品牌等服务，拓宽农村产品上行渠道，提高农村电子商务应用水平。补齐农产品供应链“最后一公里”短板，提高农产品商品化处理和错峰销售的能力。</w:t>
      </w:r>
    </w:p>
    <w:p>
      <w:pPr>
        <w:pStyle w:val="4"/>
        <w:keepNext w:val="0"/>
        <w:keepLines w:val="0"/>
        <w:widowControl/>
        <w:suppressLineNumbers w:val="0"/>
        <w:spacing w:before="0" w:beforeAutospacing="0" w:after="0" w:afterAutospacing="0" w:line="579" w:lineRule="atLeast"/>
        <w:ind w:left="0" w:right="210" w:firstLine="640"/>
        <w:jc w:val="lef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b/>
          <w:i w:val="0"/>
          <w:caps w:val="0"/>
          <w:color w:val="000000"/>
          <w:spacing w:val="0"/>
          <w:sz w:val="32"/>
          <w:szCs w:val="32"/>
        </w:rPr>
        <w:t>2.</w:t>
      </w:r>
      <w:r>
        <w:rPr>
          <w:rFonts w:hint="eastAsia" w:ascii="方正仿宋_GBK" w:hAnsi="方正仿宋_GBK" w:eastAsia="方正仿宋_GBK" w:cs="方正仿宋_GBK"/>
          <w:b/>
          <w:i w:val="0"/>
          <w:caps w:val="0"/>
          <w:color w:val="000000"/>
          <w:spacing w:val="0"/>
          <w:sz w:val="32"/>
          <w:szCs w:val="32"/>
        </w:rPr>
        <w:t>支持标准。</w:t>
      </w:r>
      <w:r>
        <w:rPr>
          <w:rFonts w:hint="eastAsia" w:ascii="方正仿宋_GBK" w:hAnsi="方正仿宋_GBK" w:eastAsia="方正仿宋_GBK" w:cs="方正仿宋_GBK"/>
          <w:i w:val="0"/>
          <w:caps w:val="0"/>
          <w:color w:val="000000"/>
          <w:spacing w:val="0"/>
          <w:sz w:val="32"/>
          <w:szCs w:val="32"/>
        </w:rPr>
        <w:t>以项目为单位，按照不超过项目实际投资额的</w:t>
      </w:r>
      <w:r>
        <w:rPr>
          <w:rFonts w:hint="default" w:ascii="Times New Roman" w:hAnsi="Times New Roman" w:eastAsia="sans-serif" w:cs="Times New Roman"/>
          <w:i w:val="0"/>
          <w:caps w:val="0"/>
          <w:color w:val="000000"/>
          <w:spacing w:val="0"/>
          <w:sz w:val="32"/>
          <w:szCs w:val="32"/>
        </w:rPr>
        <w:t>40%</w:t>
      </w:r>
      <w:r>
        <w:rPr>
          <w:rFonts w:hint="eastAsia" w:ascii="方正仿宋_GBK" w:hAnsi="方正仿宋_GBK" w:eastAsia="方正仿宋_GBK" w:cs="方正仿宋_GBK"/>
          <w:i w:val="0"/>
          <w:caps w:val="0"/>
          <w:color w:val="000000"/>
          <w:spacing w:val="0"/>
          <w:sz w:val="32"/>
          <w:szCs w:val="32"/>
        </w:rPr>
        <w:t>给予资金支持，最高不超过</w:t>
      </w:r>
      <w:r>
        <w:rPr>
          <w:rFonts w:hint="default" w:ascii="Times New Roman" w:hAnsi="Times New Roman" w:eastAsia="sans-serif" w:cs="Times New Roman"/>
          <w:i w:val="0"/>
          <w:caps w:val="0"/>
          <w:color w:val="000000"/>
          <w:spacing w:val="0"/>
          <w:sz w:val="32"/>
          <w:szCs w:val="32"/>
        </w:rPr>
        <w:t>100</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个。</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二、项目申报条件</w:t>
      </w:r>
    </w:p>
    <w:p>
      <w:pPr>
        <w:pStyle w:val="4"/>
        <w:keepNext w:val="0"/>
        <w:keepLines w:val="0"/>
        <w:widowControl/>
        <w:suppressLineNumbers w:val="0"/>
        <w:spacing w:before="100" w:beforeAutospacing="0" w:after="100" w:afterAutospacing="0" w:line="579" w:lineRule="atLeast"/>
        <w:ind w:left="0" w:right="0" w:firstLine="640"/>
        <w:textAlignment w:val="center"/>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（一）</w:t>
      </w:r>
      <w:r>
        <w:rPr>
          <w:rFonts w:hint="eastAsia" w:ascii="方正仿宋_GBK" w:hAnsi="方正仿宋_GBK" w:eastAsia="方正仿宋_GBK" w:cs="方正仿宋_GBK"/>
          <w:i w:val="0"/>
          <w:caps w:val="0"/>
          <w:color w:val="000000"/>
          <w:spacing w:val="0"/>
          <w:sz w:val="32"/>
          <w:szCs w:val="32"/>
        </w:rPr>
        <w:t>参与铜梁区县域商业体系建设且建设投资内容符合县域商业体系建设支持方向的镇人民政府、有关单位和区内注册的商贸市场主体均可申报。</w:t>
      </w:r>
    </w:p>
    <w:p>
      <w:pPr>
        <w:pStyle w:val="4"/>
        <w:keepNext w:val="0"/>
        <w:keepLines w:val="0"/>
        <w:widowControl/>
        <w:suppressLineNumbers w:val="0"/>
        <w:spacing w:before="100" w:beforeAutospacing="0" w:after="100" w:afterAutospacing="0" w:line="579" w:lineRule="atLeast"/>
        <w:ind w:left="0" w:right="0" w:firstLine="480"/>
        <w:textAlignment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（二）项目申报单位财务管理制度健全，没有重大安全生产事故、偷逃税等违纪违法行为，未列入诚信</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黑名单</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。三年内未发生重大质量、安全生产和环境保护等责任事故等。</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（三）项目建设未获得同一方向同一建设内容财政资金支持。</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三、建设期限</w:t>
      </w:r>
    </w:p>
    <w:p>
      <w:pPr>
        <w:pStyle w:val="4"/>
        <w:keepNext w:val="0"/>
        <w:keepLines w:val="0"/>
        <w:widowControl/>
        <w:suppressLineNumbers w:val="0"/>
        <w:spacing w:before="100" w:beforeAutospacing="0" w:after="100" w:afterAutospacing="0" w:line="579" w:lineRule="atLeast"/>
        <w:ind w:left="0" w:right="0" w:firstLine="640"/>
        <w:textAlignment w:val="center"/>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日</w:t>
      </w:r>
      <w:r>
        <w:rPr>
          <w:rFonts w:hint="default" w:ascii="Times New Roman" w:hAnsi="Times New Roman" w:eastAsia="sans-serif" w:cs="Times New Roman"/>
          <w:i w:val="0"/>
          <w:caps w:val="0"/>
          <w:color w:val="000000"/>
          <w:spacing w:val="0"/>
          <w:sz w:val="32"/>
          <w:szCs w:val="32"/>
        </w:rPr>
        <w:t>—2025</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12</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31</w:t>
      </w:r>
      <w:r>
        <w:rPr>
          <w:rFonts w:hint="eastAsia" w:ascii="方正仿宋_GBK" w:hAnsi="方正仿宋_GBK" w:eastAsia="方正仿宋_GBK" w:cs="方正仿宋_GBK"/>
          <w:i w:val="0"/>
          <w:caps w:val="0"/>
          <w:color w:val="000000"/>
          <w:spacing w:val="0"/>
          <w:sz w:val="32"/>
          <w:szCs w:val="32"/>
        </w:rPr>
        <w:t>日。</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四、项目申报程序</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（一）项目申请。</w:t>
      </w:r>
      <w:r>
        <w:rPr>
          <w:rFonts w:hint="eastAsia" w:ascii="方正仿宋_GBK" w:hAnsi="方正仿宋_GBK" w:eastAsia="方正仿宋_GBK" w:cs="方正仿宋_GBK"/>
          <w:i w:val="0"/>
          <w:caps w:val="0"/>
          <w:color w:val="000000"/>
          <w:spacing w:val="0"/>
          <w:sz w:val="32"/>
          <w:szCs w:val="32"/>
        </w:rPr>
        <w:t>属于镇级项目的，申报材料由属地党委政府初审后报送区商务委；属于区级项目的，项目申报单位将相关材料直接报送区商务委。</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（二）材料清单。</w:t>
      </w:r>
      <w:r>
        <w:rPr>
          <w:rFonts w:hint="eastAsia" w:ascii="方正仿宋_GBK" w:hAnsi="方正仿宋_GBK" w:eastAsia="方正仿宋_GBK" w:cs="方正仿宋_GBK"/>
          <w:i w:val="0"/>
          <w:caps w:val="0"/>
          <w:color w:val="000000"/>
          <w:spacing w:val="0"/>
          <w:sz w:val="32"/>
          <w:szCs w:val="32"/>
        </w:rPr>
        <w:t>申报材料一式</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份（统一用</w:t>
      </w:r>
      <w:r>
        <w:rPr>
          <w:rFonts w:hint="default" w:ascii="Times New Roman" w:hAnsi="Times New Roman" w:eastAsia="sans-serif" w:cs="Times New Roman"/>
          <w:i w:val="0"/>
          <w:caps w:val="0"/>
          <w:color w:val="000000"/>
          <w:spacing w:val="0"/>
          <w:sz w:val="32"/>
          <w:szCs w:val="32"/>
        </w:rPr>
        <w:t>A4</w:t>
      </w:r>
      <w:r>
        <w:rPr>
          <w:rFonts w:hint="eastAsia" w:ascii="方正仿宋_GBK" w:hAnsi="方正仿宋_GBK" w:eastAsia="方正仿宋_GBK" w:cs="方正仿宋_GBK"/>
          <w:i w:val="0"/>
          <w:caps w:val="0"/>
          <w:color w:val="000000"/>
          <w:spacing w:val="0"/>
          <w:sz w:val="32"/>
          <w:szCs w:val="32"/>
        </w:rPr>
        <w:t>纸双面打印，按序编排，编写目录和页码，封面需列明项目申报方向、项目名称、单位名称），按如下顺序列出目录并装订成册：</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申报单位有关证照复印件（营业执照副本、统一社会信用代码证书、法定代表人或负责人身份证等；</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项目申请表（见附件</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项目申报单位承诺书（见附件</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项目建设方案。包括项目实施工作机构、保障措施、建设地址、开展情况（现状）、存在的问题、具体建设内容及投资明细、下一步建设计划等。已完成投资部分和计划投资部分及相关佐证材料。</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（三）项目审核。</w:t>
      </w:r>
      <w:r>
        <w:rPr>
          <w:rFonts w:hint="eastAsia" w:ascii="方正仿宋_GBK" w:hAnsi="方正仿宋_GBK" w:eastAsia="方正仿宋_GBK" w:cs="方正仿宋_GBK"/>
          <w:i w:val="0"/>
          <w:caps w:val="0"/>
          <w:color w:val="000000"/>
          <w:spacing w:val="0"/>
          <w:sz w:val="32"/>
          <w:szCs w:val="32"/>
        </w:rPr>
        <w:t>区商务委会同区财政局，组织专家进行评审，符合条件的纳入备选项目库，对入库项目按照择优原则予以认定支持。并按规定对拟支持项目予以公示。对公示无异议或不影响项目执行的，经集体研究确定后下达项目计划。</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（四）项目执行。</w:t>
      </w:r>
      <w:r>
        <w:rPr>
          <w:rFonts w:hint="eastAsia" w:ascii="方正仿宋_GBK" w:hAnsi="方正仿宋_GBK" w:eastAsia="方正仿宋_GBK" w:cs="方正仿宋_GBK"/>
          <w:i w:val="0"/>
          <w:caps w:val="0"/>
          <w:color w:val="000000"/>
          <w:spacing w:val="0"/>
          <w:sz w:val="32"/>
          <w:szCs w:val="32"/>
        </w:rPr>
        <w:t>对纳入支持的项目，项目实施单位每月定期向区商务委反馈项目进展情况，区商务委不定期开展项目日常督导和监督检查。</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（五）项目验收。</w:t>
      </w:r>
      <w:r>
        <w:rPr>
          <w:rFonts w:hint="eastAsia" w:ascii="方正仿宋_GBK" w:hAnsi="方正仿宋_GBK" w:eastAsia="方正仿宋_GBK" w:cs="方正仿宋_GBK"/>
          <w:i w:val="0"/>
          <w:caps w:val="0"/>
          <w:color w:val="000000"/>
          <w:spacing w:val="0"/>
          <w:sz w:val="32"/>
          <w:szCs w:val="32"/>
        </w:rPr>
        <w:t>项目完成后，项目实施单位应当及时提交验收申请材料，支持金额超过</w:t>
      </w:r>
      <w:r>
        <w:rPr>
          <w:rFonts w:hint="default" w:ascii="Times New Roman" w:hAnsi="Times New Roman" w:eastAsia="sans-serif" w:cs="Times New Roman"/>
          <w:i w:val="0"/>
          <w:caps w:val="0"/>
          <w:color w:val="000000"/>
          <w:spacing w:val="0"/>
          <w:sz w:val="32"/>
          <w:szCs w:val="32"/>
        </w:rPr>
        <w:t>50</w:t>
      </w:r>
      <w:r>
        <w:rPr>
          <w:rFonts w:hint="eastAsia" w:ascii="方正仿宋_GBK" w:hAnsi="方正仿宋_GBK" w:eastAsia="方正仿宋_GBK" w:cs="方正仿宋_GBK"/>
          <w:i w:val="0"/>
          <w:caps w:val="0"/>
          <w:color w:val="000000"/>
          <w:spacing w:val="0"/>
          <w:sz w:val="32"/>
          <w:szCs w:val="32"/>
        </w:rPr>
        <w:t>万元（含</w:t>
      </w:r>
      <w:r>
        <w:rPr>
          <w:rFonts w:hint="default" w:ascii="Times New Roman" w:hAnsi="Times New Roman" w:eastAsia="sans-serif" w:cs="Times New Roman"/>
          <w:i w:val="0"/>
          <w:caps w:val="0"/>
          <w:color w:val="000000"/>
          <w:spacing w:val="0"/>
          <w:sz w:val="32"/>
          <w:szCs w:val="32"/>
        </w:rPr>
        <w:t>50</w:t>
      </w:r>
      <w:r>
        <w:rPr>
          <w:rFonts w:hint="eastAsia" w:ascii="方正仿宋_GBK" w:hAnsi="方正仿宋_GBK" w:eastAsia="方正仿宋_GBK" w:cs="方正仿宋_GBK"/>
          <w:i w:val="0"/>
          <w:caps w:val="0"/>
          <w:color w:val="000000"/>
          <w:spacing w:val="0"/>
          <w:sz w:val="32"/>
          <w:szCs w:val="32"/>
        </w:rPr>
        <w:t>万元）的项目应提供项目专项审计报告，区商务委会同区财政局开展项目审核验收，验收合格后按程序拨付资金。</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五、有关工作要求</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（一）加强组织领导，推动政策落地。</w:t>
      </w:r>
      <w:r>
        <w:rPr>
          <w:rFonts w:hint="eastAsia" w:ascii="方正仿宋_GBK" w:hAnsi="方正仿宋_GBK" w:eastAsia="方正仿宋_GBK" w:cs="方正仿宋_GBK"/>
          <w:i w:val="0"/>
          <w:caps w:val="0"/>
          <w:color w:val="000000"/>
          <w:spacing w:val="0"/>
          <w:sz w:val="32"/>
          <w:szCs w:val="32"/>
        </w:rPr>
        <w:t>此项工作已纳入乡村振兴考核内容之一，原则上每个镇都要参与建设，各镇党委政府务必高度重视，将此项工作纳入议事日程，制定工作方案、细化工作措施、明确责任分工，把项目申报工作做深、做细、做出成效。</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（二）广泛组织发动，</w:t>
      </w:r>
      <w:r>
        <w:rPr>
          <w:rFonts w:hint="eastAsia" w:ascii="方正仿宋_GBK" w:hAnsi="方正仿宋_GBK" w:eastAsia="方正仿宋_GBK" w:cs="方正仿宋_GBK"/>
          <w:i w:val="0"/>
          <w:caps w:val="0"/>
          <w:color w:val="000000"/>
          <w:spacing w:val="0"/>
          <w:sz w:val="32"/>
          <w:szCs w:val="32"/>
        </w:rPr>
        <w:t>牢固树立服务意识。发挥好身处一线的优势，主动走进企业，深入宣传中央、市级和铜梁区出台的商务产业发展政策，为符合条件的市场主体积极争取资金支持，帮助其解决生产经营中存在的切实问题，为商务经济发展营造良好的营商环境。</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（三）加快工作进度，提高申报质量。</w:t>
      </w:r>
      <w:r>
        <w:rPr>
          <w:rFonts w:hint="eastAsia" w:ascii="方正仿宋_GBK" w:hAnsi="方正仿宋_GBK" w:eastAsia="方正仿宋_GBK" w:cs="方正仿宋_GBK"/>
          <w:i w:val="0"/>
          <w:caps w:val="0"/>
          <w:color w:val="000000"/>
          <w:spacing w:val="0"/>
          <w:sz w:val="32"/>
          <w:szCs w:val="32"/>
        </w:rPr>
        <w:t>申报日期截止后原则上不再受理项目申报。各镇党委政府要认真履行属地属事责任，指导项目申报单位在规定的时间内按要求提交相关材料，并通过实地查看、现场评估等方式筛选推荐一批符合政策导向、发展基础较好、示范带动作用较强的优质项目，切实发挥好财政资金使用效益。</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六、申报截</w:t>
      </w:r>
      <w:r>
        <w:rPr>
          <w:rFonts w:hint="eastAsia" w:ascii="方正黑体_GBK" w:hAnsi="方正黑体_GBK" w:eastAsia="方正黑体_GBK" w:cs="方正黑体_GBK"/>
          <w:i w:val="0"/>
          <w:caps w:val="0"/>
          <w:color w:val="000000"/>
          <w:spacing w:val="0"/>
          <w:sz w:val="32"/>
          <w:szCs w:val="32"/>
          <w:lang w:val="en-US" w:eastAsia="zh-CN"/>
        </w:rPr>
        <w:t>止</w:t>
      </w:r>
      <w:bookmarkStart w:id="0" w:name="_GoBack"/>
      <w:bookmarkEnd w:id="0"/>
      <w:r>
        <w:rPr>
          <w:rFonts w:hint="eastAsia" w:ascii="方正黑体_GBK" w:hAnsi="方正黑体_GBK" w:eastAsia="方正黑体_GBK" w:cs="方正黑体_GBK"/>
          <w:i w:val="0"/>
          <w:caps w:val="0"/>
          <w:color w:val="000000"/>
          <w:spacing w:val="0"/>
          <w:sz w:val="32"/>
          <w:szCs w:val="32"/>
        </w:rPr>
        <w:t>日期</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各申报单位于</w:t>
      </w:r>
      <w:r>
        <w:rPr>
          <w:rFonts w:hint="default" w:ascii="Times New Roman" w:hAnsi="Times New Roman" w:eastAsia="sans-serif" w:cs="Times New Roman"/>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日前将申报材料纸质件报区商务委市场体系科</w:t>
      </w:r>
      <w:r>
        <w:rPr>
          <w:rFonts w:hint="default" w:ascii="Times New Roman" w:hAnsi="Times New Roman" w:eastAsia="sans-serif" w:cs="Times New Roman"/>
          <w:i w:val="0"/>
          <w:caps w:val="0"/>
          <w:color w:val="000000"/>
          <w:spacing w:val="0"/>
          <w:sz w:val="32"/>
          <w:szCs w:val="32"/>
        </w:rPr>
        <w:t>502</w:t>
      </w:r>
      <w:r>
        <w:rPr>
          <w:rFonts w:hint="eastAsia" w:ascii="方正仿宋_GBK" w:hAnsi="方正仿宋_GBK" w:eastAsia="方正仿宋_GBK" w:cs="方正仿宋_GBK"/>
          <w:i w:val="0"/>
          <w:caps w:val="0"/>
          <w:color w:val="000000"/>
          <w:spacing w:val="0"/>
          <w:sz w:val="32"/>
          <w:szCs w:val="32"/>
        </w:rPr>
        <w:t>办公室，电子版报送至邮箱：</w:t>
      </w:r>
      <w:r>
        <w:rPr>
          <w:rFonts w:hint="default" w:ascii="Times New Roman" w:hAnsi="Times New Roman" w:eastAsia="sans-serif" w:cs="Times New Roman"/>
          <w:i w:val="0"/>
          <w:caps w:val="0"/>
          <w:color w:val="000000"/>
          <w:spacing w:val="0"/>
          <w:sz w:val="32"/>
          <w:szCs w:val="32"/>
        </w:rPr>
        <w:t>670258897@qq.con</w:t>
      </w:r>
      <w:r>
        <w:rPr>
          <w:rFonts w:hint="eastAsia" w:ascii="方正仿宋_GBK" w:hAnsi="方正仿宋_GBK" w:eastAsia="方正仿宋_GBK" w:cs="方正仿宋_GBK"/>
          <w:i w:val="0"/>
          <w:caps w:val="0"/>
          <w:color w:val="000000"/>
          <w:spacing w:val="0"/>
          <w:sz w:val="32"/>
          <w:szCs w:val="32"/>
        </w:rPr>
        <w:t>。</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七、咨询及联系方式</w:t>
      </w:r>
    </w:p>
    <w:p>
      <w:pPr>
        <w:pStyle w:val="4"/>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以上申报项目具体事宜请咨询区商务委市场体系科，联系人：孙庆杰；联系电话：</w:t>
      </w:r>
      <w:r>
        <w:rPr>
          <w:rFonts w:hint="default" w:ascii="Times New Roman" w:hAnsi="Times New Roman" w:eastAsia="sans-serif" w:cs="Times New Roman"/>
          <w:i w:val="0"/>
          <w:caps w:val="0"/>
          <w:color w:val="000000"/>
          <w:spacing w:val="0"/>
          <w:sz w:val="32"/>
          <w:szCs w:val="32"/>
        </w:rPr>
        <w:t>45686374</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13640573108</w:t>
      </w:r>
      <w:r>
        <w:rPr>
          <w:rFonts w:hint="eastAsia" w:ascii="方正仿宋_GBK" w:hAnsi="方正仿宋_GBK" w:eastAsia="方正仿宋_GBK" w:cs="方正仿宋_GBK"/>
          <w:i w:val="0"/>
          <w:caps w:val="0"/>
          <w:color w:val="000000"/>
          <w:spacing w:val="0"/>
          <w:sz w:val="32"/>
          <w:szCs w:val="32"/>
        </w:rPr>
        <w:t>。</w:t>
      </w:r>
    </w:p>
    <w:p>
      <w:pPr>
        <w:pStyle w:val="4"/>
        <w:keepNext w:val="0"/>
        <w:keepLines w:val="0"/>
        <w:widowControl/>
        <w:suppressLineNumbers w:val="0"/>
        <w:spacing w:before="0" w:beforeAutospacing="0" w:after="0" w:afterAutospacing="0" w:line="579" w:lineRule="atLeast"/>
        <w:ind w:left="0" w:right="0" w:firstLine="0"/>
        <w:jc w:val="lef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18"/>
          <w:szCs w:val="18"/>
        </w:rPr>
        <w:t> </w:t>
      </w:r>
    </w:p>
    <w:p>
      <w:pPr>
        <w:pStyle w:val="4"/>
        <w:keepNext w:val="0"/>
        <w:keepLines w:val="0"/>
        <w:widowControl/>
        <w:suppressLineNumbers w:val="0"/>
        <w:spacing w:before="0" w:beforeAutospacing="0" w:after="0" w:afterAutospacing="0" w:line="315" w:lineRule="atLeast"/>
        <w:ind w:left="0" w:right="0" w:firstLine="0"/>
        <w:jc w:val="left"/>
        <w:rPr>
          <w:rFonts w:hint="default" w:ascii="sans-serif" w:hAnsi="sans-serif" w:eastAsia="sans-serif" w:cs="sans-serif"/>
          <w:i w:val="0"/>
          <w:caps w:val="0"/>
          <w:color w:val="000000"/>
          <w:spacing w:val="0"/>
          <w:sz w:val="24"/>
          <w:szCs w:val="24"/>
        </w:rPr>
      </w:pPr>
      <w:r>
        <w:rPr>
          <w:rFonts w:hint="default" w:ascii="Times New Roman" w:hAnsi="Times New Roman" w:eastAsia="sans-serif" w:cs="Times New Roman"/>
          <w:i w:val="0"/>
          <w:caps w:val="0"/>
          <w:color w:val="000000"/>
          <w:spacing w:val="0"/>
          <w:sz w:val="24"/>
          <w:szCs w:val="24"/>
        </w:rPr>
        <w:t> </w:t>
      </w:r>
    </w:p>
    <w:p>
      <w:pPr>
        <w:pStyle w:val="4"/>
        <w:keepNext w:val="0"/>
        <w:keepLines w:val="0"/>
        <w:widowControl/>
        <w:suppressLineNumbers w:val="0"/>
        <w:spacing w:before="0" w:beforeAutospacing="0" w:after="0" w:afterAutospacing="0" w:line="315" w:lineRule="atLeast"/>
        <w:ind w:left="0" w:right="0" w:firstLine="640"/>
        <w:rPr>
          <w:rFonts w:hint="default" w:ascii="sans-serif" w:hAnsi="sans-serif" w:eastAsia="sans-serif" w:cs="sans-serif"/>
          <w:i w:val="0"/>
          <w:caps w:val="0"/>
          <w:color w:val="000000"/>
          <w:spacing w:val="0"/>
          <w:sz w:val="32"/>
          <w:szCs w:val="32"/>
        </w:rPr>
      </w:pPr>
      <w:r>
        <w:rPr>
          <w:rFonts w:hint="default" w:ascii="Times New Roman" w:hAnsi="Times New Roman" w:eastAsia="sans-serif" w:cs="Times New Roman"/>
          <w:i w:val="0"/>
          <w:caps w:val="0"/>
          <w:color w:val="000000"/>
          <w:spacing w:val="0"/>
          <w:sz w:val="32"/>
          <w:szCs w:val="32"/>
        </w:rPr>
        <w:t> </w:t>
      </w:r>
    </w:p>
    <w:p>
      <w:pPr>
        <w:pStyle w:val="4"/>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1</w:t>
      </w:r>
    </w:p>
    <w:p>
      <w:pPr>
        <w:pStyle w:val="4"/>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0"/>
          <w:szCs w:val="40"/>
        </w:rPr>
        <w:t>铜梁区县域商业体系建设项目入库申请表</w:t>
      </w:r>
    </w:p>
    <w:p>
      <w:pPr>
        <w:pStyle w:val="4"/>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28"/>
          <w:szCs w:val="28"/>
        </w:rPr>
        <w:t>      申报日期：     年   月   日</w:t>
      </w:r>
    </w:p>
    <w:tbl>
      <w:tblPr>
        <w:tblStyle w:val="6"/>
        <w:tblW w:w="9550" w:type="dxa"/>
        <w:tblInd w:w="-5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
      <w:tblGrid>
        <w:gridCol w:w="2321"/>
        <w:gridCol w:w="1471"/>
        <w:gridCol w:w="1460"/>
        <w:gridCol w:w="1251"/>
        <w:gridCol w:w="535"/>
        <w:gridCol w:w="905"/>
        <w:gridCol w:w="1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559" w:hRule="atLeast"/>
        </w:trPr>
        <w:tc>
          <w:tcPr>
            <w:tcW w:w="9550" w:type="dxa"/>
            <w:gridSpan w:val="7"/>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b/>
                <w:color w:val="auto"/>
                <w:sz w:val="24"/>
                <w:szCs w:val="24"/>
              </w:rPr>
              <w:t>申报单位信息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93"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申报单位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（盖章）</w:t>
            </w:r>
          </w:p>
        </w:tc>
        <w:tc>
          <w:tcPr>
            <w:tcW w:w="2931"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c>
          <w:tcPr>
            <w:tcW w:w="125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通讯地址</w:t>
            </w:r>
          </w:p>
        </w:tc>
        <w:tc>
          <w:tcPr>
            <w:tcW w:w="3047"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545"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法定代表人</w:t>
            </w:r>
          </w:p>
        </w:tc>
        <w:tc>
          <w:tcPr>
            <w:tcW w:w="2931"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c>
          <w:tcPr>
            <w:tcW w:w="125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联系电话</w:t>
            </w:r>
          </w:p>
        </w:tc>
        <w:tc>
          <w:tcPr>
            <w:tcW w:w="3047"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44"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项目联系人</w:t>
            </w:r>
          </w:p>
        </w:tc>
        <w:tc>
          <w:tcPr>
            <w:tcW w:w="2931"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c>
          <w:tcPr>
            <w:tcW w:w="125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联系电话</w:t>
            </w:r>
          </w:p>
        </w:tc>
        <w:tc>
          <w:tcPr>
            <w:tcW w:w="3047"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484" w:hRule="atLeast"/>
        </w:trPr>
        <w:tc>
          <w:tcPr>
            <w:tcW w:w="9550" w:type="dxa"/>
            <w:gridSpan w:val="7"/>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b/>
                <w:color w:val="auto"/>
                <w:sz w:val="24"/>
                <w:szCs w:val="24"/>
              </w:rPr>
              <w:t>项目信息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56"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项目名称</w:t>
            </w:r>
          </w:p>
        </w:tc>
        <w:tc>
          <w:tcPr>
            <w:tcW w:w="7229" w:type="dxa"/>
            <w:gridSpan w:val="6"/>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45"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承办单位</w:t>
            </w:r>
          </w:p>
        </w:tc>
        <w:tc>
          <w:tcPr>
            <w:tcW w:w="2931"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720"/>
              <w:jc w:val="center"/>
              <w:textAlignment w:val="auto"/>
              <w:rPr>
                <w:color w:val="auto"/>
              </w:rPr>
            </w:pPr>
            <w:r>
              <w:rPr>
                <w:rFonts w:hint="eastAsia" w:ascii="方正仿宋_GBK" w:hAnsi="方正仿宋_GBK" w:eastAsia="方正仿宋_GBK" w:cs="方正仿宋_GBK"/>
                <w:color w:val="auto"/>
                <w:sz w:val="24"/>
                <w:szCs w:val="24"/>
              </w:rPr>
              <w:t> </w:t>
            </w:r>
          </w:p>
        </w:tc>
        <w:tc>
          <w:tcPr>
            <w:tcW w:w="125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建设地址</w:t>
            </w:r>
          </w:p>
        </w:tc>
        <w:tc>
          <w:tcPr>
            <w:tcW w:w="3047"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1210"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项目类型</w:t>
            </w:r>
          </w:p>
        </w:tc>
        <w:tc>
          <w:tcPr>
            <w:tcW w:w="7229" w:type="dxa"/>
            <w:gridSpan w:val="6"/>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both"/>
              <w:textAlignment w:val="auto"/>
              <w:rPr>
                <w:color w:val="auto"/>
              </w:rPr>
            </w:pPr>
            <w:r>
              <w:rPr>
                <w:rFonts w:ascii="Wingdings 2" w:hAnsi="Wingdings 2" w:eastAsia="Wingdings 2" w:cs="Wingdings 2"/>
                <w:color w:val="auto"/>
                <w:sz w:val="24"/>
                <w:szCs w:val="24"/>
              </w:rPr>
              <w:t></w:t>
            </w:r>
            <w:r>
              <w:rPr>
                <w:rFonts w:hint="eastAsia" w:ascii="方正仿宋_GBK" w:hAnsi="方正仿宋_GBK" w:eastAsia="方正仿宋_GBK" w:cs="方正仿宋_GBK"/>
                <w:color w:val="auto"/>
                <w:sz w:val="24"/>
                <w:szCs w:val="24"/>
              </w:rPr>
              <w:t>镇级商贸中心改造提升项目类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both"/>
              <w:textAlignment w:val="auto"/>
              <w:rPr>
                <w:color w:val="auto"/>
              </w:rPr>
            </w:pPr>
            <w:r>
              <w:rPr>
                <w:rFonts w:hint="default" w:ascii="Wingdings 2" w:hAnsi="Wingdings 2" w:eastAsia="Wingdings 2" w:cs="Wingdings 2"/>
                <w:color w:val="auto"/>
                <w:sz w:val="24"/>
                <w:szCs w:val="24"/>
              </w:rPr>
              <w:t></w:t>
            </w:r>
            <w:r>
              <w:rPr>
                <w:rFonts w:hint="eastAsia" w:ascii="方正仿宋_GBK" w:hAnsi="方正仿宋_GBK" w:eastAsia="方正仿宋_GBK" w:cs="方正仿宋_GBK"/>
                <w:color w:val="auto"/>
                <w:sz w:val="24"/>
                <w:szCs w:val="24"/>
              </w:rPr>
              <w:t>区、镇级物流体系项目类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both"/>
              <w:textAlignment w:val="auto"/>
              <w:rPr>
                <w:color w:val="auto"/>
              </w:rPr>
            </w:pPr>
            <w:r>
              <w:rPr>
                <w:rFonts w:hint="default" w:ascii="Wingdings 2" w:hAnsi="Wingdings 2" w:eastAsia="Wingdings 2" w:cs="Wingdings 2"/>
                <w:color w:val="auto"/>
                <w:sz w:val="24"/>
                <w:szCs w:val="24"/>
              </w:rPr>
              <w:t></w:t>
            </w:r>
            <w:r>
              <w:rPr>
                <w:rFonts w:hint="eastAsia" w:ascii="方正仿宋_GBK" w:hAnsi="方正仿宋_GBK" w:eastAsia="方正仿宋_GBK" w:cs="方正仿宋_GBK"/>
                <w:color w:val="auto"/>
                <w:sz w:val="24"/>
                <w:szCs w:val="24"/>
              </w:rPr>
              <w:t>供应链下沉项目类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both"/>
              <w:textAlignment w:val="auto"/>
              <w:rPr>
                <w:color w:val="auto"/>
              </w:rPr>
            </w:pPr>
            <w:r>
              <w:rPr>
                <w:rFonts w:hint="default" w:ascii="Wingdings 2" w:hAnsi="Wingdings 2" w:eastAsia="Wingdings 2" w:cs="Wingdings 2"/>
                <w:color w:val="auto"/>
                <w:sz w:val="24"/>
                <w:szCs w:val="24"/>
              </w:rPr>
              <w:t></w:t>
            </w:r>
            <w:r>
              <w:rPr>
                <w:rFonts w:hint="eastAsia" w:ascii="方正仿宋_GBK" w:hAnsi="方正仿宋_GBK" w:eastAsia="方正仿宋_GBK" w:cs="方正仿宋_GBK"/>
                <w:color w:val="auto"/>
                <w:sz w:val="24"/>
                <w:szCs w:val="24"/>
              </w:rPr>
              <w:t>农产品上行项目类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327"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建设类型</w:t>
            </w:r>
          </w:p>
        </w:tc>
        <w:tc>
          <w:tcPr>
            <w:tcW w:w="2931"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default" w:ascii="Wingdings 2" w:hAnsi="Wingdings 2" w:eastAsia="Wingdings 2" w:cs="Wingdings 2"/>
                <w:color w:val="auto"/>
                <w:sz w:val="24"/>
                <w:szCs w:val="24"/>
              </w:rPr>
              <w:t></w:t>
            </w:r>
            <w:r>
              <w:rPr>
                <w:rFonts w:hint="eastAsia" w:ascii="方正仿宋_GBK" w:hAnsi="方正仿宋_GBK" w:eastAsia="方正仿宋_GBK" w:cs="方正仿宋_GBK"/>
                <w:color w:val="auto"/>
                <w:sz w:val="24"/>
                <w:szCs w:val="24"/>
              </w:rPr>
              <w:t>新建  </w:t>
            </w:r>
            <w:r>
              <w:rPr>
                <w:rFonts w:hint="default" w:ascii="Wingdings 2" w:hAnsi="Wingdings 2" w:eastAsia="Wingdings 2" w:cs="Wingdings 2"/>
                <w:color w:val="auto"/>
                <w:sz w:val="24"/>
                <w:szCs w:val="24"/>
              </w:rPr>
              <w:t></w:t>
            </w:r>
            <w:r>
              <w:rPr>
                <w:rFonts w:hint="eastAsia" w:ascii="方正仿宋_GBK" w:hAnsi="方正仿宋_GBK" w:eastAsia="方正仿宋_GBK" w:cs="方正仿宋_GBK"/>
                <w:color w:val="auto"/>
                <w:sz w:val="24"/>
                <w:szCs w:val="24"/>
              </w:rPr>
              <w:t>改扩建</w:t>
            </w:r>
          </w:p>
        </w:tc>
        <w:tc>
          <w:tcPr>
            <w:tcW w:w="1786"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建设起止时间</w:t>
            </w:r>
          </w:p>
        </w:tc>
        <w:tc>
          <w:tcPr>
            <w:tcW w:w="2512"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680"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总投资额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（万元）</w:t>
            </w:r>
          </w:p>
        </w:tc>
        <w:tc>
          <w:tcPr>
            <w:tcW w:w="147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c>
          <w:tcPr>
            <w:tcW w:w="1460"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both"/>
              <w:textAlignment w:val="auto"/>
              <w:rPr>
                <w:color w:val="auto"/>
              </w:rPr>
            </w:pPr>
            <w:r>
              <w:rPr>
                <w:rFonts w:hint="eastAsia" w:ascii="方正仿宋_GBK" w:hAnsi="方正仿宋_GBK" w:eastAsia="方正仿宋_GBK" w:cs="方正仿宋_GBK"/>
                <w:color w:val="auto"/>
                <w:sz w:val="24"/>
                <w:szCs w:val="24"/>
              </w:rPr>
              <w:t>有效投资额（万元）</w:t>
            </w:r>
          </w:p>
        </w:tc>
        <w:tc>
          <w:tcPr>
            <w:tcW w:w="125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c>
          <w:tcPr>
            <w:tcW w:w="1440"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申请财政资金（万元）</w:t>
            </w:r>
          </w:p>
        </w:tc>
        <w:tc>
          <w:tcPr>
            <w:tcW w:w="1607"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840"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现状基本情况</w:t>
            </w:r>
          </w:p>
        </w:tc>
        <w:tc>
          <w:tcPr>
            <w:tcW w:w="7229" w:type="dxa"/>
            <w:gridSpan w:val="6"/>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rPr>
            </w:pPr>
            <w:r>
              <w:rPr>
                <w:rFonts w:hint="eastAsia" w:ascii="方正仿宋_GBK" w:hAnsi="方正仿宋_GBK" w:eastAsia="方正仿宋_GBK" w:cs="方正仿宋_GBK"/>
                <w:color w:val="auto"/>
                <w:sz w:val="24"/>
                <w:szCs w:val="24"/>
              </w:rPr>
              <w:t>（其中：镇级商贸中心改造提升项目类包括该镇常住人口数、社会零售总额、人均消费额等，以及镇级商贸中心营业面积、门店数、年交易额、现有业态等）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673"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项目建设（改造）</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具体内容</w:t>
            </w:r>
          </w:p>
        </w:tc>
        <w:tc>
          <w:tcPr>
            <w:tcW w:w="7229" w:type="dxa"/>
            <w:gridSpan w:val="6"/>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both"/>
              <w:textAlignment w:val="auto"/>
              <w:rPr>
                <w:color w:val="auto"/>
                <w:sz w:val="24"/>
                <w:szCs w:val="24"/>
              </w:rPr>
            </w:pPr>
            <w:r>
              <w:rPr>
                <w:rFonts w:hint="eastAsia" w:ascii="方正仿宋_GBK" w:hAnsi="方正仿宋_GBK" w:eastAsia="方正仿宋_GBK" w:cs="方正仿宋_GBK"/>
                <w:color w:val="auto"/>
                <w:sz w:val="24"/>
                <w:szCs w:val="24"/>
              </w:rPr>
              <w:t>包括重点建设内容、拟投资计划、整合上下游资源等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90"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申报单位意见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（盖章）</w:t>
            </w:r>
          </w:p>
        </w:tc>
        <w:tc>
          <w:tcPr>
            <w:tcW w:w="7229" w:type="dxa"/>
            <w:gridSpan w:val="6"/>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725" w:hRule="atLeast"/>
        </w:trPr>
        <w:tc>
          <w:tcPr>
            <w:tcW w:w="23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项目所在镇街意见（盖章）</w:t>
            </w:r>
          </w:p>
        </w:tc>
        <w:tc>
          <w:tcPr>
            <w:tcW w:w="7229" w:type="dxa"/>
            <w:gridSpan w:val="6"/>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                                     </w:t>
            </w:r>
          </w:p>
        </w:tc>
      </w:tr>
    </w:tbl>
    <w:p>
      <w:pPr>
        <w:pStyle w:val="4"/>
        <w:keepNext w:val="0"/>
        <w:keepLines w:val="0"/>
        <w:widowControl/>
        <w:suppressLineNumbers w:val="0"/>
        <w:spacing w:before="0" w:beforeAutospacing="0" w:after="0" w:afterAutospacing="0" w:line="315" w:lineRule="atLeast"/>
        <w:ind w:left="0" w:right="210" w:firstLine="0"/>
        <w:rPr>
          <w:rFonts w:hint="default" w:ascii="sans-serif" w:hAnsi="sans-serif" w:eastAsia="sans-serif" w:cs="sans-serif"/>
          <w:i w:val="0"/>
          <w:caps w:val="0"/>
          <w:color w:val="auto"/>
          <w:spacing w:val="0"/>
          <w:sz w:val="32"/>
          <w:szCs w:val="32"/>
        </w:rPr>
      </w:pPr>
      <w:r>
        <w:rPr>
          <w:rFonts w:hint="eastAsia" w:ascii="方正黑体_GBK" w:hAnsi="方正黑体_GBK" w:eastAsia="方正黑体_GBK" w:cs="方正黑体_GBK"/>
          <w:i w:val="0"/>
          <w:caps w:val="0"/>
          <w:color w:val="auto"/>
          <w:spacing w:val="0"/>
          <w:sz w:val="32"/>
          <w:szCs w:val="32"/>
        </w:rPr>
        <w:t>附件</w:t>
      </w:r>
      <w:r>
        <w:rPr>
          <w:rFonts w:hint="default" w:ascii="Times New Roman" w:hAnsi="Times New Roman" w:eastAsia="sans-serif" w:cs="Times New Roman"/>
          <w:i w:val="0"/>
          <w:caps w:val="0"/>
          <w:color w:val="auto"/>
          <w:spacing w:val="0"/>
          <w:sz w:val="32"/>
          <w:szCs w:val="32"/>
        </w:rPr>
        <w:t>2</w:t>
      </w:r>
    </w:p>
    <w:p>
      <w:pPr>
        <w:pStyle w:val="4"/>
        <w:keepNext w:val="0"/>
        <w:keepLines w:val="0"/>
        <w:widowControl/>
        <w:suppressLineNumbers w:val="0"/>
        <w:spacing w:before="0" w:beforeAutospacing="0" w:after="0" w:afterAutospacing="0" w:line="315" w:lineRule="atLeast"/>
        <w:ind w:left="210" w:right="210" w:firstLine="0"/>
        <w:jc w:val="center"/>
        <w:rPr>
          <w:rFonts w:hint="default" w:ascii="sans-serif" w:hAnsi="sans-serif" w:eastAsia="sans-serif" w:cs="sans-serif"/>
          <w:i w:val="0"/>
          <w:caps w:val="0"/>
          <w:color w:val="auto"/>
          <w:spacing w:val="0"/>
          <w:sz w:val="44"/>
          <w:szCs w:val="44"/>
        </w:rPr>
      </w:pPr>
      <w:r>
        <w:rPr>
          <w:rFonts w:hint="default" w:ascii="Times New Roman" w:hAnsi="Times New Roman" w:eastAsia="sans-serif" w:cs="Times New Roman"/>
          <w:i w:val="0"/>
          <w:caps w:val="0"/>
          <w:color w:val="auto"/>
          <w:spacing w:val="0"/>
          <w:sz w:val="44"/>
          <w:szCs w:val="44"/>
        </w:rPr>
        <w:t>  </w:t>
      </w:r>
      <w:r>
        <w:rPr>
          <w:rFonts w:hint="eastAsia" w:ascii="方正小标宋_GBK" w:hAnsi="方正小标宋_GBK" w:eastAsia="方正小标宋_GBK" w:cs="方正小标宋_GBK"/>
          <w:i w:val="0"/>
          <w:caps w:val="0"/>
          <w:color w:val="auto"/>
          <w:spacing w:val="0"/>
          <w:sz w:val="44"/>
          <w:szCs w:val="44"/>
        </w:rPr>
        <w:t>专项资金项目申报信用承诺书</w:t>
      </w:r>
    </w:p>
    <w:tbl>
      <w:tblPr>
        <w:tblStyle w:val="6"/>
        <w:tblW w:w="9523" w:type="dxa"/>
        <w:jc w:val="center"/>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
      <w:tblGrid>
        <w:gridCol w:w="1226"/>
        <w:gridCol w:w="696"/>
        <w:gridCol w:w="343"/>
        <w:gridCol w:w="1038"/>
        <w:gridCol w:w="1038"/>
        <w:gridCol w:w="454"/>
        <w:gridCol w:w="1008"/>
        <w:gridCol w:w="695"/>
        <w:gridCol w:w="100"/>
        <w:gridCol w:w="520"/>
        <w:gridCol w:w="306"/>
        <w:gridCol w:w="2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574" w:hRule="atLeast"/>
          <w:jc w:val="center"/>
        </w:trPr>
        <w:tc>
          <w:tcPr>
            <w:tcW w:w="1922"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rPr>
            </w:pPr>
            <w:r>
              <w:rPr>
                <w:rFonts w:hint="eastAsia" w:ascii="方正仿宋_GBK" w:hAnsi="方正仿宋_GBK" w:eastAsia="方正仿宋_GBK" w:cs="方正仿宋_GBK"/>
                <w:color w:val="auto"/>
                <w:sz w:val="24"/>
                <w:szCs w:val="24"/>
              </w:rPr>
              <w:t>项目申报单位</w:t>
            </w:r>
          </w:p>
        </w:tc>
        <w:tc>
          <w:tcPr>
            <w:tcW w:w="2419"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　</w:t>
            </w:r>
          </w:p>
        </w:tc>
        <w:tc>
          <w:tcPr>
            <w:tcW w:w="2157"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rPr>
            </w:pPr>
            <w:r>
              <w:rPr>
                <w:rFonts w:hint="eastAsia" w:ascii="方正仿宋_GBK" w:hAnsi="方正仿宋_GBK" w:eastAsia="方正仿宋_GBK" w:cs="方正仿宋_GBK"/>
                <w:color w:val="auto"/>
                <w:sz w:val="24"/>
                <w:szCs w:val="24"/>
              </w:rPr>
              <w:t>统一社会信用代码</w:t>
            </w:r>
          </w:p>
        </w:tc>
        <w:tc>
          <w:tcPr>
            <w:tcW w:w="3025" w:type="dxa"/>
            <w:gridSpan w:val="4"/>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738" w:hRule="atLeast"/>
          <w:jc w:val="center"/>
        </w:trPr>
        <w:tc>
          <w:tcPr>
            <w:tcW w:w="1922"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申报单位</w:t>
            </w:r>
            <w:r>
              <w:rPr>
                <w:color w:val="auto"/>
              </w:rPr>
              <w:br w:type="textWrapping"/>
            </w:r>
            <w:r>
              <w:rPr>
                <w:rFonts w:hint="eastAsia" w:ascii="方正仿宋_GBK" w:hAnsi="方正仿宋_GBK" w:eastAsia="方正仿宋_GBK" w:cs="方正仿宋_GBK"/>
                <w:color w:val="auto"/>
                <w:sz w:val="24"/>
                <w:szCs w:val="24"/>
              </w:rPr>
              <w:t>法定代表人</w:t>
            </w:r>
          </w:p>
        </w:tc>
        <w:tc>
          <w:tcPr>
            <w:tcW w:w="2419"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default" w:ascii="Times New Roman" w:hAnsi="Times New Roman" w:cs="Times New Roman"/>
                <w:color w:val="auto"/>
                <w:sz w:val="24"/>
                <w:szCs w:val="24"/>
              </w:rPr>
              <w:t> </w:t>
            </w:r>
          </w:p>
        </w:tc>
        <w:tc>
          <w:tcPr>
            <w:tcW w:w="2157"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rPr>
            </w:pPr>
            <w:r>
              <w:rPr>
                <w:rFonts w:hint="eastAsia" w:ascii="方正仿宋_GBK" w:hAnsi="方正仿宋_GBK" w:eastAsia="方正仿宋_GBK" w:cs="方正仿宋_GBK"/>
                <w:color w:val="auto"/>
                <w:sz w:val="24"/>
                <w:szCs w:val="24"/>
              </w:rPr>
              <w:t>法定代表人</w:t>
            </w:r>
            <w:r>
              <w:rPr>
                <w:color w:val="auto"/>
              </w:rPr>
              <w:br w:type="textWrapping"/>
            </w:r>
            <w:r>
              <w:rPr>
                <w:rFonts w:hint="eastAsia" w:ascii="方正仿宋_GBK" w:hAnsi="方正仿宋_GBK" w:eastAsia="方正仿宋_GBK" w:cs="方正仿宋_GBK"/>
                <w:color w:val="auto"/>
                <w:sz w:val="24"/>
                <w:szCs w:val="24"/>
              </w:rPr>
              <w:t>身份证号码</w:t>
            </w:r>
          </w:p>
        </w:tc>
        <w:tc>
          <w:tcPr>
            <w:tcW w:w="3025" w:type="dxa"/>
            <w:gridSpan w:val="4"/>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99" w:hRule="atLeast"/>
          <w:jc w:val="center"/>
        </w:trPr>
        <w:tc>
          <w:tcPr>
            <w:tcW w:w="1922"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项目名称</w:t>
            </w:r>
          </w:p>
        </w:tc>
        <w:tc>
          <w:tcPr>
            <w:tcW w:w="2419"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2157"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申报依据</w:t>
            </w:r>
          </w:p>
        </w:tc>
        <w:tc>
          <w:tcPr>
            <w:tcW w:w="3025" w:type="dxa"/>
            <w:gridSpan w:val="4"/>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99" w:hRule="atLeast"/>
          <w:jc w:val="center"/>
        </w:trPr>
        <w:tc>
          <w:tcPr>
            <w:tcW w:w="1922"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项目总投资额</w:t>
            </w:r>
          </w:p>
        </w:tc>
        <w:tc>
          <w:tcPr>
            <w:tcW w:w="2419"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万元</w:t>
            </w:r>
          </w:p>
        </w:tc>
        <w:tc>
          <w:tcPr>
            <w:tcW w:w="2157" w:type="dxa"/>
            <w:gridSpan w:val="3"/>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申请财政资金</w:t>
            </w:r>
          </w:p>
        </w:tc>
        <w:tc>
          <w:tcPr>
            <w:tcW w:w="3025" w:type="dxa"/>
            <w:gridSpan w:val="4"/>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599" w:hRule="atLeast"/>
          <w:jc w:val="center"/>
        </w:trPr>
        <w:tc>
          <w:tcPr>
            <w:tcW w:w="1922" w:type="dxa"/>
            <w:gridSpan w:val="2"/>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项目所在地</w:t>
            </w:r>
          </w:p>
        </w:tc>
        <w:tc>
          <w:tcPr>
            <w:tcW w:w="1381"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1492"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项目责任人</w:t>
            </w:r>
          </w:p>
        </w:tc>
        <w:tc>
          <w:tcPr>
            <w:tcW w:w="1008" w:type="dxa"/>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1315"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联系电话</w:t>
            </w:r>
          </w:p>
        </w:tc>
        <w:tc>
          <w:tcPr>
            <w:tcW w:w="2405"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499" w:hRule="atLeast"/>
          <w:jc w:val="center"/>
        </w:trPr>
        <w:tc>
          <w:tcPr>
            <w:tcW w:w="9523" w:type="dxa"/>
            <w:gridSpan w:val="12"/>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申报项目已获得财政资金补助情况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800" w:hRule="atLeast"/>
          <w:jc w:val="center"/>
        </w:trPr>
        <w:tc>
          <w:tcPr>
            <w:tcW w:w="1226"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序号</w:t>
            </w:r>
          </w:p>
        </w:tc>
        <w:tc>
          <w:tcPr>
            <w:tcW w:w="2077"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年度</w:t>
            </w:r>
          </w:p>
        </w:tc>
        <w:tc>
          <w:tcPr>
            <w:tcW w:w="1492"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补助金额</w:t>
            </w:r>
          </w:p>
        </w:tc>
        <w:tc>
          <w:tcPr>
            <w:tcW w:w="1803"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拨付补助资金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业务部门名称</w:t>
            </w:r>
          </w:p>
        </w:tc>
        <w:tc>
          <w:tcPr>
            <w:tcW w:w="2925"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拨付补助资金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财政部门名称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449" w:hRule="atLeast"/>
          <w:jc w:val="center"/>
        </w:trPr>
        <w:tc>
          <w:tcPr>
            <w:tcW w:w="1226"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1</w:t>
            </w:r>
          </w:p>
        </w:tc>
        <w:tc>
          <w:tcPr>
            <w:tcW w:w="2077"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2019</w:t>
            </w:r>
            <w:r>
              <w:rPr>
                <w:rFonts w:hint="eastAsia" w:ascii="方正仿宋_GBK" w:hAnsi="方正仿宋_GBK" w:eastAsia="方正仿宋_GBK" w:cs="方正仿宋_GBK"/>
                <w:color w:val="auto"/>
                <w:sz w:val="24"/>
                <w:szCs w:val="24"/>
              </w:rPr>
              <w:t>年</w:t>
            </w:r>
          </w:p>
        </w:tc>
        <w:tc>
          <w:tcPr>
            <w:tcW w:w="1492"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1803"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2925"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449" w:hRule="atLeast"/>
          <w:jc w:val="center"/>
        </w:trPr>
        <w:tc>
          <w:tcPr>
            <w:tcW w:w="1226"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2</w:t>
            </w:r>
          </w:p>
        </w:tc>
        <w:tc>
          <w:tcPr>
            <w:tcW w:w="2077"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2020</w:t>
            </w:r>
            <w:r>
              <w:rPr>
                <w:rFonts w:hint="eastAsia" w:ascii="方正仿宋_GBK" w:hAnsi="方正仿宋_GBK" w:eastAsia="方正仿宋_GBK" w:cs="方正仿宋_GBK"/>
                <w:color w:val="auto"/>
                <w:sz w:val="24"/>
                <w:szCs w:val="24"/>
              </w:rPr>
              <w:t>年</w:t>
            </w:r>
          </w:p>
        </w:tc>
        <w:tc>
          <w:tcPr>
            <w:tcW w:w="1492"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1803"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2925"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74" w:hRule="atLeast"/>
          <w:jc w:val="center"/>
        </w:trPr>
        <w:tc>
          <w:tcPr>
            <w:tcW w:w="1226"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3</w:t>
            </w:r>
          </w:p>
        </w:tc>
        <w:tc>
          <w:tcPr>
            <w:tcW w:w="2077"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2021</w:t>
            </w:r>
            <w:r>
              <w:rPr>
                <w:rFonts w:hint="eastAsia" w:ascii="方正仿宋_GBK" w:hAnsi="方正仿宋_GBK" w:eastAsia="方正仿宋_GBK" w:cs="方正仿宋_GBK"/>
                <w:color w:val="auto"/>
                <w:sz w:val="24"/>
                <w:szCs w:val="24"/>
              </w:rPr>
              <w:t>年</w:t>
            </w:r>
          </w:p>
        </w:tc>
        <w:tc>
          <w:tcPr>
            <w:tcW w:w="1492"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1803"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2925" w:type="dxa"/>
            <w:gridSpan w:val="3"/>
            <w:tcBorders>
              <w:top w:val="single" w:color="auto" w:sz="6" w:space="0"/>
              <w:bottom w:val="single" w:color="auto" w:sz="6" w:space="0"/>
              <w:right w:val="single" w:color="auto" w:sz="6" w:space="0"/>
            </w:tcBorders>
            <w:shd w:val="clear" w:color="auto" w:fill="auto"/>
            <w:tcMar>
              <w:left w:w="108"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405" w:hRule="atLeast"/>
          <w:jc w:val="center"/>
        </w:trPr>
        <w:tc>
          <w:tcPr>
            <w:tcW w:w="9523" w:type="dxa"/>
            <w:gridSpan w:val="12"/>
            <w:tcBorders>
              <w:top w:val="single" w:color="auto" w:sz="6" w:space="0"/>
              <w:left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rPr>
            </w:pPr>
            <w:r>
              <w:rPr>
                <w:rFonts w:hint="eastAsia" w:ascii="方正仿宋_GBK" w:hAnsi="方正仿宋_GBK" w:eastAsia="方正仿宋_GBK" w:cs="方正仿宋_GBK"/>
                <w:color w:val="auto"/>
                <w:sz w:val="24"/>
                <w:szCs w:val="24"/>
              </w:rPr>
              <w:t>项目申报单位承诺</w:t>
            </w:r>
            <w:r>
              <w:rPr>
                <w:rFonts w:hint="default" w:ascii="Times New Roman" w:hAnsi="Times New Roman" w:cs="Times New Roman"/>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394" w:hRule="atLeast"/>
          <w:jc w:val="center"/>
        </w:trPr>
        <w:tc>
          <w:tcPr>
            <w:tcW w:w="9523" w:type="dxa"/>
            <w:gridSpan w:val="12"/>
            <w:tcBorders>
              <w:left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rPr>
            </w:pPr>
            <w:r>
              <w:rPr>
                <w:rFonts w:hint="default" w:ascii="Times New Roman" w:hAnsi="Times New Roman" w:cs="Times New Roman"/>
                <w:color w:val="auto"/>
                <w:sz w:val="24"/>
                <w:szCs w:val="24"/>
              </w:rPr>
              <w:t>   1.</w:t>
            </w:r>
            <w:r>
              <w:rPr>
                <w:rFonts w:hint="eastAsia" w:ascii="方正仿宋_GBK" w:hAnsi="方正仿宋_GBK" w:eastAsia="方正仿宋_GBK" w:cs="方正仿宋_GBK"/>
                <w:color w:val="auto"/>
                <w:sz w:val="24"/>
                <w:szCs w:val="24"/>
              </w:rPr>
              <w:t>本单位近三年信用状况良好，无严重失信行为。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394" w:hRule="atLeast"/>
          <w:jc w:val="center"/>
        </w:trPr>
        <w:tc>
          <w:tcPr>
            <w:tcW w:w="9523" w:type="dxa"/>
            <w:gridSpan w:val="12"/>
            <w:tcBorders>
              <w:left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rPr>
            </w:pPr>
            <w:r>
              <w:rPr>
                <w:rFonts w:hint="eastAsia" w:ascii="方正仿宋_GBK" w:hAnsi="方正仿宋_GBK" w:eastAsia="方正仿宋_GBK" w:cs="方正仿宋_GBK"/>
                <w:color w:val="auto"/>
                <w:sz w:val="24"/>
                <w:szCs w:val="24"/>
              </w:rPr>
              <w:t>   </w:t>
            </w:r>
            <w:r>
              <w:rPr>
                <w:rFonts w:hint="default" w:ascii="Times New Roman" w:hAnsi="Times New Roman" w:cs="Times New Roman"/>
                <w:color w:val="auto"/>
                <w:sz w:val="24"/>
                <w:szCs w:val="24"/>
              </w:rPr>
              <w:t>2.</w:t>
            </w:r>
            <w:r>
              <w:rPr>
                <w:rFonts w:hint="eastAsia" w:ascii="方正仿宋_GBK" w:hAnsi="方正仿宋_GBK" w:eastAsia="方正仿宋_GBK" w:cs="方正仿宋_GBK"/>
                <w:color w:val="auto"/>
                <w:sz w:val="24"/>
                <w:szCs w:val="24"/>
              </w:rPr>
              <w:t>申报的所有材料均依据相关项目申报要求</w:t>
            </w:r>
            <w:r>
              <w:rPr>
                <w:rFonts w:hint="default" w:ascii="Times New Roman" w:hAnsi="Times New Roman" w:cs="Times New Roman"/>
                <w:color w:val="auto"/>
                <w:sz w:val="24"/>
                <w:szCs w:val="24"/>
              </w:rPr>
              <w:t>,</w:t>
            </w:r>
            <w:r>
              <w:rPr>
                <w:rFonts w:hint="eastAsia" w:ascii="方正仿宋_GBK" w:hAnsi="方正仿宋_GBK" w:eastAsia="方正仿宋_GBK" w:cs="方正仿宋_GBK"/>
                <w:color w:val="auto"/>
                <w:sz w:val="24"/>
                <w:szCs w:val="24"/>
              </w:rPr>
              <w:t>据实提供。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394" w:hRule="atLeast"/>
          <w:jc w:val="center"/>
        </w:trPr>
        <w:tc>
          <w:tcPr>
            <w:tcW w:w="9523" w:type="dxa"/>
            <w:gridSpan w:val="12"/>
            <w:tcBorders>
              <w:left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rPr>
            </w:pPr>
            <w:r>
              <w:rPr>
                <w:rFonts w:hint="eastAsia" w:ascii="方正仿宋_GBK" w:hAnsi="方正仿宋_GBK" w:eastAsia="方正仿宋_GBK" w:cs="方正仿宋_GBK"/>
                <w:color w:val="auto"/>
                <w:sz w:val="24"/>
                <w:szCs w:val="24"/>
              </w:rPr>
              <w:t>   </w:t>
            </w:r>
            <w:r>
              <w:rPr>
                <w:rFonts w:hint="default" w:ascii="Times New Roman" w:hAnsi="Times New Roman" w:cs="Times New Roman"/>
                <w:color w:val="auto"/>
                <w:sz w:val="24"/>
                <w:szCs w:val="24"/>
              </w:rPr>
              <w:t>3.</w:t>
            </w:r>
            <w:r>
              <w:rPr>
                <w:rFonts w:hint="eastAsia" w:ascii="方正仿宋_GBK" w:hAnsi="方正仿宋_GBK" w:eastAsia="方正仿宋_GBK" w:cs="方正仿宋_GBK"/>
                <w:color w:val="auto"/>
                <w:sz w:val="24"/>
                <w:szCs w:val="24"/>
              </w:rPr>
              <w:t>专项资金获批后将按规定使用。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400" w:hRule="atLeast"/>
          <w:jc w:val="center"/>
        </w:trPr>
        <w:tc>
          <w:tcPr>
            <w:tcW w:w="9523" w:type="dxa"/>
            <w:gridSpan w:val="12"/>
            <w:tcBorders>
              <w:left w:val="single" w:color="auto" w:sz="6" w:space="0"/>
              <w:right w:val="single" w:color="auto" w:sz="6" w:space="0"/>
            </w:tcBorders>
            <w:shd w:val="clear" w:color="auto" w:fill="auto"/>
            <w:tcMar>
              <w:left w:w="101" w:type="dxa"/>
              <w:right w:w="101"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600" w:right="0" w:hanging="600"/>
              <w:textAlignment w:val="auto"/>
              <w:rPr>
                <w:color w:val="auto"/>
                <w:sz w:val="24"/>
                <w:szCs w:val="24"/>
              </w:rPr>
            </w:pPr>
            <w:r>
              <w:rPr>
                <w:rFonts w:hint="eastAsia" w:ascii="方正仿宋_GBK" w:hAnsi="方正仿宋_GBK" w:eastAsia="方正仿宋_GBK" w:cs="方正仿宋_GBK"/>
                <w:color w:val="auto"/>
                <w:sz w:val="24"/>
                <w:szCs w:val="24"/>
              </w:rPr>
              <w:t>   </w:t>
            </w:r>
            <w:r>
              <w:rPr>
                <w:rFonts w:hint="default" w:ascii="Times New Roman" w:hAnsi="Times New Roman" w:cs="Times New Roman"/>
                <w:color w:val="auto"/>
                <w:sz w:val="24"/>
                <w:szCs w:val="24"/>
              </w:rPr>
              <w:t>4.</w:t>
            </w:r>
            <w:r>
              <w:rPr>
                <w:rFonts w:hint="eastAsia" w:ascii="方正仿宋_GBK" w:hAnsi="方正仿宋_GBK" w:eastAsia="方正仿宋_GBK" w:cs="方正仿宋_GBK"/>
                <w:color w:val="auto"/>
                <w:sz w:val="24"/>
                <w:szCs w:val="24"/>
              </w:rPr>
              <w:t>如违背以上承诺，愿意承担相关责任，并在规定时限内退回补助资金。       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94" w:hRule="atLeast"/>
          <w:jc w:val="center"/>
        </w:trPr>
        <w:tc>
          <w:tcPr>
            <w:tcW w:w="1226" w:type="dxa"/>
            <w:tcBorders>
              <w:left w:val="single" w:color="auto" w:sz="6" w:space="0"/>
            </w:tcBorders>
            <w:shd w:val="clear" w:color="auto" w:fill="auto"/>
            <w:tcMar>
              <w:left w:w="101"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　</w:t>
            </w:r>
          </w:p>
        </w:tc>
        <w:tc>
          <w:tcPr>
            <w:tcW w:w="1039" w:type="dxa"/>
            <w:gridSpan w:val="2"/>
            <w:shd w:val="clear" w:color="auto" w:fill="auto"/>
            <w:tcMar>
              <w:left w:w="108"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1038" w:type="dxa"/>
            <w:shd w:val="clear" w:color="auto" w:fill="auto"/>
            <w:tcMar>
              <w:left w:w="108"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1038" w:type="dxa"/>
            <w:shd w:val="clear" w:color="auto" w:fill="auto"/>
            <w:tcMar>
              <w:left w:w="108"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3083" w:type="dxa"/>
            <w:gridSpan w:val="6"/>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rPr>
            </w:pPr>
            <w:r>
              <w:rPr>
                <w:rFonts w:hint="eastAsia" w:ascii="方正仿宋_GBK" w:hAnsi="方正仿宋_GBK" w:eastAsia="方正仿宋_GBK" w:cs="方正仿宋_GBK"/>
                <w:color w:val="auto"/>
                <w:sz w:val="24"/>
                <w:szCs w:val="24"/>
              </w:rPr>
              <w:t>项目申报责任人（签名）</w:t>
            </w:r>
          </w:p>
        </w:tc>
        <w:tc>
          <w:tcPr>
            <w:tcW w:w="2099" w:type="dxa"/>
            <w:tcBorders>
              <w:right w:val="single" w:color="auto" w:sz="6" w:space="0"/>
            </w:tcBorders>
            <w:shd w:val="clear" w:color="auto" w:fill="auto"/>
            <w:tcMar>
              <w:left w:w="108" w:type="dxa"/>
              <w:right w:w="101"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24"/>
                <w:szCs w:val="24"/>
              </w:rPr>
            </w:pPr>
            <w:r>
              <w:rPr>
                <w:rFonts w:hint="default" w:ascii="Times New Roman" w:hAnsi="Times New Roman" w:cs="Times New Roman"/>
                <w:color w:val="auto"/>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95" w:hRule="atLeast"/>
          <w:jc w:val="center"/>
        </w:trPr>
        <w:tc>
          <w:tcPr>
            <w:tcW w:w="1226" w:type="dxa"/>
            <w:tcBorders>
              <w:left w:val="single" w:color="auto" w:sz="6" w:space="0"/>
            </w:tcBorders>
            <w:shd w:val="clear" w:color="auto" w:fill="auto"/>
            <w:tcMar>
              <w:left w:w="101"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　</w:t>
            </w:r>
          </w:p>
        </w:tc>
        <w:tc>
          <w:tcPr>
            <w:tcW w:w="1039" w:type="dxa"/>
            <w:gridSpan w:val="2"/>
            <w:shd w:val="clear" w:color="auto" w:fill="auto"/>
            <w:tcMar>
              <w:left w:w="108"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1038" w:type="dxa"/>
            <w:shd w:val="clear" w:color="auto" w:fill="auto"/>
            <w:tcMar>
              <w:left w:w="108"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1038" w:type="dxa"/>
            <w:shd w:val="clear" w:color="auto" w:fill="auto"/>
            <w:tcMar>
              <w:left w:w="108"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default" w:ascii="Times New Roman" w:hAnsi="Times New Roman" w:cs="Times New Roman"/>
                <w:color w:val="auto"/>
                <w:sz w:val="24"/>
                <w:szCs w:val="24"/>
              </w:rPr>
              <w:t> </w:t>
            </w:r>
          </w:p>
        </w:tc>
        <w:tc>
          <w:tcPr>
            <w:tcW w:w="3083" w:type="dxa"/>
            <w:gridSpan w:val="6"/>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rPr>
            </w:pPr>
            <w:r>
              <w:rPr>
                <w:rFonts w:hint="eastAsia" w:ascii="方正仿宋_GBK" w:hAnsi="方正仿宋_GBK" w:eastAsia="方正仿宋_GBK" w:cs="方正仿宋_GBK"/>
                <w:color w:val="auto"/>
                <w:sz w:val="24"/>
                <w:szCs w:val="24"/>
              </w:rPr>
              <w:t>单位负责人（签名）</w:t>
            </w:r>
          </w:p>
        </w:tc>
        <w:tc>
          <w:tcPr>
            <w:tcW w:w="2099" w:type="dxa"/>
            <w:tcBorders>
              <w:right w:val="single" w:color="auto" w:sz="6" w:space="0"/>
            </w:tcBorders>
            <w:shd w:val="clear" w:color="auto" w:fill="auto"/>
            <w:tcMar>
              <w:left w:w="108" w:type="dxa"/>
              <w:right w:w="101"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24"/>
                <w:szCs w:val="24"/>
              </w:rPr>
            </w:pPr>
            <w:r>
              <w:rPr>
                <w:rFonts w:hint="eastAsia" w:ascii="方正仿宋_GBK" w:hAnsi="方正仿宋_GBK" w:eastAsia="方正仿宋_GBK" w:cs="方正仿宋_GBK"/>
                <w:color w:val="auto"/>
                <w:sz w:val="24"/>
                <w:szCs w:val="24"/>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405" w:hRule="atLeast"/>
          <w:jc w:val="center"/>
        </w:trPr>
        <w:tc>
          <w:tcPr>
            <w:tcW w:w="1226" w:type="dxa"/>
            <w:tcBorders>
              <w:left w:val="single" w:color="auto" w:sz="6" w:space="0"/>
              <w:bottom w:val="single" w:color="auto" w:sz="6" w:space="0"/>
            </w:tcBorders>
            <w:shd w:val="clear" w:color="auto" w:fill="auto"/>
            <w:tcMar>
              <w:left w:w="101"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　</w:t>
            </w:r>
          </w:p>
        </w:tc>
        <w:tc>
          <w:tcPr>
            <w:tcW w:w="1039" w:type="dxa"/>
            <w:gridSpan w:val="2"/>
            <w:tcBorders>
              <w:bottom w:val="single" w:color="auto" w:sz="6" w:space="0"/>
            </w:tcBorders>
            <w:shd w:val="clear" w:color="auto" w:fill="auto"/>
            <w:tcMar>
              <w:left w:w="108"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　</w:t>
            </w:r>
          </w:p>
        </w:tc>
        <w:tc>
          <w:tcPr>
            <w:tcW w:w="1038" w:type="dxa"/>
            <w:tcBorders>
              <w:bottom w:val="single" w:color="auto" w:sz="6" w:space="0"/>
            </w:tcBorders>
            <w:shd w:val="clear" w:color="auto" w:fill="auto"/>
            <w:tcMar>
              <w:left w:w="108"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　</w:t>
            </w:r>
          </w:p>
        </w:tc>
        <w:tc>
          <w:tcPr>
            <w:tcW w:w="1038" w:type="dxa"/>
            <w:tcBorders>
              <w:bottom w:val="single" w:color="auto" w:sz="6" w:space="0"/>
            </w:tcBorders>
            <w:shd w:val="clear" w:color="auto" w:fill="auto"/>
            <w:tcMar>
              <w:left w:w="108" w:type="dxa"/>
              <w:right w:w="108"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4"/>
                <w:szCs w:val="24"/>
              </w:rPr>
            </w:pPr>
            <w:r>
              <w:rPr>
                <w:rFonts w:hint="eastAsia" w:ascii="方正仿宋_GBK" w:hAnsi="方正仿宋_GBK" w:eastAsia="方正仿宋_GBK" w:cs="方正仿宋_GBK"/>
                <w:color w:val="auto"/>
                <w:sz w:val="24"/>
                <w:szCs w:val="24"/>
              </w:rPr>
              <w:t>　</w:t>
            </w:r>
          </w:p>
        </w:tc>
        <w:tc>
          <w:tcPr>
            <w:tcW w:w="2157" w:type="dxa"/>
            <w:gridSpan w:val="3"/>
            <w:tcBorders>
              <w:bottom w:val="single" w:color="auto" w:sz="6"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rPr>
            </w:pPr>
            <w:r>
              <w:rPr>
                <w:rFonts w:hint="eastAsia" w:ascii="方正仿宋_GBK" w:hAnsi="方正仿宋_GBK" w:eastAsia="方正仿宋_GBK" w:cs="方正仿宋_GBK"/>
                <w:color w:val="auto"/>
                <w:sz w:val="24"/>
                <w:szCs w:val="24"/>
              </w:rPr>
              <w:t>日 期：</w:t>
            </w:r>
          </w:p>
        </w:tc>
        <w:tc>
          <w:tcPr>
            <w:tcW w:w="926" w:type="dxa"/>
            <w:gridSpan w:val="3"/>
            <w:tcBorders>
              <w:bottom w:val="single" w:color="auto" w:sz="6"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rPr>
            </w:pPr>
            <w:r>
              <w:rPr>
                <w:rFonts w:hint="eastAsia" w:ascii="方正仿宋_GBK" w:hAnsi="方正仿宋_GBK" w:eastAsia="方正仿宋_GBK" w:cs="方正仿宋_GBK"/>
                <w:color w:val="auto"/>
                <w:sz w:val="24"/>
                <w:szCs w:val="24"/>
              </w:rPr>
              <w:t>　</w:t>
            </w:r>
          </w:p>
        </w:tc>
        <w:tc>
          <w:tcPr>
            <w:tcW w:w="2099" w:type="dxa"/>
            <w:tcBorders>
              <w:bottom w:val="single" w:color="auto" w:sz="6" w:space="0"/>
              <w:right w:val="single" w:color="auto" w:sz="6" w:space="0"/>
            </w:tcBorders>
            <w:shd w:val="clear" w:color="auto" w:fill="auto"/>
            <w:tcMar>
              <w:left w:w="108" w:type="dxa"/>
              <w:right w:w="101"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24"/>
                <w:szCs w:val="24"/>
              </w:rPr>
            </w:pPr>
            <w:r>
              <w:rPr>
                <w:rFonts w:hint="eastAsia" w:ascii="方正仿宋_GBK" w:hAnsi="方正仿宋_GBK" w:eastAsia="方正仿宋_GBK" w:cs="方正仿宋_GBK"/>
                <w:color w:val="auto"/>
                <w:sz w:val="24"/>
                <w:szCs w:val="24"/>
              </w:rPr>
              <w:t>　</w:t>
            </w:r>
          </w:p>
        </w:tc>
      </w:tr>
    </w:tbl>
    <w:p>
      <w:pPr>
        <w:pStyle w:val="4"/>
        <w:keepNext w:val="0"/>
        <w:keepLines w:val="0"/>
        <w:widowControl/>
        <w:suppressLineNumbers w:val="0"/>
        <w:spacing w:before="0" w:beforeAutospacing="0" w:after="0" w:afterAutospacing="0" w:line="315" w:lineRule="atLeast"/>
        <w:ind w:left="0" w:right="0" w:firstLine="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B639F"/>
    <w:rsid w:val="09ED560B"/>
    <w:rsid w:val="1A6B4F5A"/>
    <w:rsid w:val="39491805"/>
    <w:rsid w:val="3EEB639F"/>
    <w:rsid w:val="43DA2B7D"/>
    <w:rsid w:val="65EE3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Calibri" w:hAnsi="Calibri" w:eastAsia="宋体" w:cs="方正仿宋_GBK"/>
      <w:spacing w:val="0"/>
      <w:w w:val="100"/>
      <w:kern w:val="10"/>
      <w:sz w:val="32"/>
      <w:szCs w:val="32"/>
      <w:lang w:val="en-US" w:eastAsia="zh-CN"/>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color w:val="FFFFFF" w:themeColor="background1"/>
      <w:kern w:val="0"/>
      <w:sz w:val="24"/>
      <w:lang w:val="en-US" w:eastAsia="zh-CN" w:bidi="ar"/>
      <w14:textFill>
        <w14:solidFill>
          <w14:schemeClr w14:val="bg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2023-06-12T10:01:00Z</dcterms:created>
  <dc:creator>青草根</dc:creator>
  <cp:lastModifiedBy>boicevecn</cp:lastModifiedBy>
  <dcterms:modified xsi:type="dcterms:W3CDTF">2025-05-26T08:28:28Z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