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20" w:after="0" w:line="594" w:lineRule="exact"/>
        <w:ind w:right="560"/>
        <w:jc w:val="both"/>
        <w:textAlignment w:val="auto"/>
        <w:rPr>
          <w:rFonts w:hint="default" w:ascii="方正黑体_GBK" w:hAnsi="方正黑体_GBK" w:eastAsia="方正黑体_GBK" w:cs="方正黑体_GBK"/>
          <w:b w:val="0"/>
          <w:i w:val="0"/>
          <w:strike w:val="0"/>
          <w:color w:val="000000"/>
          <w:sz w:val="32"/>
          <w:szCs w:val="32"/>
          <w:lang w:val="en-US" w:eastAsia="zh-CN"/>
        </w:rPr>
      </w:pPr>
      <w:r>
        <w:rPr>
          <w:rFonts w:hint="eastAsia" w:ascii="方正黑体_GBK" w:hAnsi="方正黑体_GBK" w:eastAsia="方正黑体_GBK" w:cs="方正黑体_GBK"/>
          <w:b w:val="0"/>
          <w:i w:val="0"/>
          <w:strike w:val="0"/>
          <w:color w:val="000000"/>
          <w:sz w:val="32"/>
          <w:szCs w:val="32"/>
          <w:lang w:eastAsia="zh-CN"/>
        </w:rPr>
        <w:t>附件</w:t>
      </w:r>
      <w:r>
        <w:rPr>
          <w:rFonts w:hint="eastAsia" w:ascii="方正黑体_GBK" w:hAnsi="方正黑体_GBK" w:eastAsia="方正黑体_GBK" w:cs="方正黑体_GBK"/>
          <w:b w:val="0"/>
          <w:i w:val="0"/>
          <w:strike w:val="0"/>
          <w:color w:val="000000"/>
          <w:sz w:val="32"/>
          <w:szCs w:val="32"/>
          <w:lang w:val="en-US" w:eastAsia="zh-CN"/>
        </w:rPr>
        <w:t>1</w:t>
      </w:r>
    </w:p>
    <w:p>
      <w:pPr>
        <w:wordWrap/>
        <w:autoSpaceDE w:val="0"/>
        <w:autoSpaceDN w:val="0"/>
        <w:spacing w:before="20" w:after="0" w:line="583" w:lineRule="atLeast"/>
        <w:ind w:right="560" w:firstLine="880" w:firstLineChars="200"/>
        <w:jc w:val="both"/>
        <w:textAlignment w:val="auto"/>
        <w:rPr>
          <w:rFonts w:hint="eastAsia" w:ascii="方正小标宋_GBK" w:hAnsi="方正小标宋_GBK" w:eastAsia="方正小标宋_GBK" w:cs="方正小标宋_GBK"/>
          <w:b w:val="0"/>
          <w:i w:val="0"/>
          <w:strike w:val="0"/>
          <w:color w:val="000000"/>
          <w:sz w:val="44"/>
          <w:szCs w:val="44"/>
        </w:rPr>
      </w:pPr>
      <w:r>
        <w:rPr>
          <w:rFonts w:hint="eastAsia" w:ascii="方正小标宋_GBK" w:hAnsi="方正小标宋_GBK" w:eastAsia="方正小标宋_GBK" w:cs="方正小标宋_GBK"/>
          <w:b w:val="0"/>
          <w:i w:val="0"/>
          <w:strike w:val="0"/>
          <w:color w:val="000000"/>
          <w:sz w:val="44"/>
          <w:szCs w:val="44"/>
        </w:rPr>
        <w:t>定点医疗机构医保基金使用负面清单</w:t>
      </w:r>
    </w:p>
    <w:p>
      <w:pPr>
        <w:wordWrap/>
        <w:autoSpaceDE w:val="0"/>
        <w:autoSpaceDN w:val="0"/>
        <w:spacing w:before="20" w:after="0" w:line="583" w:lineRule="atLeast"/>
        <w:ind w:right="560" w:firstLine="560" w:firstLineChars="200"/>
        <w:jc w:val="both"/>
        <w:textAlignment w:val="auto"/>
        <w:rPr>
          <w:rFonts w:hint="eastAsia" w:ascii="方正黑体_GBK" w:hAnsi="方正黑体_GBK" w:eastAsia="方正黑体_GBK" w:cs="方正黑体_GBK"/>
          <w:b w:val="0"/>
          <w:i w:val="0"/>
          <w:strike w:val="0"/>
          <w:color w:val="000000"/>
          <w:sz w:val="28"/>
          <w:szCs w:val="28"/>
        </w:rPr>
      </w:pPr>
      <w:r>
        <w:rPr>
          <w:rFonts w:hint="eastAsia" w:ascii="方正黑体_GBK" w:hAnsi="方正黑体_GBK" w:eastAsia="方正黑体_GBK" w:cs="方正黑体_GBK"/>
          <w:b w:val="0"/>
          <w:i w:val="0"/>
          <w:strike w:val="0"/>
          <w:color w:val="000000"/>
          <w:sz w:val="28"/>
          <w:szCs w:val="28"/>
          <w:lang w:eastAsia="zh-CN"/>
        </w:rPr>
        <w:t>一、国家飞行检查</w:t>
      </w:r>
      <w:r>
        <w:rPr>
          <w:rFonts w:hint="eastAsia" w:ascii="方正黑体_GBK" w:hAnsi="方正黑体_GBK" w:eastAsia="方正黑体_GBK" w:cs="方正黑体_GBK"/>
          <w:b w:val="0"/>
          <w:i w:val="0"/>
          <w:strike w:val="0"/>
          <w:color w:val="000000"/>
          <w:sz w:val="28"/>
          <w:szCs w:val="28"/>
        </w:rPr>
        <w:t>定点医疗机构医保基金使用负面清单</w:t>
      </w:r>
    </w:p>
    <w:p>
      <w:pPr>
        <w:wordWrap/>
        <w:autoSpaceDE w:val="0"/>
        <w:autoSpaceDN w:val="0"/>
        <w:spacing w:before="20" w:after="0" w:line="583" w:lineRule="atLeast"/>
        <w:ind w:right="560" w:firstLine="600" w:firstLineChars="200"/>
        <w:jc w:val="both"/>
        <w:textAlignment w:val="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b w:val="0"/>
          <w:i w:val="0"/>
          <w:strike w:val="0"/>
          <w:color w:val="000000"/>
          <w:sz w:val="30"/>
          <w:szCs w:val="30"/>
          <w:lang w:eastAsia="zh-CN"/>
        </w:rPr>
        <w:t>（</w:t>
      </w:r>
      <w:r>
        <w:rPr>
          <w:rFonts w:hint="eastAsia" w:ascii="方正楷体_GBK" w:hAnsi="方正楷体_GBK" w:eastAsia="方正楷体_GBK" w:cs="方正楷体_GBK"/>
          <w:b w:val="0"/>
          <w:i w:val="0"/>
          <w:strike w:val="0"/>
          <w:color w:val="000000"/>
          <w:sz w:val="30"/>
          <w:szCs w:val="30"/>
          <w:lang w:val="en-US" w:eastAsia="zh-CN"/>
        </w:rPr>
        <w:t>一</w:t>
      </w:r>
      <w:r>
        <w:rPr>
          <w:rFonts w:hint="eastAsia" w:ascii="方正楷体_GBK" w:hAnsi="方正楷体_GBK" w:eastAsia="方正楷体_GBK" w:cs="方正楷体_GBK"/>
          <w:b w:val="0"/>
          <w:i w:val="0"/>
          <w:strike w:val="0"/>
          <w:color w:val="000000"/>
          <w:sz w:val="30"/>
          <w:szCs w:val="30"/>
          <w:lang w:eastAsia="zh-CN"/>
        </w:rPr>
        <w:t>）</w:t>
      </w:r>
      <w:r>
        <w:rPr>
          <w:rFonts w:hint="eastAsia" w:ascii="方正楷体_GBK" w:hAnsi="方正楷体_GBK" w:eastAsia="方正楷体_GBK" w:cs="方正楷体_GBK"/>
          <w:b w:val="0"/>
          <w:i w:val="0"/>
          <w:strike w:val="0"/>
          <w:color w:val="000000"/>
          <w:sz w:val="30"/>
          <w:szCs w:val="30"/>
        </w:rPr>
        <w:t>心血管内科类</w:t>
      </w:r>
      <w:r>
        <w:rPr>
          <w:rFonts w:hint="eastAsia" w:ascii="方正楷体_GBK" w:hAnsi="方正楷体_GBK" w:eastAsia="方正楷体_GBK" w:cs="方正楷体_GBK"/>
          <w:b w:val="0"/>
          <w:i w:val="0"/>
          <w:strike w:val="0"/>
          <w:color w:val="000000"/>
          <w:sz w:val="30"/>
          <w:szCs w:val="30"/>
          <w:lang w:eastAsia="zh-CN"/>
        </w:rPr>
        <w:t>（</w:t>
      </w:r>
      <w:r>
        <w:rPr>
          <w:rFonts w:hint="eastAsia" w:ascii="方正楷体_GBK" w:hAnsi="方正楷体_GBK" w:eastAsia="方正楷体_GBK" w:cs="方正楷体_GBK"/>
          <w:b w:val="0"/>
          <w:i w:val="0"/>
          <w:strike w:val="0"/>
          <w:color w:val="000000"/>
          <w:sz w:val="30"/>
          <w:szCs w:val="30"/>
        </w:rPr>
        <w:t>12条</w:t>
      </w:r>
      <w:r>
        <w:rPr>
          <w:rFonts w:hint="eastAsia" w:ascii="方正楷体_GBK" w:hAnsi="方正楷体_GBK" w:eastAsia="方正楷体_GBK" w:cs="方正楷体_GBK"/>
          <w:b w:val="0"/>
          <w:i w:val="0"/>
          <w:strike w:val="0"/>
          <w:color w:val="000000"/>
          <w:sz w:val="30"/>
          <w:szCs w:val="30"/>
          <w:lang w:eastAsia="zh-CN"/>
        </w:rPr>
        <w:t>）</w:t>
      </w:r>
    </w:p>
    <w:tbl>
      <w:tblPr>
        <w:tblStyle w:val="6"/>
        <w:tblpPr w:leftFromText="180" w:rightFromText="180" w:vertAnchor="text" w:horzAnchor="page" w:tblpX="836" w:tblpY="29"/>
        <w:tblOverlap w:val="never"/>
        <w:tblW w:w="1016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7"/>
        <w:gridCol w:w="2093"/>
        <w:gridCol w:w="2997"/>
        <w:gridCol w:w="1323"/>
        <w:gridCol w:w="296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0" w:hRule="atLeast"/>
        </w:trPr>
        <w:tc>
          <w:tcPr>
            <w:tcW w:w="787" w:type="dxa"/>
            <w:noWrap w:val="0"/>
            <w:vAlign w:val="center"/>
          </w:tcPr>
          <w:p>
            <w:pPr>
              <w:wordWrap/>
              <w:autoSpaceDE w:val="0"/>
              <w:autoSpaceDN w:val="0"/>
              <w:spacing w:before="0" w:after="0" w:line="200" w:lineRule="atLeast"/>
              <w:ind w:left="0" w:right="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i w:val="0"/>
                <w:strike w:val="0"/>
                <w:color w:val="000000"/>
                <w:sz w:val="21"/>
                <w:szCs w:val="21"/>
              </w:rPr>
              <w:t>序号</w:t>
            </w:r>
          </w:p>
        </w:tc>
        <w:tc>
          <w:tcPr>
            <w:tcW w:w="2093" w:type="dxa"/>
            <w:noWrap w:val="0"/>
            <w:vAlign w:val="center"/>
          </w:tcPr>
          <w:p>
            <w:pPr>
              <w:wordWrap/>
              <w:autoSpaceDE w:val="0"/>
              <w:autoSpaceDN w:val="0"/>
              <w:spacing w:before="0" w:after="0" w:line="200" w:lineRule="atLeast"/>
              <w:ind w:left="0" w:right="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i w:val="0"/>
                <w:strike w:val="0"/>
                <w:color w:val="000000"/>
                <w:sz w:val="21"/>
                <w:szCs w:val="21"/>
              </w:rPr>
              <w:t>问题</w:t>
            </w:r>
          </w:p>
        </w:tc>
        <w:tc>
          <w:tcPr>
            <w:tcW w:w="2997" w:type="dxa"/>
            <w:noWrap w:val="0"/>
            <w:vAlign w:val="center"/>
          </w:tcPr>
          <w:p>
            <w:pPr>
              <w:wordWrap/>
              <w:autoSpaceDE w:val="0"/>
              <w:autoSpaceDN w:val="0"/>
              <w:spacing w:before="0" w:after="0" w:line="200" w:lineRule="atLeast"/>
              <w:ind w:left="0" w:right="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i w:val="0"/>
                <w:strike w:val="0"/>
                <w:color w:val="000000"/>
                <w:sz w:val="21"/>
                <w:szCs w:val="21"/>
              </w:rPr>
              <w:t>有关依据</w:t>
            </w:r>
          </w:p>
        </w:tc>
        <w:tc>
          <w:tcPr>
            <w:tcW w:w="1323" w:type="dxa"/>
            <w:noWrap w:val="0"/>
            <w:vAlign w:val="center"/>
          </w:tcPr>
          <w:p>
            <w:pPr>
              <w:wordWrap/>
              <w:autoSpaceDE w:val="0"/>
              <w:autoSpaceDN w:val="0"/>
              <w:spacing w:before="0" w:after="0" w:line="200" w:lineRule="atLeast"/>
              <w:ind w:left="0" w:right="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i w:val="0"/>
                <w:strike w:val="0"/>
                <w:color w:val="000000"/>
                <w:sz w:val="21"/>
                <w:szCs w:val="21"/>
              </w:rPr>
              <w:t>违规类型</w:t>
            </w:r>
          </w:p>
        </w:tc>
        <w:tc>
          <w:tcPr>
            <w:tcW w:w="2960" w:type="dxa"/>
            <w:noWrap w:val="0"/>
            <w:vAlign w:val="center"/>
          </w:tcPr>
          <w:p>
            <w:pPr>
              <w:wordWrap/>
              <w:autoSpaceDE w:val="0"/>
              <w:autoSpaceDN w:val="0"/>
              <w:spacing w:before="0" w:after="0" w:line="200" w:lineRule="atLeast"/>
              <w:ind w:left="0" w:right="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67" w:hRule="atLeast"/>
        </w:trPr>
        <w:tc>
          <w:tcPr>
            <w:tcW w:w="787"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209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心内科开展经血管介入等治疗，实际使用的一次性高值耗材数量与收费数量不符。</w:t>
            </w:r>
          </w:p>
        </w:tc>
        <w:tc>
          <w:tcPr>
            <w:tcW w:w="2997"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导管、导丝、起搏器、支架、球囊等一次性高值耗材使用的真实性。</w:t>
            </w:r>
          </w:p>
        </w:tc>
        <w:tc>
          <w:tcPr>
            <w:tcW w:w="1323" w:type="dxa"/>
            <w:noWrap w:val="0"/>
            <w:vAlign w:val="center"/>
          </w:tcPr>
          <w:p>
            <w:pPr>
              <w:wordWrap/>
              <w:autoSpaceDE w:val="0"/>
              <w:autoSpaceDN w:val="0"/>
              <w:spacing w:before="2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虚构医药服务项目或重复收费</w:t>
            </w:r>
          </w:p>
        </w:tc>
        <w:tc>
          <w:tcPr>
            <w:tcW w:w="2960" w:type="dxa"/>
            <w:noWrap w:val="0"/>
            <w:vAlign w:val="center"/>
          </w:tcPr>
          <w:p>
            <w:pPr>
              <w:wordWrap/>
              <w:autoSpaceDE w:val="0"/>
              <w:autoSpaceDN w:val="0"/>
              <w:spacing w:before="2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示例：某医院为急性心肌梗死患者开展经皮冠状动脉内支架置入术，术中实际使用**公司生产的冠脉导引导丝1根，但按照3根收取费用，其中2根属于虚构医药服务项目或重复收费。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915" w:hRule="atLeast"/>
        </w:trPr>
        <w:tc>
          <w:tcPr>
            <w:tcW w:w="787"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w:t>
            </w:r>
          </w:p>
        </w:tc>
        <w:tc>
          <w:tcPr>
            <w:tcW w:w="209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心内科经血管介入治疗使用的不同厂家、不同规格、不同价格的一次性高值耗材之间相互串换收费。</w:t>
            </w:r>
          </w:p>
        </w:tc>
        <w:tc>
          <w:tcPr>
            <w:tcW w:w="2997"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导管、导丝、起搏器、支架、球囊等一次性高值耗材使用的真实性。</w:t>
            </w:r>
          </w:p>
        </w:tc>
        <w:tc>
          <w:tcPr>
            <w:tcW w:w="1323"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2960"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示例：某医院为冠心病患者开展经皮冠状动脉腔内成形术，术中使用**公司生产的普通球囊</w:t>
            </w:r>
            <w:r>
              <w:rPr>
                <w:rFonts w:hint="default"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非药物涂层球囊，单价3300元/个</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，但按照该公司生产的药物涂层球囊</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单价6400元/个</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54" w:hRule="atLeast"/>
        </w:trPr>
        <w:tc>
          <w:tcPr>
            <w:tcW w:w="787"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w:t>
            </w:r>
          </w:p>
        </w:tc>
        <w:tc>
          <w:tcPr>
            <w:tcW w:w="209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开展冠脉介入项目，重复收取冠脉造影费用。</w:t>
            </w:r>
          </w:p>
        </w:tc>
        <w:tc>
          <w:tcPr>
            <w:tcW w:w="2997"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泛指各地执行的医疗服务项目价格和医保支付政策，因不同地方政策不同，各地应结合本地政策参考使用，下同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中，冠脉腔内成形术/球囊扩张术、支架置入术、腔内激光成形术、内膜旋磨术、溶栓术、局部放射治疗术、局部药物释放治疗术、心肌血管重建术等冠脉介入项目内涵：含靶血管造影。</w:t>
            </w:r>
          </w:p>
        </w:tc>
        <w:tc>
          <w:tcPr>
            <w:tcW w:w="1323"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2960"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冠状动脉内膜定向旋切术项目内涵：含靶血管造影。某医院为急性心肌梗塞的患者行冠状动脉内膜定向旋切术，手术步骤为靶血管造影、送入旋切导管、充盈球囊旋切病变、撤出器械。医院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冠状动脉内膜定向旋切术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冠状动脉造影术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冠状动肺造影术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为重复收费。</w:t>
            </w:r>
          </w:p>
        </w:tc>
      </w:tr>
    </w:tbl>
    <w:p>
      <w:pPr>
        <w:wordWrap/>
        <w:autoSpaceDE w:val="0"/>
        <w:autoSpaceDN w:val="0"/>
        <w:spacing w:before="1120" w:after="0" w:line="180" w:lineRule="atLeast"/>
        <w:ind w:right="0"/>
        <w:jc w:val="both"/>
        <w:textAlignment w:val="auto"/>
        <w:rPr>
          <w:rFonts w:hint="default" w:ascii="Times New Roman" w:hAnsi="Times New Roman" w:eastAsia="方正仿宋_GBK" w:cs="Times New Roman"/>
          <w:sz w:val="21"/>
          <w:szCs w:val="21"/>
        </w:rPr>
      </w:pPr>
    </w:p>
    <w:tbl>
      <w:tblPr>
        <w:tblStyle w:val="6"/>
        <w:tblpPr w:leftFromText="180" w:rightFromText="180" w:vertAnchor="text" w:horzAnchor="page" w:tblpX="836" w:tblpY="83"/>
        <w:tblOverlap w:val="never"/>
        <w:tblW w:w="1040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7"/>
        <w:gridCol w:w="2161"/>
        <w:gridCol w:w="2902"/>
        <w:gridCol w:w="1143"/>
        <w:gridCol w:w="34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15" w:hRule="atLeast"/>
        </w:trPr>
        <w:tc>
          <w:tcPr>
            <w:tcW w:w="787"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序号</w:t>
            </w:r>
          </w:p>
        </w:tc>
        <w:tc>
          <w:tcPr>
            <w:tcW w:w="2161"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问题</w:t>
            </w:r>
          </w:p>
        </w:tc>
        <w:tc>
          <w:tcPr>
            <w:tcW w:w="290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有关依据</w:t>
            </w:r>
          </w:p>
        </w:tc>
        <w:tc>
          <w:tcPr>
            <w:tcW w:w="114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违规类型</w:t>
            </w:r>
          </w:p>
        </w:tc>
        <w:tc>
          <w:tcPr>
            <w:tcW w:w="341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87"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4</w:t>
            </w:r>
          </w:p>
        </w:tc>
        <w:tc>
          <w:tcPr>
            <w:tcW w:w="216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开展同一段冠脉血管病变介入项目，重复收取扩张术费用。</w:t>
            </w:r>
          </w:p>
        </w:tc>
        <w:tc>
          <w:tcPr>
            <w:tcW w:w="290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《诊疗目录》中，冠脉内支架置入术、内膜旋磨术、腔内激光成形术等经血管介入项目内涵：含主要操作步骤之前的球囊预扩张或之后的球囊扩张。</w:t>
            </w:r>
          </w:p>
        </w:tc>
        <w:tc>
          <w:tcPr>
            <w:tcW w:w="1143"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413"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示例：某省《公立医疗机构基本医疗服务项目目录》中，经皮冠状动脉内支架置入术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STENT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项目内涵：含为放置冠脉内支架而进行的球囊预扩张和支架打开后的支架内球囊高压扩张。某医院为患者行左前降支支架置入术，手术步骤包括靶血管造影、球囊预扩张、置入支架、球囊高压扩张、撤出器械。医院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经皮冠状动脉内支架置入术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STENT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和2次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经皮动脉内球囊扩张术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962" w:hRule="atLeast"/>
        </w:trPr>
        <w:tc>
          <w:tcPr>
            <w:tcW w:w="787"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w:t>
            </w:r>
          </w:p>
        </w:tc>
        <w:tc>
          <w:tcPr>
            <w:tcW w:w="216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开展同一段冠脉血管病变介入项目，重复收取支架置入费用。</w:t>
            </w:r>
          </w:p>
        </w:tc>
        <w:tc>
          <w:tcPr>
            <w:tcW w:w="2902"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《诊疗目录》中，冠脉内膜旋磨术、腔内激光成形术等经血管介入项目内涵：含支架置入。</w:t>
            </w:r>
          </w:p>
        </w:tc>
        <w:tc>
          <w:tcPr>
            <w:tcW w:w="1143"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413"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高速冠状动脉内膜旋磨术项目内涵：含旋磨后支架置入。某医院为严重冠心病患者行前降支高速冠状动脉内膜旋磨术，手术步骤包括靶血管造影、送入旋磨导丝、推进病变旋磨、置入支架、撤出器械。医院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高速冠状动脉内膜旋磨术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经皮冠状动脉内支架置入术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STENT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经皮冠状动脉内支架置入术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STENT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36" w:hRule="atLeast"/>
        </w:trPr>
        <w:tc>
          <w:tcPr>
            <w:tcW w:w="787"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6</w:t>
            </w:r>
          </w:p>
        </w:tc>
        <w:tc>
          <w:tcPr>
            <w:tcW w:w="2161" w:type="dxa"/>
            <w:noWrap w:val="0"/>
            <w:vAlign w:val="center"/>
          </w:tcPr>
          <w:p>
            <w:pPr>
              <w:wordWrap/>
              <w:autoSpaceDE w:val="0"/>
              <w:autoSpaceDN w:val="0"/>
              <w:spacing w:before="0" w:after="0" w:line="1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开展经血管介入诊疗项目，重复收取麻醉、穿刺、注射、置管等费用。</w:t>
            </w:r>
          </w:p>
        </w:tc>
        <w:tc>
          <w:tcPr>
            <w:tcW w:w="2902"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《诊疗目录》中，经血管介入治疗分类内涵：含局部麻醉、穿刺、注射、置管费用涉及冠脉造影术、多普勒血流测量术、血管内超声检查、腔内成形术、支架置入术、激光成形术、溶栓术等具体诊疗项目。</w:t>
            </w:r>
          </w:p>
        </w:tc>
        <w:tc>
          <w:tcPr>
            <w:tcW w:w="1143"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413"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经血管介入诊疗总说明明确，经血管介入治疗已含局部麻醉、穿刺、注射、置管、数字减影DSA、X线电视录像、拍片及胶片费，不得另行收费。某医院对所有接受介入治疗的患者，除收取对应手术治疗费用外，额外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静脉注射</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静脉输液</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静脉注射</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静脉输液</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费用为重复收费。</w:t>
            </w:r>
          </w:p>
        </w:tc>
      </w:tr>
    </w:tbl>
    <w:p>
      <w:pPr>
        <w:pStyle w:val="2"/>
        <w:rPr>
          <w:rFonts w:hint="default" w:ascii="Times New Roman" w:hAnsi="Times New Roman" w:cs="Times New Roman"/>
        </w:rPr>
      </w:pPr>
    </w:p>
    <w:tbl>
      <w:tblPr>
        <w:tblStyle w:val="6"/>
        <w:tblpPr w:leftFromText="180" w:rightFromText="180" w:vertAnchor="text" w:horzAnchor="page" w:tblpX="836" w:tblpY="182"/>
        <w:tblOverlap w:val="never"/>
        <w:tblW w:w="1047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2025"/>
        <w:gridCol w:w="3056"/>
        <w:gridCol w:w="1481"/>
        <w:gridCol w:w="308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3" w:hRule="atLeast"/>
        </w:trPr>
        <w:tc>
          <w:tcPr>
            <w:tcW w:w="825"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序号</w:t>
            </w:r>
          </w:p>
        </w:tc>
        <w:tc>
          <w:tcPr>
            <w:tcW w:w="2025"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问题</w:t>
            </w:r>
          </w:p>
        </w:tc>
        <w:tc>
          <w:tcPr>
            <w:tcW w:w="305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lang w:eastAsia="zh-CN"/>
              </w:rPr>
            </w:pPr>
            <w:r>
              <w:rPr>
                <w:rFonts w:hint="eastAsia" w:ascii="方正黑体_GBK" w:hAnsi="方正黑体_GBK" w:eastAsia="方正黑体_GBK" w:cs="方正黑体_GBK"/>
                <w:b w:val="0"/>
                <w:i w:val="0"/>
                <w:strike w:val="0"/>
                <w:color w:val="000000"/>
                <w:sz w:val="21"/>
                <w:szCs w:val="21"/>
              </w:rPr>
              <w:t>有关依据</w:t>
            </w:r>
          </w:p>
        </w:tc>
        <w:tc>
          <w:tcPr>
            <w:tcW w:w="1481"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违规类型</w:t>
            </w:r>
          </w:p>
        </w:tc>
        <w:tc>
          <w:tcPr>
            <w:tcW w:w="308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sz w:val="21"/>
                <w:szCs w:val="21"/>
              </w:rPr>
            </w:pPr>
            <w:r>
              <w:rPr>
                <w:rFonts w:hint="eastAsia" w:ascii="方正黑体_GBK" w:hAnsi="方正黑体_GBK" w:eastAsia="方正黑体_GBK" w:cs="方正黑体_GBK"/>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541" w:hRule="atLeast"/>
        </w:trPr>
        <w:tc>
          <w:tcPr>
            <w:tcW w:w="825"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7</w:t>
            </w:r>
          </w:p>
        </w:tc>
        <w:tc>
          <w:tcPr>
            <w:tcW w:w="2025"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开展经血管介入项目，扩张多支血管超出计价标准。</w:t>
            </w:r>
          </w:p>
        </w:tc>
        <w:tc>
          <w:tcPr>
            <w:tcW w:w="3056" w:type="dxa"/>
            <w:noWrap w:val="0"/>
            <w:vAlign w:val="center"/>
          </w:tcPr>
          <w:p>
            <w:pPr>
              <w:wordWrap/>
              <w:autoSpaceDE w:val="0"/>
              <w:autoSpaceDN w:val="0"/>
              <w:spacing w:before="20" w:after="0" w:line="2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经血管介入治疗总说明明确，经血管介入治疗以扩张一支冠脉血管为基价，扩张多支血管加收一定比例涉及冠脉腔内成形术/球囊扩张术、支架置入术、腔内激光成形术、内膜旋磨术、内膜旋切术、溶栓术、局部放射治疗术、局部药物释放治疗术等具体诊疗项目</w:t>
            </w:r>
            <w:r>
              <w:rPr>
                <w:rFonts w:hint="default" w:ascii="Times New Roman" w:hAnsi="Times New Roman" w:eastAsia="方正仿宋_GBK" w:cs="Times New Roman"/>
                <w:b w:val="0"/>
                <w:i w:val="0"/>
                <w:strike w:val="0"/>
                <w:color w:val="000000"/>
                <w:sz w:val="21"/>
                <w:szCs w:val="21"/>
                <w:lang w:eastAsia="zh-CN"/>
              </w:rPr>
              <w:t>。</w:t>
            </w:r>
          </w:p>
        </w:tc>
        <w:tc>
          <w:tcPr>
            <w:tcW w:w="148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086" w:type="dxa"/>
            <w:noWrap w:val="0"/>
            <w:vAlign w:val="center"/>
          </w:tcPr>
          <w:p>
            <w:pPr>
              <w:wordWrap/>
              <w:autoSpaceDE w:val="0"/>
              <w:autoSpaceDN w:val="0"/>
              <w:spacing w:before="20" w:after="0" w:line="2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介入治疗原则上以经一根血管的介入治疗为起点，每增加一根血管的治疗加收20%。某医院为严重冠心病的患者行经皮冠状动脉腔内成形术，扩张3支血管。医院按全价收取3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经皮冠状动脉腔内成形术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PTCA</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费用，其中2次应按全价的20%收取，超出部分为超标准收费。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85" w:hRule="atLeast"/>
        </w:trPr>
        <w:tc>
          <w:tcPr>
            <w:tcW w:w="825"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8</w:t>
            </w:r>
          </w:p>
        </w:tc>
        <w:tc>
          <w:tcPr>
            <w:tcW w:w="2025"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开展冠脉内局部放射治疗，重复收取同位素放射源及放疗装置的使用费用。</w:t>
            </w:r>
          </w:p>
        </w:tc>
        <w:tc>
          <w:tcPr>
            <w:tcW w:w="3056"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《诊疗目录》中，冠脉内局部放射治疗术项目内涵：含同位素放射源及放疗装置的使用。</w:t>
            </w:r>
          </w:p>
        </w:tc>
        <w:tc>
          <w:tcPr>
            <w:tcW w:w="148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6" w:type="dxa"/>
            <w:noWrap w:val="0"/>
            <w:vAlign w:val="center"/>
          </w:tcPr>
          <w:p>
            <w:pPr>
              <w:wordWrap/>
              <w:autoSpaceDE w:val="0"/>
              <w:autoSpaceDN w:val="0"/>
              <w:spacing w:before="2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示例：某省《公立医疗机构基本医疗服务项目目录》规定，冠脉内局部放射治疗术项目内涵：含冠脉造影、同位素放射源及放疗装置的使用。某医院为动脉粥样硬化患者开展冠脉内局部放射治疗，已收取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冠脉内局部放射治疗术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费用，重复收取同位素放射源费用，属于重复收费。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347" w:hRule="atLeast"/>
        </w:trPr>
        <w:tc>
          <w:tcPr>
            <w:tcW w:w="825"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9</w:t>
            </w:r>
          </w:p>
        </w:tc>
        <w:tc>
          <w:tcPr>
            <w:tcW w:w="2025" w:type="dxa"/>
            <w:noWrap w:val="0"/>
            <w:vAlign w:val="center"/>
          </w:tcPr>
          <w:p>
            <w:pPr>
              <w:wordWrap/>
              <w:autoSpaceDE w:val="0"/>
              <w:autoSpaceDN w:val="0"/>
              <w:spacing w:before="2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动态心电图与遥测心电监护项目互相串换收费。</w:t>
            </w:r>
          </w:p>
        </w:tc>
        <w:tc>
          <w:tcPr>
            <w:tcW w:w="3056"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动态心电图项目内涵；皮肤清洁处理，安放电极，固定电极及导线，使用心电图机，指导患者记录，一般连续记录24小时，有效记录时间应在22小时以上，计算机辅助人工分析数据，出具报告；按次计价。遥测心电监护项目内涵：皮肤清洁处理，安放并固定电极，通过中心工作站实时监护心电变化，按小时计价。</w:t>
            </w:r>
          </w:p>
        </w:tc>
        <w:tc>
          <w:tcPr>
            <w:tcW w:w="148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3086"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示例：某医院为心悸患者使用心电图机，安放电极后进行24小时心电图检查，应收取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动态心电图</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单价：160元/次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费用，但医院实际按照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遥测心电监护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单价：10元/小时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收取费用，24小时收取240元属于串换项目。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10" w:hRule="atLeast"/>
        </w:trPr>
        <w:tc>
          <w:tcPr>
            <w:tcW w:w="825"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10</w:t>
            </w:r>
          </w:p>
        </w:tc>
        <w:tc>
          <w:tcPr>
            <w:tcW w:w="2025" w:type="dxa"/>
            <w:noWrap w:val="0"/>
            <w:vAlign w:val="center"/>
          </w:tcPr>
          <w:p>
            <w:pPr>
              <w:wordWrap/>
              <w:autoSpaceDE w:val="0"/>
              <w:autoSpaceDN w:val="0"/>
              <w:spacing w:before="0" w:after="0" w:line="2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开展遥测心电监护，重复收取心电监测费用。</w:t>
            </w:r>
          </w:p>
        </w:tc>
        <w:tc>
          <w:tcPr>
            <w:tcW w:w="3056"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《诊疗目录》中，遥测心电监护项目内涵：皮肤清洁处理，安放并固定电极，通过中心工作站实时监护心电变化。心电监测项目内涵：使用无创心电监测设备设定监测参数，实时监测心电变化，含呼吸频率监测。</w:t>
            </w:r>
          </w:p>
        </w:tc>
        <w:tc>
          <w:tcPr>
            <w:tcW w:w="148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086"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示例：某医院为室性心律失常患者设置监护导联，通过中心工作站实时监护心电变化，共监护24小时。医院按照24小时同时收取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遥测心电监护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单价:10元/小时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心电监测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单价:3.5元/小时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心电监测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82" w:hRule="atLeast"/>
        </w:trPr>
        <w:tc>
          <w:tcPr>
            <w:tcW w:w="825"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eastAsia" w:ascii="方正黑体_GBK" w:hAnsi="方正黑体_GBK" w:eastAsia="方正黑体_GBK" w:cs="方正黑体_GBK"/>
                <w:b w:val="0"/>
                <w:i w:val="0"/>
                <w:strike w:val="0"/>
                <w:color w:val="000000"/>
                <w:sz w:val="21"/>
                <w:szCs w:val="21"/>
              </w:rPr>
              <w:t>序号</w:t>
            </w:r>
          </w:p>
        </w:tc>
        <w:tc>
          <w:tcPr>
            <w:tcW w:w="2025"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eastAsia" w:ascii="方正黑体_GBK" w:hAnsi="方正黑体_GBK" w:eastAsia="方正黑体_GBK" w:cs="方正黑体_GBK"/>
                <w:b w:val="0"/>
                <w:i w:val="0"/>
                <w:strike w:val="0"/>
                <w:color w:val="000000"/>
                <w:sz w:val="21"/>
                <w:szCs w:val="21"/>
              </w:rPr>
              <w:t>问题</w:t>
            </w:r>
          </w:p>
        </w:tc>
        <w:tc>
          <w:tcPr>
            <w:tcW w:w="305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eastAsia" w:ascii="方正黑体_GBK" w:hAnsi="方正黑体_GBK" w:eastAsia="方正黑体_GBK" w:cs="方正黑体_GBK"/>
                <w:b w:val="0"/>
                <w:i w:val="0"/>
                <w:strike w:val="0"/>
                <w:color w:val="000000"/>
                <w:sz w:val="21"/>
                <w:szCs w:val="21"/>
              </w:rPr>
              <w:t>有关依据</w:t>
            </w:r>
          </w:p>
        </w:tc>
        <w:tc>
          <w:tcPr>
            <w:tcW w:w="1481"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eastAsia" w:ascii="方正黑体_GBK" w:hAnsi="方正黑体_GBK" w:eastAsia="方正黑体_GBK" w:cs="方正黑体_GBK"/>
                <w:b w:val="0"/>
                <w:i w:val="0"/>
                <w:strike w:val="0"/>
                <w:color w:val="000000"/>
                <w:sz w:val="21"/>
                <w:szCs w:val="21"/>
              </w:rPr>
              <w:t>违规类型</w:t>
            </w:r>
          </w:p>
        </w:tc>
        <w:tc>
          <w:tcPr>
            <w:tcW w:w="308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eastAsia" w:ascii="方正黑体_GBK" w:hAnsi="方正黑体_GBK" w:eastAsia="方正黑体_GBK" w:cs="方正黑体_GBK"/>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577" w:hRule="atLeast"/>
        </w:trPr>
        <w:tc>
          <w:tcPr>
            <w:tcW w:w="825"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11</w:t>
            </w:r>
          </w:p>
        </w:tc>
        <w:tc>
          <w:tcPr>
            <w:tcW w:w="2025"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使用血压计、监护仪监测血压，按照动态血压监测进行收费。</w:t>
            </w:r>
          </w:p>
        </w:tc>
        <w:tc>
          <w:tcPr>
            <w:tcW w:w="3056" w:type="dxa"/>
            <w:noWrap w:val="0"/>
            <w:vAlign w:val="center"/>
          </w:tcPr>
          <w:p>
            <w:pPr>
              <w:wordWrap/>
              <w:autoSpaceDE w:val="0"/>
              <w:autoSpaceDN w:val="0"/>
              <w:spacing w:before="0" w:after="0" w:line="2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动态血压监测项目内涵：气袖均匀紧贴皮肤缠于上臂，以动态血压监测仪自动测量血压，指导患者记录当天的日常活动，取下记录仪输入电脑，经相关软件编辑，并按设定间期记录20小时以上血压</w:t>
            </w:r>
          </w:p>
        </w:tc>
        <w:tc>
          <w:tcPr>
            <w:tcW w:w="1481" w:type="dxa"/>
            <w:noWrap w:val="0"/>
            <w:vAlign w:val="center"/>
          </w:tcPr>
          <w:p>
            <w:pPr>
              <w:wordWrap/>
              <w:autoSpaceDE w:val="0"/>
              <w:autoSpaceDN w:val="0"/>
              <w:spacing w:before="20" w:after="0" w:line="2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重复收费或串换项目</w:t>
            </w:r>
          </w:p>
        </w:tc>
        <w:tc>
          <w:tcPr>
            <w:tcW w:w="3086"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示例：某医院医护人员为住院患者开展体温、测血压等生命体征监测，属于常规的护理操作，不应额外收费，但医院按照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动态血压监测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单价：6元/小时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收取费用，属于重复收费。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107" w:hRule="atLeast"/>
        </w:trPr>
        <w:tc>
          <w:tcPr>
            <w:tcW w:w="825"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12</w:t>
            </w:r>
          </w:p>
        </w:tc>
        <w:tc>
          <w:tcPr>
            <w:tcW w:w="2025"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未按照心脏电生理检查项目计价标准收费。</w:t>
            </w:r>
          </w:p>
        </w:tc>
        <w:tc>
          <w:tcPr>
            <w:tcW w:w="3056"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《诊疗目录》中，有创性血流动力学监测、心排出量测定、心内电生理检查等心脏电生理检查项目计价单位为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c>
          <w:tcPr>
            <w:tcW w:w="148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086" w:type="dxa"/>
            <w:noWrap w:val="0"/>
            <w:vAlign w:val="center"/>
          </w:tcPr>
          <w:p>
            <w:pPr>
              <w:wordWrap/>
              <w:autoSpaceDE w:val="0"/>
              <w:autoSpaceDN w:val="0"/>
              <w:spacing w:before="0" w:after="0" w:line="2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示例：某省《公立医疗机构基本医疗服务项目目录》规定，有创性心内电生理检查，计价单位为次，单价头1900元/次。某医院为患者开展有创性心内电生理检查，检查时长2小时，应收取1次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有创性心内电生理检查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费用，但医院按小时计费收取2次，属于超标准收费。</w:t>
            </w:r>
          </w:p>
        </w:tc>
      </w:tr>
    </w:tbl>
    <w:p>
      <w:pPr>
        <w:keepNext w:val="0"/>
        <w:keepLines w:val="0"/>
        <w:pageBreakBefore w:val="0"/>
        <w:widowControl w:val="0"/>
        <w:kinsoku/>
        <w:wordWrap/>
        <w:overflowPunct/>
        <w:topLinePunct w:val="0"/>
        <w:autoSpaceDE w:val="0"/>
        <w:autoSpaceDN w:val="0"/>
        <w:bidi w:val="0"/>
        <w:adjustRightInd/>
        <w:snapToGrid/>
        <w:spacing w:after="0" w:line="580" w:lineRule="exact"/>
        <w:ind w:right="0" w:firstLine="600" w:firstLineChars="200"/>
        <w:jc w:val="both"/>
        <w:textAlignment w:val="auto"/>
        <w:rPr>
          <w:rFonts w:hint="default" w:ascii="Times New Roman" w:hAnsi="Times New Roman" w:eastAsia="方正楷体_GBK" w:cs="Times New Roman"/>
          <w:b w:val="0"/>
          <w:i w:val="0"/>
          <w:strike w:val="0"/>
          <w:color w:val="000000"/>
          <w:sz w:val="30"/>
          <w:szCs w:val="30"/>
          <w:lang w:eastAsia="zh-CN"/>
        </w:rPr>
      </w:pP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lang w:val="en-US" w:eastAsia="zh-CN"/>
        </w:rPr>
        <w:t>二</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骨</w:t>
      </w:r>
      <w:bookmarkStart w:id="0" w:name="_GoBack"/>
      <w:bookmarkEnd w:id="0"/>
      <w:r>
        <w:rPr>
          <w:rFonts w:hint="default" w:ascii="Times New Roman" w:hAnsi="Times New Roman" w:eastAsia="方正楷体_GBK" w:cs="Times New Roman"/>
          <w:b w:val="0"/>
          <w:i w:val="0"/>
          <w:strike w:val="0"/>
          <w:color w:val="000000"/>
          <w:sz w:val="30"/>
          <w:szCs w:val="30"/>
        </w:rPr>
        <w:t>科类</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15条</w:t>
      </w:r>
      <w:r>
        <w:rPr>
          <w:rFonts w:hint="default" w:ascii="Times New Roman" w:hAnsi="Times New Roman" w:eastAsia="方正楷体_GBK" w:cs="Times New Roman"/>
          <w:b w:val="0"/>
          <w:i w:val="0"/>
          <w:strike w:val="0"/>
          <w:color w:val="000000"/>
          <w:sz w:val="30"/>
          <w:szCs w:val="30"/>
          <w:lang w:eastAsia="zh-CN"/>
        </w:rPr>
        <w:t>）</w:t>
      </w:r>
    </w:p>
    <w:tbl>
      <w:tblPr>
        <w:tblStyle w:val="6"/>
        <w:tblpPr w:leftFromText="180" w:rightFromText="180" w:vertAnchor="text" w:horzAnchor="page" w:tblpX="817" w:tblpY="565"/>
        <w:tblOverlap w:val="never"/>
        <w:tblW w:w="1054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44"/>
        <w:gridCol w:w="2330"/>
        <w:gridCol w:w="2770"/>
        <w:gridCol w:w="1431"/>
        <w:gridCol w:w="316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7" w:hRule="atLeast"/>
        </w:trPr>
        <w:tc>
          <w:tcPr>
            <w:tcW w:w="844"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330" w:type="dxa"/>
            <w:noWrap w:val="0"/>
            <w:vAlign w:val="center"/>
          </w:tcPr>
          <w:p>
            <w:pPr>
              <w:wordWrap/>
              <w:autoSpaceDE w:val="0"/>
              <w:autoSpaceDN w:val="0"/>
              <w:spacing w:before="0" w:after="0" w:line="240" w:lineRule="auto"/>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277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431"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16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73" w:hRule="atLeast"/>
        </w:trPr>
        <w:tc>
          <w:tcPr>
            <w:tcW w:w="844"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233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骨科一次性使用高值耗材，收费数量超出实际使用数量。</w:t>
            </w:r>
          </w:p>
        </w:tc>
        <w:tc>
          <w:tcPr>
            <w:tcW w:w="277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髓内钉、螺钉、金属接骨板、关节钢板骨针、人工骨、异体骨、固定棒、椎间融合器、骨水泥、脊柱内镜、等离子刀头、钛板等一次性高值耗材使用的真实性。</w:t>
            </w:r>
          </w:p>
        </w:tc>
        <w:tc>
          <w:tcPr>
            <w:tcW w:w="1431"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虚构医药服务项目或重复收费</w:t>
            </w:r>
          </w:p>
        </w:tc>
        <w:tc>
          <w:tcPr>
            <w:tcW w:w="316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示例：某医院为骨折患者开展切开复位内固定手术，术中使用金属接骨板2块、接骨螺钉8个。但医院按金属接骨板3块、接骨螺钉10个进行收费，超出实际使用数量收费的部分属于虚构医药服务项目或重复收费。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489" w:hRule="atLeast"/>
        </w:trPr>
        <w:tc>
          <w:tcPr>
            <w:tcW w:w="844"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w:t>
            </w:r>
          </w:p>
        </w:tc>
        <w:tc>
          <w:tcPr>
            <w:tcW w:w="233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不同厂家、不同规格、不同价格的骨科一次性使用高值耗材之间相互串换收费。</w:t>
            </w:r>
          </w:p>
        </w:tc>
        <w:tc>
          <w:tcPr>
            <w:tcW w:w="2770"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髓内钉、螺钉、金属接骨板、关节钢板、骨针、人工骨、异体骨、固定棒、椎间融合器、骨水泥、脊柱内镜、等离子刀头、钛板等一次性高值耗材使用的真实性。</w:t>
            </w:r>
          </w:p>
        </w:tc>
        <w:tc>
          <w:tcPr>
            <w:tcW w:w="143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316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示例：某医院为骨折患者开展切开复位内固定手术，术中使用普通接骨螺钉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单价650元/个</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8个，但按照自攻型锁定钉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单价1200元/个</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8个进行收费，属于串换项目。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6" w:hRule="atLeast"/>
        </w:trPr>
        <w:tc>
          <w:tcPr>
            <w:tcW w:w="84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330" w:type="dxa"/>
            <w:noWrap w:val="0"/>
            <w:vAlign w:val="center"/>
          </w:tcPr>
          <w:p>
            <w:pPr>
              <w:wordWrap/>
              <w:autoSpaceDE w:val="0"/>
              <w:autoSpaceDN w:val="0"/>
              <w:spacing w:before="0" w:after="0" w:line="240" w:lineRule="auto"/>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277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431"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16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22" w:hRule="atLeast"/>
        </w:trPr>
        <w:tc>
          <w:tcPr>
            <w:tcW w:w="84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3</w:t>
            </w:r>
          </w:p>
        </w:tc>
        <w:tc>
          <w:tcPr>
            <w:tcW w:w="233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将成套使用的人工关节、内固定材料等拆分为单个组件收费，单个组件收取费用之和大于成套费用。</w:t>
            </w:r>
          </w:p>
        </w:tc>
        <w:tc>
          <w:tcPr>
            <w:tcW w:w="277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公立医疗机构执行医用耗材</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零差率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销售政策。</w:t>
            </w:r>
          </w:p>
        </w:tc>
        <w:tc>
          <w:tcPr>
            <w:tcW w:w="143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分解收费</w:t>
            </w:r>
          </w:p>
        </w:tc>
        <w:tc>
          <w:tcPr>
            <w:tcW w:w="316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示例：某医院将成套使用的</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人工髋关节</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1套价格2万元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，拆分头</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股骨柄</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金属头</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髋臼内杯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髋臼杯系统</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分别收费，四个部件费用合计2.5万元，超出成套价格属于分解收费。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47" w:hRule="atLeast"/>
        </w:trPr>
        <w:tc>
          <w:tcPr>
            <w:tcW w:w="844"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w:t>
            </w:r>
          </w:p>
        </w:tc>
        <w:tc>
          <w:tcPr>
            <w:tcW w:w="233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各类骨折切开复位内固定术间相互串换收费。</w:t>
            </w:r>
          </w:p>
        </w:tc>
        <w:tc>
          <w:tcPr>
            <w:tcW w:w="277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各类骨折切开复位内固定术收费的准确性。</w:t>
            </w:r>
          </w:p>
        </w:tc>
        <w:tc>
          <w:tcPr>
            <w:tcW w:w="143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316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示例：某医院为四肢骨折患者开展内外踝骨折切开复位内固定手术，应当收取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内外踝骨折切开复位内固定术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单价：2200元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，实际收取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三踝骨折切开复位内固定术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单价：3100元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47" w:hRule="atLeast"/>
        </w:trPr>
        <w:tc>
          <w:tcPr>
            <w:tcW w:w="84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5</w:t>
            </w:r>
          </w:p>
        </w:tc>
        <w:tc>
          <w:tcPr>
            <w:tcW w:w="233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将椎间盘消融治疗操作串换为心脏电生理诊疗项目分类下的射频消融术收费。</w:t>
            </w:r>
          </w:p>
        </w:tc>
        <w:tc>
          <w:tcPr>
            <w:tcW w:w="277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射频消融术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属于心脏电生理诊疗类，肿瘤消融、椎间盘消融等诊疗操作有其他对应的诊疗项目</w:t>
            </w:r>
          </w:p>
        </w:tc>
        <w:tc>
          <w:tcPr>
            <w:tcW w:w="143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串换项目</w:t>
            </w:r>
          </w:p>
        </w:tc>
        <w:tc>
          <w:tcPr>
            <w:tcW w:w="316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椎间盘微创消融术按射频、臭氧、离子等消融方式分别计价，单价介于2200元—3200元/每间盘之间。某医院为腰椎间盘突出症患者行腰椎间盘射频消融术，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腰椎间盘射频消融术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单价：2500元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，但医院实际收取心脏电生理诊疗项目下的</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射频消融术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单价:4200元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47" w:hRule="atLeast"/>
        </w:trPr>
        <w:tc>
          <w:tcPr>
            <w:tcW w:w="84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w:t>
            </w:r>
          </w:p>
        </w:tc>
        <w:tc>
          <w:tcPr>
            <w:tcW w:w="2330"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开展椎间融合器植入植骨融合术，重复收取脊髓和神经根粘连松解术、减压术费用。</w:t>
            </w:r>
          </w:p>
        </w:tc>
        <w:tc>
          <w:tcPr>
            <w:tcW w:w="277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《诊疗目录》中，脊柱椎间融合器植入植骨融合术项目内涵：含脊髓神经根松解、椎板切除减压，</w:t>
            </w:r>
          </w:p>
        </w:tc>
        <w:tc>
          <w:tcPr>
            <w:tcW w:w="143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16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示例：某医院为脊柱滑脱患者行脊柱椎间融合器植入植骨融合术，收取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脊柱椎间融合器植入植骨融合术’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脊髓和神经根粘连松解术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default" w:ascii="Times New Roman" w:hAnsi="Times New Roman" w:eastAsia="方正仿宋_GBK" w:cs="Times New Roman"/>
                <w:b w:val="0"/>
                <w:i w:val="0"/>
                <w:strike w:val="0"/>
                <w:color w:val="000000"/>
                <w:sz w:val="21"/>
                <w:szCs w:val="21"/>
                <w:lang w:eastAsia="zh-CN"/>
              </w:rPr>
              <w: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脊髓和神经根粘连松解术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50" w:hRule="atLeast"/>
        </w:trPr>
        <w:tc>
          <w:tcPr>
            <w:tcW w:w="84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7</w:t>
            </w:r>
          </w:p>
        </w:tc>
        <w:tc>
          <w:tcPr>
            <w:tcW w:w="233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开展椎间盘髓核摘除术并收费，重复收取椎间盘摘除术、椎间盘消融术费用。</w:t>
            </w:r>
          </w:p>
        </w:tc>
        <w:tc>
          <w:tcPr>
            <w:tcW w:w="277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开展椎间盘髓核摘除术，手术范围已包括摘除椎间盘。</w:t>
            </w:r>
          </w:p>
        </w:tc>
        <w:tc>
          <w:tcPr>
            <w:tcW w:w="143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16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示例：某医院为腰椎间盘突出症患者行后路腰椎间盘镜椎间盘髓核摘除术，收取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后路腰椎间盘镜椎间盘髓核摘除术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MED</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经皮激光腰椎间盘摘除术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椎间盘微创消融术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经皮激光腰椎间盘摘除术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椎间盘微创消融术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为重复收费。</w:t>
            </w:r>
          </w:p>
        </w:tc>
      </w:tr>
    </w:tbl>
    <w:tbl>
      <w:tblPr>
        <w:tblStyle w:val="6"/>
        <w:tblpPr w:leftFromText="180" w:rightFromText="180" w:vertAnchor="text" w:horzAnchor="page" w:tblpX="836" w:tblpY="129"/>
        <w:tblOverlap w:val="never"/>
        <w:tblW w:w="1053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2"/>
        <w:gridCol w:w="2289"/>
        <w:gridCol w:w="3240"/>
        <w:gridCol w:w="921"/>
        <w:gridCol w:w="322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9" w:hRule="atLeast"/>
        </w:trPr>
        <w:tc>
          <w:tcPr>
            <w:tcW w:w="862"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289" w:type="dxa"/>
            <w:noWrap w:val="0"/>
            <w:vAlign w:val="center"/>
          </w:tcPr>
          <w:p>
            <w:pPr>
              <w:wordWrap/>
              <w:autoSpaceDE w:val="0"/>
              <w:autoSpaceDN w:val="0"/>
              <w:spacing w:before="0" w:after="0" w:line="240" w:lineRule="auto"/>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324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921"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222"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849" w:hRule="atLeast"/>
        </w:trPr>
        <w:tc>
          <w:tcPr>
            <w:tcW w:w="862"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8</w:t>
            </w:r>
          </w:p>
        </w:tc>
        <w:tc>
          <w:tcPr>
            <w:tcW w:w="2289"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开展关节镜下手术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如半月板修整、韧带重建、骨折复位、滑膜切除等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，重复收取关节镜检查费用。</w:t>
            </w:r>
          </w:p>
        </w:tc>
        <w:tc>
          <w:tcPr>
            <w:tcW w:w="324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相应诊疗规范。</w:t>
            </w:r>
          </w:p>
        </w:tc>
        <w:tc>
          <w:tcPr>
            <w:tcW w:w="921"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22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示例：某医院为严重膝关节退行性病变患者行关节镜下关节滑膜切除术每例收取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关节滑膜切除术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20" w:hRule="atLeast"/>
        </w:trPr>
        <w:tc>
          <w:tcPr>
            <w:tcW w:w="86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9</w:t>
            </w:r>
          </w:p>
        </w:tc>
        <w:tc>
          <w:tcPr>
            <w:tcW w:w="2289"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未按照手术使用设备加收计价单位收费。</w:t>
            </w:r>
          </w:p>
        </w:tc>
        <w:tc>
          <w:tcPr>
            <w:tcW w:w="324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《诊疗目录》中，电/气钻、电/气锯、高频电刀等手术使用设备加收的计价单位为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c>
          <w:tcPr>
            <w:tcW w:w="92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22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使用动力钻加收单价为350元，计价单位为次。某医院对胫腓骨骨折患者行切开复位内固定手术，将动力钻使用按胫骨、腓骨两部位分别计费，一次手术收费共收取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使用动力钻加收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52" w:hRule="atLeast"/>
        </w:trPr>
        <w:tc>
          <w:tcPr>
            <w:tcW w:w="862"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10</w:t>
            </w:r>
          </w:p>
        </w:tc>
        <w:tc>
          <w:tcPr>
            <w:tcW w:w="2289"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开展关节腔灌注治疗，重复收取关节穿刺费用。</w:t>
            </w:r>
          </w:p>
        </w:tc>
        <w:tc>
          <w:tcPr>
            <w:tcW w:w="3240"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b w:val="0"/>
                <w:i w:val="0"/>
                <w:strike w:val="0"/>
                <w:color w:val="000000"/>
                <w:sz w:val="21"/>
                <w:szCs w:val="21"/>
              </w:rPr>
              <w:t>《诊疗目录》中，关节腔灌注治疗项目内涵：含穿刺</w:t>
            </w:r>
            <w:r>
              <w:rPr>
                <w:rFonts w:hint="default" w:ascii="Times New Roman" w:hAnsi="Times New Roman" w:eastAsia="方正仿宋_GBK" w:cs="Times New Roman"/>
                <w:b w:val="0"/>
                <w:i w:val="0"/>
                <w:strike w:val="0"/>
                <w:color w:val="000000"/>
                <w:sz w:val="21"/>
                <w:szCs w:val="21"/>
                <w:lang w:eastAsia="zh-CN"/>
              </w:rPr>
              <w:t>。</w:t>
            </w:r>
          </w:p>
        </w:tc>
        <w:tc>
          <w:tcPr>
            <w:tcW w:w="921"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222"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示例：某省《公立医疗机构基本医疗服务项目目录》规定，关节腔灌注治疗项目内涵为：含关节穿刺。某医院对膝关节积液患者行关节腔灌注治疗，收取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关节腔灌注治疗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关节穿刺术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关节穿刺术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03" w:hRule="atLeast"/>
        </w:trPr>
        <w:tc>
          <w:tcPr>
            <w:tcW w:w="862"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11</w:t>
            </w:r>
          </w:p>
        </w:tc>
        <w:tc>
          <w:tcPr>
            <w:tcW w:w="2289"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不同的中医骨科手法整复术之间串换收费。</w:t>
            </w:r>
          </w:p>
        </w:tc>
        <w:tc>
          <w:tcPr>
            <w:tcW w:w="324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《诊疗目录》中，中医骨折手法整复术按照部位、操作方式不同，有不同的诊疗项目。</w:t>
            </w:r>
          </w:p>
        </w:tc>
        <w:tc>
          <w:tcPr>
            <w:tcW w:w="921"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3222"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示例：某医院中医师对脊柱骨折患者，通过牵引过伸按压法进行复位，应收取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骨折手法整复术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单价210元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费用，但实际收取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麻醉下腰椎间盘突出症大手法治疗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单价700元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22" w:hRule="atLeast"/>
        </w:trPr>
        <w:tc>
          <w:tcPr>
            <w:tcW w:w="862"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12</w:t>
            </w:r>
          </w:p>
        </w:tc>
        <w:tc>
          <w:tcPr>
            <w:tcW w:w="2289"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开展C型臂术中透视等项目，未按照计价标准进行收费。</w:t>
            </w:r>
          </w:p>
        </w:tc>
        <w:tc>
          <w:tcPr>
            <w:tcW w:w="324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《诊疗目录》中，C型臂术中透视计价单位为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半小时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，有的省份规定每例手术C型臂术中透视超标准收费计费不得超过一定次数或金额。</w:t>
            </w:r>
          </w:p>
        </w:tc>
        <w:tc>
          <w:tcPr>
            <w:tcW w:w="921" w:type="dxa"/>
            <w:noWrap w:val="0"/>
            <w:vAlign w:val="center"/>
          </w:tcPr>
          <w:p>
            <w:pPr>
              <w:wordWrap/>
              <w:spacing w:before="0" w:after="0" w:line="240" w:lineRule="exact"/>
              <w:ind w:left="0" w:right="0"/>
              <w:textAlignment w:val="auto"/>
              <w:rPr>
                <w:rFonts w:hint="default" w:ascii="Times New Roman" w:hAnsi="Times New Roman" w:eastAsia="方正仿宋_GBK" w:cs="Times New Roman"/>
                <w:sz w:val="21"/>
                <w:szCs w:val="21"/>
              </w:rPr>
            </w:pPr>
          </w:p>
        </w:tc>
        <w:tc>
          <w:tcPr>
            <w:tcW w:w="3222"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示例：某省《公立医疗机构基本医疗服务项目目录》规定，C型臂术中透视单价为50元/半小时，每例手术最多不超过250元。某医院为患者开展骨折切开复位内固定手术，术中C型臂透视7次，医院收取7次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C型臂术中透视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41" w:hRule="atLeast"/>
        </w:trPr>
        <w:tc>
          <w:tcPr>
            <w:tcW w:w="862"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289" w:type="dxa"/>
            <w:noWrap w:val="0"/>
            <w:vAlign w:val="center"/>
          </w:tcPr>
          <w:p>
            <w:pPr>
              <w:wordWrap/>
              <w:autoSpaceDE w:val="0"/>
              <w:autoSpaceDN w:val="0"/>
              <w:spacing w:before="0" w:after="0" w:line="240" w:lineRule="auto"/>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24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921"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222"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66" w:hRule="atLeast"/>
        </w:trPr>
        <w:tc>
          <w:tcPr>
            <w:tcW w:w="86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13</w:t>
            </w:r>
          </w:p>
        </w:tc>
        <w:tc>
          <w:tcPr>
            <w:tcW w:w="2289"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开展骨密度测定等项目，未按照计价标准进行收费。</w:t>
            </w:r>
          </w:p>
        </w:tc>
        <w:tc>
          <w:tcPr>
            <w:tcW w:w="3240"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《诊疗目录》中，骨密度测定计价单位为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c>
          <w:tcPr>
            <w:tcW w:w="92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22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示例：某省《公立医疗机构基本医疗服务项目目录》规定，骨密度测定计价单位为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。某医院为患者开展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骨密度测定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，分别测定腰椎、髋部、前臂3个部位，应按照1次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骨密度测定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收费，但医院实际收取3次费用，属于超标准收费。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29" w:hRule="atLeast"/>
        </w:trPr>
        <w:tc>
          <w:tcPr>
            <w:tcW w:w="86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14</w:t>
            </w:r>
          </w:p>
        </w:tc>
        <w:tc>
          <w:tcPr>
            <w:tcW w:w="2289"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将普通手术切口的缝合步骤，按照皮瓣成形术进行收费。</w:t>
            </w:r>
          </w:p>
        </w:tc>
        <w:tc>
          <w:tcPr>
            <w:tcW w:w="3240"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相应诊疗规范。</w:t>
            </w:r>
          </w:p>
        </w:tc>
        <w:tc>
          <w:tcPr>
            <w:tcW w:w="92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22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示例：某医院为患者行肘关节游离体切开取出术，手术步骤为切开关节、取出游离体、探查前后关节腔、冲洗、缝合包扎。医院收取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肘关节游离体切开取出术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任意皮瓣成形术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任意皮瓣成形术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583" w:hRule="atLeast"/>
        </w:trPr>
        <w:tc>
          <w:tcPr>
            <w:tcW w:w="86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15</w:t>
            </w:r>
          </w:p>
        </w:tc>
        <w:tc>
          <w:tcPr>
            <w:tcW w:w="2289"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开展腔镜等微创类手术时，超标准收取特大换药或大换药费用。</w:t>
            </w:r>
          </w:p>
        </w:tc>
        <w:tc>
          <w:tcPr>
            <w:tcW w:w="324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《诊疗目录》中，依据实际换药面积大小或使用敷料多少，分特大、大、中、小换药。</w:t>
            </w:r>
          </w:p>
        </w:tc>
        <w:tc>
          <w:tcPr>
            <w:tcW w:w="92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22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示例：某省《公立医疗机构基本医疗服务项目目录》规定，特大换药指创面面积在50cm²以上或创面长度在25cm以上。某医院开展射频消融腰椎间盘摘除术后换药，将微创手术创面按照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特大换药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收取费用，属于超标准收费。</w:t>
            </w:r>
          </w:p>
        </w:tc>
      </w:tr>
    </w:tbl>
    <w:p>
      <w:pPr>
        <w:keepNext w:val="0"/>
        <w:keepLines w:val="0"/>
        <w:pageBreakBefore w:val="0"/>
        <w:widowControl w:val="0"/>
        <w:kinsoku/>
        <w:wordWrap/>
        <w:overflowPunct/>
        <w:topLinePunct w:val="0"/>
        <w:autoSpaceDE w:val="0"/>
        <w:autoSpaceDN w:val="0"/>
        <w:bidi w:val="0"/>
        <w:adjustRightInd/>
        <w:snapToGrid/>
        <w:spacing w:after="0" w:line="580" w:lineRule="exact"/>
        <w:ind w:right="0" w:firstLine="640" w:firstLineChars="200"/>
        <w:jc w:val="left"/>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b w:val="0"/>
          <w:i w:val="0"/>
          <w:strike w:val="0"/>
          <w:color w:val="000000"/>
          <w:sz w:val="32"/>
          <w:szCs w:val="32"/>
          <w:lang w:eastAsia="zh-CN"/>
        </w:rPr>
        <w:t>（</w:t>
      </w:r>
      <w:r>
        <w:rPr>
          <w:rFonts w:hint="default" w:ascii="Times New Roman" w:hAnsi="Times New Roman" w:eastAsia="方正楷体_GBK" w:cs="Times New Roman"/>
          <w:b w:val="0"/>
          <w:i w:val="0"/>
          <w:strike w:val="0"/>
          <w:color w:val="000000"/>
          <w:sz w:val="32"/>
          <w:szCs w:val="32"/>
        </w:rPr>
        <w:t>三</w:t>
      </w:r>
      <w:r>
        <w:rPr>
          <w:rFonts w:hint="default" w:ascii="Times New Roman" w:hAnsi="Times New Roman" w:eastAsia="方正楷体_GBK" w:cs="Times New Roman"/>
          <w:b w:val="0"/>
          <w:i w:val="0"/>
          <w:strike w:val="0"/>
          <w:color w:val="000000"/>
          <w:sz w:val="32"/>
          <w:szCs w:val="32"/>
          <w:lang w:eastAsia="zh-CN"/>
        </w:rPr>
        <w:t>）</w:t>
      </w:r>
      <w:r>
        <w:rPr>
          <w:rFonts w:hint="default" w:ascii="Times New Roman" w:hAnsi="Times New Roman" w:eastAsia="方正楷体_GBK" w:cs="Times New Roman"/>
          <w:b w:val="0"/>
          <w:i w:val="0"/>
          <w:strike w:val="0"/>
          <w:color w:val="000000"/>
          <w:sz w:val="32"/>
          <w:szCs w:val="32"/>
        </w:rPr>
        <w:t>血液净化类</w:t>
      </w:r>
      <w:r>
        <w:rPr>
          <w:rFonts w:hint="default" w:ascii="Times New Roman" w:hAnsi="Times New Roman" w:eastAsia="方正楷体_GBK" w:cs="Times New Roman"/>
          <w:b w:val="0"/>
          <w:i w:val="0"/>
          <w:strike w:val="0"/>
          <w:color w:val="000000"/>
          <w:sz w:val="32"/>
          <w:szCs w:val="32"/>
          <w:lang w:eastAsia="zh-CN"/>
        </w:rPr>
        <w:t>（</w:t>
      </w:r>
      <w:r>
        <w:rPr>
          <w:rFonts w:hint="default" w:ascii="Times New Roman" w:hAnsi="Times New Roman" w:eastAsia="方正楷体_GBK" w:cs="Times New Roman"/>
          <w:b w:val="0"/>
          <w:i w:val="0"/>
          <w:strike w:val="0"/>
          <w:color w:val="000000"/>
          <w:sz w:val="32"/>
          <w:szCs w:val="32"/>
        </w:rPr>
        <w:t>6条</w:t>
      </w:r>
      <w:r>
        <w:rPr>
          <w:rFonts w:hint="default" w:ascii="Times New Roman" w:hAnsi="Times New Roman" w:eastAsia="方正楷体_GBK" w:cs="Times New Roman"/>
          <w:b w:val="0"/>
          <w:i w:val="0"/>
          <w:strike w:val="0"/>
          <w:color w:val="000000"/>
          <w:sz w:val="32"/>
          <w:szCs w:val="32"/>
          <w:lang w:eastAsia="zh-CN"/>
        </w:rPr>
        <w:t>）</w:t>
      </w:r>
    </w:p>
    <w:tbl>
      <w:tblPr>
        <w:tblStyle w:val="6"/>
        <w:tblpPr w:leftFromText="180" w:rightFromText="180" w:vertAnchor="text" w:horzAnchor="page" w:tblpX="873" w:tblpY="148"/>
        <w:tblOverlap w:val="never"/>
        <w:tblW w:w="10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3"/>
        <w:gridCol w:w="2250"/>
        <w:gridCol w:w="3262"/>
        <w:gridCol w:w="1181"/>
        <w:gridCol w:w="29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86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250"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3262"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181"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296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723" w:hRule="atLeast"/>
        </w:trPr>
        <w:tc>
          <w:tcPr>
            <w:tcW w:w="86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2250"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开展血液净化类诊疗项目，将不能单独收费的一次性耗材进行额外收费。</w:t>
            </w:r>
          </w:p>
        </w:tc>
        <w:tc>
          <w:tcPr>
            <w:tcW w:w="3262"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《诊疗目录》中，血液透析、血液灌流、血液滤过等项目，一次性耗材不属于除外内容。</w:t>
            </w:r>
          </w:p>
        </w:tc>
        <w:tc>
          <w:tcPr>
            <w:tcW w:w="1181"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296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示例：某省《公立医疗机构基本医疗服务项目目录》中，血液滤过无可另行收费的除外内容。某医院对慢性肾功能衰竭患者开展血液滤过治疗，将不能单独收费的一次性管路、废液袋进行收费，属于重复收费。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78" w:hRule="atLeast"/>
        </w:trPr>
        <w:tc>
          <w:tcPr>
            <w:tcW w:w="86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250"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26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181"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296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419" w:hRule="atLeast"/>
        </w:trPr>
        <w:tc>
          <w:tcPr>
            <w:tcW w:w="86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w:t>
            </w:r>
          </w:p>
        </w:tc>
        <w:tc>
          <w:tcPr>
            <w:tcW w:w="2250"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开展连续性血液净化/连续性肾脏替代治疗，同时重复收取血液透析费用。</w:t>
            </w:r>
          </w:p>
        </w:tc>
        <w:tc>
          <w:tcPr>
            <w:tcW w:w="3262" w:type="dxa"/>
            <w:noWrap w:val="0"/>
            <w:vAlign w:val="center"/>
          </w:tcPr>
          <w:p>
            <w:pPr>
              <w:wordWrap/>
              <w:autoSpaceDE w:val="0"/>
              <w:autoSpaceDN w:val="0"/>
              <w:spacing w:before="2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连续性血液净化项目内涵：含透析液。连续性肾脏替代治疗项目内涵：含连续性血液滤过、连续性血液透析、连续性血液透析滤过、缓慢单纯超滤、高容量血液滤过、缓慢低流量每日透析等。按照相应诊疗规范，连续性血液净化/连续性肾脏替代治疗，包括血液透析治疗内容。</w:t>
            </w:r>
          </w:p>
        </w:tc>
        <w:tc>
          <w:tcPr>
            <w:tcW w:w="1181"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296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示例：某省《公立医疗机构基本医疗服务项目目录》中，连续性血液净化单价120元/小时，血液透析单价400元/次。某医院对慢性肾功能衰竭患者进行连续性血液净化，持续24小时，收取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连续性肾脏替代治疗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费用共2880元，同时收取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费用400元，其中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60" w:hRule="atLeast"/>
        </w:trPr>
        <w:tc>
          <w:tcPr>
            <w:tcW w:w="86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w:t>
            </w:r>
          </w:p>
        </w:tc>
        <w:tc>
          <w:tcPr>
            <w:tcW w:w="2250"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按小时收费的血液净化类诊疗项目</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如自动腹膜透析、连续性血液净化等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，收费数量超过实际提供的诊疗服务数量。</w:t>
            </w:r>
          </w:p>
        </w:tc>
        <w:tc>
          <w:tcPr>
            <w:tcW w:w="3262"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血液净化类诊疗项目收费的准确性。</w:t>
            </w:r>
          </w:p>
        </w:tc>
        <w:tc>
          <w:tcPr>
            <w:tcW w:w="1181"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2963"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示例：某慢性肾功能衰竭患者，住院3天，医院开展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连续性血液净化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，上下机时间间隔为24小时，但实际收费数量为26小时，大于实际透析时长，属于重复收费。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381" w:hRule="atLeast"/>
        </w:trPr>
        <w:tc>
          <w:tcPr>
            <w:tcW w:w="86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4</w:t>
            </w:r>
          </w:p>
        </w:tc>
        <w:tc>
          <w:tcPr>
            <w:tcW w:w="225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按次收费的血液净化类诊疗项目，按治疗时长进行收费。</w:t>
            </w:r>
          </w:p>
        </w:tc>
        <w:tc>
          <w:tcPr>
            <w:tcW w:w="326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《诊疗目录》中，血液透析、血液灌流、血液滤过、血液透析滤过、血透监测等项目计价单位为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c>
          <w:tcPr>
            <w:tcW w:w="118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963" w:type="dxa"/>
            <w:noWrap w:val="0"/>
            <w:vAlign w:val="center"/>
          </w:tcPr>
          <w:p>
            <w:pPr>
              <w:wordWrap/>
              <w:autoSpaceDE w:val="0"/>
              <w:autoSpaceDN w:val="0"/>
              <w:spacing w:before="0" w:after="0" w:line="1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示例：某省《公立医疗机构基本医疗服务项目目录》中，血液透析滤过单价600元，计价单位为次。某医院对慢性肾功能衰竭患者进行血液透析滤过治疗，治疗时长4小时，应收取1次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血液透析滤过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费用600元。但医院以小时为单位收取4次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血液透析滤过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费用共2400元，属于超标准收费。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60" w:hRule="atLeast"/>
        </w:trPr>
        <w:tc>
          <w:tcPr>
            <w:tcW w:w="86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5</w:t>
            </w:r>
          </w:p>
        </w:tc>
        <w:tc>
          <w:tcPr>
            <w:tcW w:w="225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将血液透析滤过项目分解为多个项目分别收费。</w:t>
            </w:r>
          </w:p>
        </w:tc>
        <w:tc>
          <w:tcPr>
            <w:tcW w:w="326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《诊疗目录》中，血液透析滤过项目内涵是使用血液透析滤过机和相应管路，将病人血液引出体外并利用血液滤过器进行血液透析加滤过治疗。</w:t>
            </w:r>
          </w:p>
        </w:tc>
        <w:tc>
          <w:tcPr>
            <w:tcW w:w="118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分解收费</w:t>
            </w:r>
          </w:p>
        </w:tc>
        <w:tc>
          <w:tcPr>
            <w:tcW w:w="2963"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血液透析滤过单价600元/次，血液透析单价400元/次，血液滤过单价300元/次。某医院使用血液透析滤过机，对慢性肾功能衰竭患者进行血液透析加滤过治疗，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血液透析滤过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费用600元，但实际收取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费用400元和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血液滤过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费用300元，属于分解收费。</w:t>
            </w:r>
          </w:p>
        </w:tc>
      </w:tr>
    </w:tbl>
    <w:tbl>
      <w:tblPr>
        <w:tblStyle w:val="6"/>
        <w:tblpPr w:leftFromText="180" w:rightFromText="180" w:vertAnchor="text" w:horzAnchor="page" w:tblpX="873" w:tblpY="115"/>
        <w:tblOverlap w:val="never"/>
        <w:tblW w:w="10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3"/>
        <w:gridCol w:w="2250"/>
        <w:gridCol w:w="3262"/>
        <w:gridCol w:w="1197"/>
        <w:gridCol w:w="29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02" w:hRule="atLeast"/>
        </w:trPr>
        <w:tc>
          <w:tcPr>
            <w:tcW w:w="86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250"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262"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197"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2947"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00" w:hRule="atLeast"/>
        </w:trPr>
        <w:tc>
          <w:tcPr>
            <w:tcW w:w="86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6</w:t>
            </w:r>
          </w:p>
        </w:tc>
        <w:tc>
          <w:tcPr>
            <w:tcW w:w="225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开展血液净化类诊疗项目时，将费用较低的项目串换成费用较高的项目进行收费。</w:t>
            </w:r>
          </w:p>
        </w:tc>
        <w:tc>
          <w:tcPr>
            <w:tcW w:w="3262"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相应诊疗规范。</w:t>
            </w:r>
          </w:p>
        </w:tc>
        <w:tc>
          <w:tcPr>
            <w:tcW w:w="1197" w:type="dxa"/>
            <w:noWrap w:val="0"/>
            <w:vAlign w:val="center"/>
          </w:tcPr>
          <w:p>
            <w:pPr>
              <w:wordWrap/>
              <w:autoSpaceDE w:val="0"/>
              <w:autoSpaceDN w:val="0"/>
              <w:spacing w:before="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2947"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示例：某省《公立医疗机构基本医疗服务项目目录》中，血液透析滤过单价600元/次，血液滤过单价300元/次。某医院使用血液透析滤过机，对患者进行血液滤过治疗，应收取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血液滤过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费用300元，但实际收取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血液透析滤过"费用600元，属于串换项目。</w:t>
            </w:r>
          </w:p>
        </w:tc>
      </w:tr>
    </w:tbl>
    <w:p>
      <w:pPr>
        <w:keepNext w:val="0"/>
        <w:keepLines w:val="0"/>
        <w:pageBreakBefore w:val="0"/>
        <w:widowControl w:val="0"/>
        <w:kinsoku/>
        <w:wordWrap/>
        <w:overflowPunct/>
        <w:topLinePunct w:val="0"/>
        <w:autoSpaceDE w:val="0"/>
        <w:autoSpaceDN w:val="0"/>
        <w:bidi w:val="0"/>
        <w:adjustRightInd/>
        <w:snapToGrid/>
        <w:spacing w:after="0" w:line="580" w:lineRule="exact"/>
        <w:ind w:right="0" w:firstLine="600" w:firstLineChars="200"/>
        <w:jc w:val="both"/>
        <w:textAlignment w:val="auto"/>
        <w:rPr>
          <w:rFonts w:hint="default" w:ascii="Times New Roman" w:hAnsi="Times New Roman" w:eastAsia="方正楷体_GBK" w:cs="Times New Roman"/>
          <w:sz w:val="30"/>
          <w:szCs w:val="30"/>
          <w:lang w:eastAsia="zh-CN"/>
        </w:rPr>
      </w:pP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四</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康复类</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16条</w:t>
      </w:r>
      <w:r>
        <w:rPr>
          <w:rFonts w:hint="default" w:ascii="Times New Roman" w:hAnsi="Times New Roman" w:eastAsia="方正楷体_GBK" w:cs="Times New Roman"/>
          <w:b w:val="0"/>
          <w:i w:val="0"/>
          <w:strike w:val="0"/>
          <w:color w:val="000000"/>
          <w:sz w:val="30"/>
          <w:szCs w:val="30"/>
          <w:lang w:eastAsia="zh-CN"/>
        </w:rPr>
        <w:t>）</w:t>
      </w:r>
    </w:p>
    <w:tbl>
      <w:tblPr>
        <w:tblStyle w:val="6"/>
        <w:tblpPr w:leftFromText="180" w:rightFromText="180" w:vertAnchor="text" w:horzAnchor="page" w:tblpX="854" w:tblpY="134"/>
        <w:tblOverlap w:val="never"/>
        <w:tblW w:w="105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50"/>
        <w:gridCol w:w="2082"/>
        <w:gridCol w:w="3056"/>
        <w:gridCol w:w="1556"/>
        <w:gridCol w:w="31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20" w:hRule="atLeast"/>
        </w:trPr>
        <w:tc>
          <w:tcPr>
            <w:tcW w:w="75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082"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305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55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114"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80" w:hRule="atLeast"/>
        </w:trPr>
        <w:tc>
          <w:tcPr>
            <w:tcW w:w="75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2082"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开展言语能力筛查，将不符合医保限定支付条件的费用纳入医保支付。</w:t>
            </w:r>
          </w:p>
        </w:tc>
        <w:tc>
          <w:tcPr>
            <w:tcW w:w="305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《诊疗目录》中，言语能力筛查项目支付条件：限支付疑似言语功能障碍患者，不包括言语功能不能恢复的患者，一个疾病过程支付不超过两次。</w:t>
            </w:r>
          </w:p>
        </w:tc>
        <w:tc>
          <w:tcPr>
            <w:tcW w:w="155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示例：某医院为失去言语理解、表述能力一年的脑梗死住院病人开展言语能力筛查3次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超过2次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，医保支付3次。该案例中，患者所患疾病和支付次数均超出医保限定支付条件。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62" w:hRule="atLeast"/>
        </w:trPr>
        <w:tc>
          <w:tcPr>
            <w:tcW w:w="75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w:t>
            </w:r>
          </w:p>
        </w:tc>
        <w:tc>
          <w:tcPr>
            <w:tcW w:w="2082"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开展吞咽功能障碍检查将不符合医保限定支付数量的费用纳入医保支付。</w:t>
            </w:r>
          </w:p>
        </w:tc>
        <w:tc>
          <w:tcPr>
            <w:tcW w:w="305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《诊疗目录》中，吞咽功能障碍检查项目支付条件：一个疾病过程支付不超过三次。</w:t>
            </w:r>
          </w:p>
        </w:tc>
        <w:tc>
          <w:tcPr>
            <w:tcW w:w="155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示例：某医院对脑梗患者在一次住院期间开展吞咽功能障碍检查6次，医保支付6次，其中3次超出医保限定支付条件。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66" w:hRule="atLeast"/>
        </w:trPr>
        <w:tc>
          <w:tcPr>
            <w:tcW w:w="75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w:t>
            </w:r>
          </w:p>
        </w:tc>
        <w:tc>
          <w:tcPr>
            <w:tcW w:w="2082"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开展手功能评定项目，医保支付存在下述问题1.不符合医保限定支付适应症；2.不符合医保限定支付的总时间或评定间隔时间。</w:t>
            </w:r>
          </w:p>
        </w:tc>
        <w:tc>
          <w:tcPr>
            <w:tcW w:w="3056"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《诊疗目录》中，手功能评定项目支付条件：明确手功能障碍，且支付总时间不超过90天，评定间隔时间不短于14天。</w:t>
            </w:r>
          </w:p>
        </w:tc>
        <w:tc>
          <w:tcPr>
            <w:tcW w:w="1556"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示例：某医院为手部功能正常的患者进行手功能评定，住院21天每7天评定1次，住院周期内共评定3次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评定间隔时间短于14天</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，费用均由医保支付。该案例中，患者无医保限定支付适应症，且不满足医保限定支付的评定间隔。</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35" w:hRule="atLeast"/>
        </w:trPr>
        <w:tc>
          <w:tcPr>
            <w:tcW w:w="75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w:t>
            </w:r>
          </w:p>
        </w:tc>
        <w:tc>
          <w:tcPr>
            <w:tcW w:w="2082" w:type="dxa"/>
            <w:noWrap w:val="0"/>
            <w:vAlign w:val="center"/>
          </w:tcPr>
          <w:p>
            <w:pPr>
              <w:wordWrap/>
              <w:autoSpaceDE w:val="0"/>
              <w:autoSpaceDN w:val="0"/>
              <w:spacing w:before="20" w:after="0" w:line="1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开展脑瘫肢体综合训练医保支付存在下述问题：1.不符合医保限定支付对象；2.不符合医保支付年龄限制；3.同时开展运动疗法时，超出医保支付限制。</w:t>
            </w:r>
          </w:p>
        </w:tc>
        <w:tc>
          <w:tcPr>
            <w:tcW w:w="3056"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目录》中，脑瘫肢体综合训练限支付儿童。3岁以前，每年支付不超过6个月；3岁以后，每年支付不超过3个月。支付总年限不超过5年；每日支付不超过2次。与运动疗法同时使用时只支付其中1项限定支付范围。</w:t>
            </w:r>
          </w:p>
        </w:tc>
        <w:tc>
          <w:tcPr>
            <w:tcW w:w="1556"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示例：某医院为成人患者开展脑瘫肢体综合训练10天，费用由医保支付。该案例中，成人患者非医保限定的支付对象。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53" w:hRule="atLeast"/>
        </w:trPr>
        <w:tc>
          <w:tcPr>
            <w:tcW w:w="7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082"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05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55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311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77" w:hRule="atLeast"/>
        </w:trPr>
        <w:tc>
          <w:tcPr>
            <w:tcW w:w="7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5</w:t>
            </w:r>
          </w:p>
        </w:tc>
        <w:tc>
          <w:tcPr>
            <w:tcW w:w="2082"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开展截瘫肢体综合训练，医保支付存在下述问题：1.不符合医保限定支付天数及频次；2.同时使用运动疗法时，超出医保支付限制。</w:t>
            </w:r>
          </w:p>
        </w:tc>
        <w:tc>
          <w:tcPr>
            <w:tcW w:w="30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《诊疗目录》中，截瘫肢体综合训练一个疾病过程支付不超过3个月；每日支付不超过2次。与运动疗法同时使用时只支付其中1项。</w:t>
            </w:r>
          </w:p>
        </w:tc>
        <w:tc>
          <w:tcPr>
            <w:tcW w:w="155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示例：某医院为患者每天进行截瘫肢体综合训练和运动疗法，共收费100天，截瘫肢体综合训练和运动疗法分别每日支付1次，超出医保限定支付的天数，且不符合同时使用运动疗法时只支付1项的限制。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77" w:hRule="atLeast"/>
        </w:trPr>
        <w:tc>
          <w:tcPr>
            <w:tcW w:w="7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w:t>
            </w:r>
          </w:p>
        </w:tc>
        <w:tc>
          <w:tcPr>
            <w:tcW w:w="208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开展截肢肢体综合训练将不符合医保限定支付天数的费用纳入医保支付。</w:t>
            </w:r>
          </w:p>
        </w:tc>
        <w:tc>
          <w:tcPr>
            <w:tcW w:w="30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《人力资源社会保障部国家卫生计生委民政部财政部中国残联关于新增部分医疗康复项目纳入基本医疗保障支付范围的通知》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人社部发</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2016</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23号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规定，上肢训练支付不超过30天，下肢训练支付不超过20天，髋关节或肩关节离断、高位大腿截肢训练支付不超过90天。</w:t>
            </w:r>
          </w:p>
        </w:tc>
        <w:tc>
          <w:tcPr>
            <w:tcW w:w="155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示例：某医院开展截肢肢体综合训练时，上肢训练收费40天，下肢训练收费40天，费用均由医保支付超出上肢、下肢医保支付分别不超过30天、20天的限制。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677" w:hRule="atLeast"/>
        </w:trPr>
        <w:tc>
          <w:tcPr>
            <w:tcW w:w="7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7</w:t>
            </w:r>
          </w:p>
        </w:tc>
        <w:tc>
          <w:tcPr>
            <w:tcW w:w="2082"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开展运动疗法，医保支付存在下述问题：1.不符合医保限定支付适应症；2.不符合医保限定支付天数及频次；3.与偏瘫、脑瘫或截瘫肢体综合训练同时使用时，不符合医保支付限制。</w:t>
            </w:r>
          </w:p>
        </w:tc>
        <w:tc>
          <w:tcPr>
            <w:tcW w:w="30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《诊疗目录》中，运动疗法限支付器质性病变导致的肌力、关节活动度和平衡功能障碍的患者，个疾病过程支付不超过3个月；每日支付不超过2次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包括项目合并计算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。与偏瘫、脑瘫或截瘫肢体综合训练同时使用时只支付其中1项。</w:t>
            </w:r>
          </w:p>
        </w:tc>
        <w:tc>
          <w:tcPr>
            <w:tcW w:w="15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脑梗死偏瘫肢体活动障碍住院病人，每天进行运动疗法和偏瘫肢体综合训练，2个项目费用每天均由医保支付。该案例中，患者所患疾病不符合医保限定支付适应症，且不符合与偏瘫、脑瘫或截瘫肢体综合训练同时使用时只支付其中1项的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71" w:hRule="atLeast"/>
        </w:trPr>
        <w:tc>
          <w:tcPr>
            <w:tcW w:w="7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8</w:t>
            </w:r>
          </w:p>
        </w:tc>
        <w:tc>
          <w:tcPr>
            <w:tcW w:w="2082"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开展大关节松动训练，医保支付存在下述问题：1.不符合医保限定支付适应症；2.不符合医保限定支付天数。</w:t>
            </w:r>
          </w:p>
        </w:tc>
        <w:tc>
          <w:tcPr>
            <w:tcW w:w="30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《诊疗目录》中，大关节松动训练支付条件为有明确的关节活动障碍，且一个疾病过程支付不超过90天。</w:t>
            </w:r>
          </w:p>
        </w:tc>
        <w:tc>
          <w:tcPr>
            <w:tcW w:w="15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示例：某医院对关节活动度正常的髋关节炎患者，进行大关节松动训练，费用由医保支付，不符合医保限定支付适应症。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71" w:hRule="atLeast"/>
        </w:trPr>
        <w:tc>
          <w:tcPr>
            <w:tcW w:w="7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9</w:t>
            </w:r>
          </w:p>
        </w:tc>
        <w:tc>
          <w:tcPr>
            <w:tcW w:w="2082"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开展电动起立床训练，医保支付存在下述问题1.不符合医保限定支付场景；2.不符合医保限定支付康复目标；3.不符合医保限定支付天数。</w:t>
            </w:r>
          </w:p>
        </w:tc>
        <w:tc>
          <w:tcPr>
            <w:tcW w:w="30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《诊疗目录》中，电动起立床训练限支付住院期间，以减少卧床并发症为治疗目的或者以直立行动为康复目标，支付不超过30天。</w:t>
            </w:r>
          </w:p>
        </w:tc>
        <w:tc>
          <w:tcPr>
            <w:tcW w:w="155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3114"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示例：某医院对门诊病人开展电动起立床训练10日，费用由医保支付，不符合医保限支付住院期间费用的限制。</w:t>
            </w:r>
          </w:p>
        </w:tc>
      </w:tr>
    </w:tbl>
    <w:p>
      <w:pPr>
        <w:rPr>
          <w:rFonts w:hint="default" w:ascii="Times New Roman" w:hAnsi="Times New Roman" w:eastAsia="方正仿宋_GBK" w:cs="Times New Roman"/>
          <w:sz w:val="21"/>
          <w:szCs w:val="21"/>
        </w:rPr>
      </w:pPr>
    </w:p>
    <w:tbl>
      <w:tblPr>
        <w:tblStyle w:val="6"/>
        <w:tblpPr w:leftFromText="180" w:rightFromText="180" w:vertAnchor="text" w:horzAnchor="page" w:tblpX="761" w:tblpY="145"/>
        <w:tblOverlap w:val="never"/>
        <w:tblW w:w="1055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6"/>
        <w:gridCol w:w="2156"/>
        <w:gridCol w:w="3338"/>
        <w:gridCol w:w="1478"/>
        <w:gridCol w:w="27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59"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15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338"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478"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278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10</w:t>
            </w:r>
          </w:p>
        </w:tc>
        <w:tc>
          <w:tcPr>
            <w:tcW w:w="21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开展徒手手功能训练，医保支付存在下述问题1.不符合医保限定支付适应症；2.不符合医保限定支付天数。</w:t>
            </w:r>
          </w:p>
        </w:tc>
        <w:tc>
          <w:tcPr>
            <w:tcW w:w="3338" w:type="dxa"/>
            <w:noWrap w:val="0"/>
            <w:vAlign w:val="center"/>
          </w:tcPr>
          <w:p>
            <w:pPr>
              <w:wordWrap/>
              <w:autoSpaceDE w:val="0"/>
              <w:autoSpaceDN w:val="0"/>
              <w:spacing w:before="2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《诊疗目录》中，徒手手功能训练支付条件为有明确的手功能障碍，且一个疾病过程支付不超过90天。</w:t>
            </w:r>
          </w:p>
        </w:tc>
        <w:tc>
          <w:tcPr>
            <w:tcW w:w="147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780"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示例：某医院对手功能正常患者，进行徒手手功能训练，费用由医保支付，不符合医保限定支付的适应症。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11</w:t>
            </w:r>
          </w:p>
        </w:tc>
        <w:tc>
          <w:tcPr>
            <w:tcW w:w="21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开展作业疗法，医保支付存在下述问题：1.不符合医保限定支付适应症；2.不符合医保限定支付天数及频次。</w:t>
            </w:r>
          </w:p>
        </w:tc>
        <w:tc>
          <w:tcPr>
            <w:tcW w:w="333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《诊疗目录》中，作业疗法限支付器质性病变导致的生活、工作能力障碍。一个疾病过程支付不超过3个月；每日支付不超过1次。</w:t>
            </w:r>
          </w:p>
        </w:tc>
        <w:tc>
          <w:tcPr>
            <w:tcW w:w="147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780"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示例：某医院为焦虑抑郁病人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属于功能性的生活、工作能力障碍，非器质性病变</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开展作业疗法15日，费用由医保支付，不符合医保限支付器质性病变导致障碍的限制。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12</w:t>
            </w:r>
          </w:p>
        </w:tc>
        <w:tc>
          <w:tcPr>
            <w:tcW w:w="21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开展偏瘫肢体综合训练医保支付存在下述问题：1.不符合医保限定支付天数及频次；2.与运动疗法同时使用时，不符合医保支付限制。</w:t>
            </w:r>
          </w:p>
        </w:tc>
        <w:tc>
          <w:tcPr>
            <w:tcW w:w="333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《诊疗目录》中，偏瘫肢体综合训练1个疾病过程支付不超过3个月；每日支付不超过2次，与运动疗法同时使用时只支付其中1项。</w:t>
            </w:r>
          </w:p>
        </w:tc>
        <w:tc>
          <w:tcPr>
            <w:tcW w:w="147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780"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示例：某医院为脑梗偏瘫病人每日进行偏瘫肢体综合训练和运动疗法，两个治疗项目费用均由医保支付，不符合与运动疗法同时使用时只支付1项的限制条件。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13</w:t>
            </w:r>
          </w:p>
        </w:tc>
        <w:tc>
          <w:tcPr>
            <w:tcW w:w="21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开展精神障碍作业疗法训练，医保支付存在下述问题：1.不符合医保限定支付适应症；2.不符合人员资质限制；3.不符合医保限定支付天数及频次。</w:t>
            </w:r>
          </w:p>
        </w:tc>
        <w:tc>
          <w:tcPr>
            <w:tcW w:w="333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《诊疗目录》中，精神障碍作业疗法训练限支付精神障碍康复期患者，在精神卫生机构或康复医疗机构，由具有资格的精神卫生专业人员或在其指导下的社工操作，且每年支付不超过90天，每天支付不超过一次。</w:t>
            </w:r>
          </w:p>
        </w:tc>
        <w:tc>
          <w:tcPr>
            <w:tcW w:w="1478"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780"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示例：某精神病医院对精神分裂症急性期患者</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非康复期</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开展精神障碍作业疗法训练10日，费用由医保支付，不符合医保限支付精神障碍康复期患者的限制。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14</w:t>
            </w:r>
          </w:p>
        </w:tc>
        <w:tc>
          <w:tcPr>
            <w:tcW w:w="2156"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开展日常生活动作训练，医保支付存在下述问题：1.不符合医保限定支付适应症；2.不符合医保限定支付天数；3.不符合医保继续支付的限定条件。</w:t>
            </w:r>
          </w:p>
        </w:tc>
        <w:tc>
          <w:tcPr>
            <w:tcW w:w="3338"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《诊疗目录》中，日常生活动作训练限支付日常生活活动能力障碍</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ADL</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患者，重度患者支付不超过90天，中度患者支付不超过60天，轻度患者支付不超过30天，每14天训练经功能量表评定后取得明确功能进步才可继续支付。</w:t>
            </w:r>
          </w:p>
        </w:tc>
        <w:tc>
          <w:tcPr>
            <w:tcW w:w="1478"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780"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示例：某患者可以正常生活并能自理，但医院在其住院期间，每日开展日常生活动作训练，费用由医保支付，不符合医保限定支付适应症。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15</w:t>
            </w:r>
          </w:p>
        </w:tc>
        <w:tc>
          <w:tcPr>
            <w:tcW w:w="2156"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开展吞咽功能障碍训练，医保支付存在下述问题：1.不符合医保限定支付适应症；2.不符合医保限定支付医院限制；3.不符合医保限定支付天数及频次。</w:t>
            </w:r>
          </w:p>
        </w:tc>
        <w:tc>
          <w:tcPr>
            <w:tcW w:w="3338"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《诊疗目录》中，吞咽功能障碍训练限支付中、重度功能障碍；三级医院康复科或康复专科医院使用。一个疾病过程支付不超过3个月；每日支付不超过2次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含普通训练和器械训练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c>
          <w:tcPr>
            <w:tcW w:w="1478"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780"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示例：某医院为脑梗死病人进行吞咽功能障碍训练10天，费用由医保支付，但住院病历记录该病人吞咽功能正常，饮水无呛咳，不符合医保限定支付适应症。</w:t>
            </w:r>
          </w:p>
        </w:tc>
      </w:tr>
    </w:tbl>
    <w:p>
      <w:pPr>
        <w:rPr>
          <w:rFonts w:hint="default" w:ascii="Times New Roman" w:hAnsi="Times New Roman" w:eastAsia="方正仿宋_GBK" w:cs="Times New Roman"/>
          <w:sz w:val="21"/>
          <w:szCs w:val="21"/>
        </w:rPr>
      </w:pPr>
    </w:p>
    <w:tbl>
      <w:tblPr>
        <w:tblStyle w:val="6"/>
        <w:tblpPr w:leftFromText="180" w:rightFromText="180" w:vertAnchor="text" w:horzAnchor="page" w:tblpX="761" w:tblpY="244"/>
        <w:tblOverlap w:val="never"/>
        <w:tblW w:w="1063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6"/>
        <w:gridCol w:w="2175"/>
        <w:gridCol w:w="3319"/>
        <w:gridCol w:w="1538"/>
        <w:gridCol w:w="28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54"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175"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319"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538"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280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40"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16</w:t>
            </w:r>
          </w:p>
        </w:tc>
        <w:tc>
          <w:tcPr>
            <w:tcW w:w="2175"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开展认知知觉功能障碍训练，医保支付存在下述问题：1.不符合医保限定支付适应症；2.不符合医保限定支付天数及频次。</w:t>
            </w:r>
          </w:p>
        </w:tc>
        <w:tc>
          <w:tcPr>
            <w:tcW w:w="3319"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《诊疗目录》中，认知知觉功能障碍训练限支付器质性病变导致的认知知觉功能障碍。1个疾病过程支付不超过3个月；每日支付不超过2次。</w:t>
            </w:r>
          </w:p>
        </w:tc>
        <w:tc>
          <w:tcPr>
            <w:tcW w:w="1538"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将不属于医保支付范围的纳入医保基金结算</w:t>
            </w:r>
          </w:p>
        </w:tc>
        <w:tc>
          <w:tcPr>
            <w:tcW w:w="2800"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示例：某医院为焦虑抑郁状态</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属于功能性障碍、非器质性病变</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患者开展认知知觉功能障碍训练5天，费用由医保支付，不符合医保限支付器质性病变导致障碍的限制。</w:t>
            </w:r>
          </w:p>
        </w:tc>
      </w:tr>
    </w:tbl>
    <w:p>
      <w:pPr>
        <w:rPr>
          <w:rFonts w:hint="default" w:ascii="Times New Roman" w:hAnsi="Times New Roman" w:eastAsia="方正仿宋_GBK" w:cs="Times New Roman"/>
          <w:sz w:val="21"/>
          <w:szCs w:val="21"/>
        </w:rPr>
      </w:pPr>
    </w:p>
    <w:p>
      <w:pPr>
        <w:ind w:firstLine="600" w:firstLineChars="200"/>
        <w:rPr>
          <w:rFonts w:hint="default" w:ascii="Times New Roman" w:hAnsi="Times New Roman" w:eastAsia="方正楷体_GBK" w:cs="Times New Roman"/>
          <w:sz w:val="30"/>
          <w:szCs w:val="30"/>
          <w:lang w:eastAsia="zh-CN"/>
        </w:rPr>
      </w:pP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五</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医学影像类</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14条</w:t>
      </w:r>
      <w:r>
        <w:rPr>
          <w:rFonts w:hint="default" w:ascii="Times New Roman" w:hAnsi="Times New Roman" w:eastAsia="方正楷体_GBK" w:cs="Times New Roman"/>
          <w:b w:val="0"/>
          <w:i w:val="0"/>
          <w:strike w:val="0"/>
          <w:color w:val="000000"/>
          <w:sz w:val="30"/>
          <w:szCs w:val="30"/>
          <w:lang w:eastAsia="zh-CN"/>
        </w:rPr>
        <w:t>）</w:t>
      </w:r>
    </w:p>
    <w:tbl>
      <w:tblPr>
        <w:tblStyle w:val="6"/>
        <w:tblpPr w:leftFromText="180" w:rightFromText="180" w:vertAnchor="text" w:horzAnchor="page" w:tblpX="761" w:tblpY="226"/>
        <w:tblOverlap w:val="never"/>
        <w:tblW w:w="1060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6"/>
        <w:gridCol w:w="2156"/>
        <w:gridCol w:w="3281"/>
        <w:gridCol w:w="1125"/>
        <w:gridCol w:w="324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0" w:hRule="atLeast"/>
        </w:trPr>
        <w:tc>
          <w:tcPr>
            <w:tcW w:w="80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15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3281"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125"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240"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40" w:hRule="atLeast"/>
        </w:trPr>
        <w:tc>
          <w:tcPr>
            <w:tcW w:w="80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2156"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开展数字化摄影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，将胶片等一次性耗材费用串换为诊疗项目收费。</w:t>
            </w:r>
          </w:p>
        </w:tc>
        <w:tc>
          <w:tcPr>
            <w:tcW w:w="3281"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《诊疗项目》中，X线摄影分类项目下，以胶片尺寸命名的项目实际是诊疗项目含曝光、冲洗、诊断和胶片等费用，非胶片等一次性耗材使用费用。</w:t>
            </w:r>
          </w:p>
        </w:tc>
        <w:tc>
          <w:tcPr>
            <w:tcW w:w="1125"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3240"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示例：某医院开展数据化摄影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，使用10×12时胶片，胶片采购单价为8元/片，应按照8元/片进行收费，但医院对照当地《公立医疗机构基本医疗服务项目目录》中X线摄影分类项目下10×12时X线摄影项目收费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单价：16元/片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40" w:hRule="atLeast"/>
        </w:trPr>
        <w:tc>
          <w:tcPr>
            <w:tcW w:w="80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w:t>
            </w:r>
          </w:p>
        </w:tc>
        <w:tc>
          <w:tcPr>
            <w:tcW w:w="2156"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开展数字化摄影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，收取胶片费用超出实际使用张数。</w:t>
            </w:r>
          </w:p>
        </w:tc>
        <w:tc>
          <w:tcPr>
            <w:tcW w:w="328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胶片收费的准确性。</w:t>
            </w:r>
          </w:p>
        </w:tc>
        <w:tc>
          <w:tcPr>
            <w:tcW w:w="1125"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240"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示例：某医院开展数字化摄影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，正侧位2次曝光，影像打印在一张胶片上，应收取1张胶片费用，但实际收取2张胶片费用，属于重复收费。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840" w:hRule="atLeast"/>
        </w:trPr>
        <w:tc>
          <w:tcPr>
            <w:tcW w:w="80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w:t>
            </w:r>
          </w:p>
        </w:tc>
        <w:tc>
          <w:tcPr>
            <w:tcW w:w="2156" w:type="dxa"/>
            <w:noWrap w:val="0"/>
            <w:vAlign w:val="center"/>
          </w:tcPr>
          <w:p>
            <w:pPr>
              <w:wordWrap/>
              <w:autoSpaceDE w:val="0"/>
              <w:autoSpaceDN w:val="0"/>
              <w:spacing w:before="20" w:after="0" w:line="2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开展X线摄影检查并收费，重复收取X线透视费用。</w:t>
            </w:r>
          </w:p>
        </w:tc>
        <w:tc>
          <w:tcPr>
            <w:tcW w:w="3281"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X线透视一般指使用传统X线设备开展的影像检查，X线摄影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设备与传统X线设备不兼容。</w:t>
            </w:r>
          </w:p>
        </w:tc>
        <w:tc>
          <w:tcPr>
            <w:tcW w:w="1125"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240"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示例：某医院对患者开展足部X线摄影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检查，收取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X线摄影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DR</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普通透视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四肢</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普通透视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四肢</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20" w:hRule="atLeast"/>
        </w:trPr>
        <w:tc>
          <w:tcPr>
            <w:tcW w:w="806"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w:t>
            </w:r>
          </w:p>
        </w:tc>
        <w:tc>
          <w:tcPr>
            <w:tcW w:w="2156"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开展经皮超选择性动脉造影，重复收取经皮选择性动脉造影。</w:t>
            </w:r>
          </w:p>
        </w:tc>
        <w:tc>
          <w:tcPr>
            <w:tcW w:w="3281"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相应诊疗规范。</w:t>
            </w:r>
          </w:p>
        </w:tc>
        <w:tc>
          <w:tcPr>
            <w:tcW w:w="1125"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240" w:type="dxa"/>
            <w:noWrap w:val="0"/>
            <w:vAlign w:val="center"/>
          </w:tcPr>
          <w:p>
            <w:pPr>
              <w:wordWrap/>
              <w:autoSpaceDE w:val="0"/>
              <w:autoSpaceDN w:val="0"/>
              <w:spacing w:before="20" w:after="0" w:line="1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示例：某医院开展经皮超选择性肝动脉造影，操作步骤为动脉穿刺、置入鞘管、超选择性肝动脉造影，收取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经皮超选择性动脉造影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经皮选择性动脉造影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经皮选择性动脉造影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273" w:hRule="atLeast"/>
        </w:trPr>
        <w:tc>
          <w:tcPr>
            <w:tcW w:w="80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5</w:t>
            </w:r>
          </w:p>
        </w:tc>
        <w:tc>
          <w:tcPr>
            <w:tcW w:w="2156"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开展非超声检查项目并收费，重复收取属于超声检查项目类别下的图象记录费用。</w:t>
            </w:r>
          </w:p>
        </w:tc>
        <w:tc>
          <w:tcPr>
            <w:tcW w:w="3281"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《诊疗项目》中，计算机图文报告、彩色胶片报告属于超声检查分类下的图象记录附加收费项目.</w:t>
            </w:r>
          </w:p>
        </w:tc>
        <w:tc>
          <w:tcPr>
            <w:tcW w:w="1125"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240"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计算机图文报告</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彩色胶片报告"属于超声检查分类下的图象记录附加收费项目。某医院将磁共振检查出具的报告，按照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计算机图文报告</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收取费用，属于重复收费。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31"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15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281"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125"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324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46" w:hRule="atLeast"/>
        </w:trPr>
        <w:tc>
          <w:tcPr>
            <w:tcW w:w="80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w:t>
            </w:r>
          </w:p>
        </w:tc>
        <w:tc>
          <w:tcPr>
            <w:tcW w:w="2156"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违反彩色多普勒超声等影像检查项目计价单位收费。</w:t>
            </w:r>
          </w:p>
        </w:tc>
        <w:tc>
          <w:tcPr>
            <w:tcW w:w="3281"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《诊疗项目》中，彩色多普勒超声类检查项目有不同的计价单位，如按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每肢</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每个部位</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每支血管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每人次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等进行计价。</w:t>
            </w:r>
          </w:p>
        </w:tc>
        <w:tc>
          <w:tcPr>
            <w:tcW w:w="1125"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240"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示例：某地《公立医疗机构基本医疗服务项目目录》中，四肢血管彩色多普勒超声按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每肢</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进行计价收费。某医院按肢体中的血管数量多次收费，属于超标准收费。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46" w:hRule="atLeast"/>
        </w:trPr>
        <w:tc>
          <w:tcPr>
            <w:tcW w:w="80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7</w:t>
            </w:r>
          </w:p>
        </w:tc>
        <w:tc>
          <w:tcPr>
            <w:tcW w:w="2156"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开展某一系统的影像检查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如X线检查、超声检查等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时，将该系统组成部分另行收费。</w:t>
            </w:r>
          </w:p>
        </w:tc>
        <w:tc>
          <w:tcPr>
            <w:tcW w:w="3281"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相应诊疗规范和《诊疗目录》。</w:t>
            </w:r>
          </w:p>
        </w:tc>
        <w:tc>
          <w:tcPr>
            <w:tcW w:w="1125"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240"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示例：某地《公立医疗机构基本医疗服务项目目录》中，上消化道造影内涵：含食管、胃、十二指肠造影。某医院开展上消化道造影，收取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上消化道造影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食管造影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食管造影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46" w:hRule="atLeast"/>
        </w:trPr>
        <w:tc>
          <w:tcPr>
            <w:tcW w:w="80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8</w:t>
            </w:r>
          </w:p>
        </w:tc>
        <w:tc>
          <w:tcPr>
            <w:tcW w:w="2156"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为同一患者开展多个部位或多次同类影像检查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如CT、磁共振、超声等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，未按计价标准收费。</w:t>
            </w:r>
          </w:p>
        </w:tc>
        <w:tc>
          <w:tcPr>
            <w:tcW w:w="3281" w:type="dxa"/>
            <w:noWrap w:val="0"/>
            <w:vAlign w:val="center"/>
          </w:tcPr>
          <w:p>
            <w:pPr>
              <w:wordWrap/>
              <w:autoSpaceDE w:val="0"/>
              <w:autoSpaceDN w:val="0"/>
              <w:spacing w:before="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《诊疗目录》中，对同一患者多个部位同时开展CT、磁共振、超声等检查，第二个以上部位或第二次以上检查，按原价一定比例收费或按照加收项目收费。</w:t>
            </w:r>
          </w:p>
        </w:tc>
        <w:tc>
          <w:tcPr>
            <w:tcW w:w="1125"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240"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示例1：某地《公立医疗机构基本医疗服务项目目录》中，X线计算机体层</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扫描统一说明：对同一患者多个部位同时检查时，第二个以上部位应按50%收费。某医院对患者同时开展上腹部、下腹部CT平扫，应收取1.5次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普通CT平扫’费用，但医院实际收取2次，属于超标准收费。示例2：某地《公立医疗机构基本医疗服务项目目录》规定：磁共振对同一患者多部位同时检查时，第二个以上部位应收取加收项目。某医院对同一部位正、侧位磁共振扫描，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磁共振平扫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磁共振平扫加收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费用，实际收取2次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磁共振平扫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46" w:hRule="atLeast"/>
        </w:trPr>
        <w:tc>
          <w:tcPr>
            <w:tcW w:w="80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9</w:t>
            </w:r>
          </w:p>
        </w:tc>
        <w:tc>
          <w:tcPr>
            <w:tcW w:w="2156"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开展床旁检查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如X线透视检查、超声检查等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并收费，重复收取同类常规检查费用，</w:t>
            </w:r>
          </w:p>
        </w:tc>
        <w:tc>
          <w:tcPr>
            <w:tcW w:w="3281"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《诊疗目录》中，床旁检查不得与常规检查重复计价,</w:t>
            </w:r>
          </w:p>
        </w:tc>
        <w:tc>
          <w:tcPr>
            <w:tcW w:w="1125"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24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示例：某地《公立医疗机构基本医疗服务项目目录》规定：床旁透视与透视常规检查不能同时收取费用。某医院对重症患者开展床旁透视，收取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床旁透视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透视常规检查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透视常规检查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属于重复收费。类似的还有床旁B超检查、床旁彩色多普勒超声检查、床旁超声心动图等。</w:t>
            </w:r>
          </w:p>
        </w:tc>
      </w:tr>
    </w:tbl>
    <w:p>
      <w:pPr>
        <w:rPr>
          <w:rFonts w:hint="default" w:ascii="Times New Roman" w:hAnsi="Times New Roman" w:eastAsia="方正仿宋_GBK" w:cs="Times New Roman"/>
          <w:sz w:val="21"/>
          <w:szCs w:val="21"/>
        </w:rPr>
      </w:pPr>
    </w:p>
    <w:tbl>
      <w:tblPr>
        <w:tblStyle w:val="6"/>
        <w:tblpPr w:leftFromText="180" w:rightFromText="180" w:vertAnchor="text" w:horzAnchor="page" w:tblpX="761" w:tblpY="254"/>
        <w:tblOverlap w:val="never"/>
        <w:tblW w:w="1079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06"/>
        <w:gridCol w:w="2156"/>
        <w:gridCol w:w="3075"/>
        <w:gridCol w:w="1350"/>
        <w:gridCol w:w="34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61" w:hRule="atLeast"/>
        </w:trPr>
        <w:tc>
          <w:tcPr>
            <w:tcW w:w="806" w:type="dxa"/>
            <w:noWrap w:val="0"/>
            <w:vAlign w:val="center"/>
          </w:tcPr>
          <w:p>
            <w:pPr>
              <w:wordWrap/>
              <w:autoSpaceDE w:val="0"/>
              <w:autoSpaceDN w:val="0"/>
              <w:spacing w:before="0" w:after="0" w:line="1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156" w:type="dxa"/>
            <w:noWrap w:val="0"/>
            <w:vAlign w:val="center"/>
          </w:tcPr>
          <w:p>
            <w:pPr>
              <w:wordWrap/>
              <w:autoSpaceDE w:val="0"/>
              <w:autoSpaceDN w:val="0"/>
              <w:spacing w:before="0" w:after="0" w:line="1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3075" w:type="dxa"/>
            <w:noWrap w:val="0"/>
            <w:vAlign w:val="center"/>
          </w:tcPr>
          <w:p>
            <w:pPr>
              <w:wordWrap/>
              <w:autoSpaceDE w:val="0"/>
              <w:autoSpaceDN w:val="0"/>
              <w:spacing w:before="0" w:after="0" w:line="1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350"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3404"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238" w:hRule="atLeast"/>
        </w:trPr>
        <w:tc>
          <w:tcPr>
            <w:tcW w:w="806"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10</w:t>
            </w:r>
          </w:p>
        </w:tc>
        <w:tc>
          <w:tcPr>
            <w:tcW w:w="2156" w:type="dxa"/>
            <w:noWrap w:val="0"/>
            <w:vAlign w:val="center"/>
          </w:tcPr>
          <w:p>
            <w:pPr>
              <w:wordWrap/>
              <w:autoSpaceDE w:val="0"/>
              <w:autoSpaceDN w:val="0"/>
              <w:spacing w:before="2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开展CT、磁共振等增强扫描，重复收取平扫费用。</w:t>
            </w:r>
          </w:p>
        </w:tc>
        <w:tc>
          <w:tcPr>
            <w:tcW w:w="3075"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《诊疗目录》中，CT、磁共振平扫后同时进行增强扫描，不同省份计价标准不同。有的省份两个项目分别计价且不得同时收费，有的省份在平扫费用基础上加收一定费用</w:t>
            </w:r>
          </w:p>
        </w:tc>
        <w:tc>
          <w:tcPr>
            <w:tcW w:w="1350"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404" w:type="dxa"/>
            <w:noWrap w:val="0"/>
            <w:vAlign w:val="center"/>
          </w:tcPr>
          <w:p>
            <w:pPr>
              <w:wordWrap/>
              <w:autoSpaceDE w:val="0"/>
              <w:autoSpaceDN w:val="0"/>
              <w:spacing w:before="20" w:after="0" w:line="1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中，CT平扫单价为80元/部位，CT增强扫描单价为120元/部位，且明确规定CT平扫与CT增强扫描不得同时收费。某医院对患者开展CT增强扫描，因在注射增强剂前进行一次平扫，故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CT平扫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CT增强扫描</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费用。其中，</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CT平扫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属于重复收费。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238"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11</w:t>
            </w:r>
          </w:p>
        </w:tc>
        <w:tc>
          <w:tcPr>
            <w:tcW w:w="215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将针对特定科室、特定适应症的检查项目</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如CT、彩超等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作为常规检查，向大多数患者普遍开展并收费，</w:t>
            </w:r>
          </w:p>
        </w:tc>
        <w:tc>
          <w:tcPr>
            <w:tcW w:w="3075"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临床路径及检查适应症。</w:t>
            </w:r>
          </w:p>
        </w:tc>
        <w:tc>
          <w:tcPr>
            <w:tcW w:w="135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过度检查</w:t>
            </w:r>
          </w:p>
        </w:tc>
        <w:tc>
          <w:tcPr>
            <w:tcW w:w="3404"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1：某医院以CT机带三维重建功能为由，对所有CT检查的患者均收取三维重建、冠矢状面重建费用实际对大部分患者的诊断均未使用重建影像，属于过度检查。示例2：某医院眼科将胸部CT作为眼科疾病必查项目，属于过度检查。示例3：某医院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颈部血管彩色多普勒超声</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四肢血管彩色多普勒超声</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四肢多普勒血流图</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检查作为住院患者的常规检查，属于过度检查。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15"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12</w:t>
            </w:r>
          </w:p>
        </w:tc>
        <w:tc>
          <w:tcPr>
            <w:tcW w:w="215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将在低分辨率、低排数、低场强设备上开展的CT、磁共振检查按照高分辨率、高排数、高场强设备计价收费。</w:t>
            </w:r>
          </w:p>
        </w:tc>
        <w:tc>
          <w:tcPr>
            <w:tcW w:w="3075" w:type="dxa"/>
            <w:noWrap w:val="0"/>
            <w:vAlign w:val="center"/>
          </w:tcPr>
          <w:p>
            <w:pPr>
              <w:wordWrap/>
              <w:autoSpaceDE w:val="0"/>
              <w:autoSpaceDN w:val="0"/>
              <w:spacing w:before="2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《诊疗项目》中，X线计算机体层</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磁共振等检查按设备型号、性能分别计价。</w:t>
            </w:r>
          </w:p>
        </w:tc>
        <w:tc>
          <w:tcPr>
            <w:tcW w:w="135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串换项目</w:t>
            </w:r>
          </w:p>
        </w:tc>
        <w:tc>
          <w:tcPr>
            <w:tcW w:w="3404" w:type="dxa"/>
            <w:noWrap w:val="0"/>
            <w:vAlign w:val="center"/>
          </w:tcPr>
          <w:p>
            <w:pPr>
              <w:wordWrap/>
              <w:autoSpaceDE w:val="0"/>
              <w:autoSpaceDN w:val="0"/>
              <w:spacing w:before="20" w:after="0" w:line="1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示例：某地《公立医疗机构基本医疗服务项目目录》中,磁共振平扫项目内涵:场强≥0.5T,&lt;1.5T的每部位收费420元，场强3.0T及以上每部位840元。某医院磁共振机场强0.5T，按每部位840元收费，属于串换项目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238" w:hRule="atLeast"/>
        </w:trPr>
        <w:tc>
          <w:tcPr>
            <w:tcW w:w="806" w:type="dxa"/>
            <w:noWrap w:val="0"/>
            <w:vAlign w:val="center"/>
          </w:tcPr>
          <w:p>
            <w:pPr>
              <w:wordWrap/>
              <w:autoSpaceDE w:val="0"/>
              <w:autoSpaceDN w:val="0"/>
              <w:spacing w:before="0" w:after="0" w:line="1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13</w:t>
            </w:r>
          </w:p>
        </w:tc>
        <w:tc>
          <w:tcPr>
            <w:tcW w:w="2156"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开展临床操作的各类影像引导</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如CT、磁共振、超声等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，收取引导费用时重复收取相应部位的检查费用，或者收取图文报告、胶片费用</w:t>
            </w:r>
          </w:p>
        </w:tc>
        <w:tc>
          <w:tcPr>
            <w:tcW w:w="3075" w:type="dxa"/>
            <w:noWrap w:val="0"/>
            <w:vAlign w:val="center"/>
          </w:tcPr>
          <w:p>
            <w:pPr>
              <w:wordWrap/>
              <w:autoSpaceDE w:val="0"/>
              <w:autoSpaceDN w:val="0"/>
              <w:spacing w:before="20" w:after="0" w:line="1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各类影像引导是临床医师在开展治疗、手术时为动态观察操作过程、精准定位相关病灶而实施的辅助操作，而各类影像检查是为诊断疾病通过一定方式显示人体器官组织的形态状况等图像的检查方式，开展引导不应收取检查费用，也不应该收取反映影像检查结果的载体如图文报告、胶片等的费用</w:t>
            </w:r>
          </w:p>
        </w:tc>
        <w:tc>
          <w:tcPr>
            <w:tcW w:w="1350"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404" w:type="dxa"/>
            <w:noWrap w:val="0"/>
            <w:vAlign w:val="center"/>
          </w:tcPr>
          <w:p>
            <w:pPr>
              <w:wordWrap/>
              <w:autoSpaceDE w:val="0"/>
              <w:autoSpaceDN w:val="0"/>
              <w:spacing w:before="0" w:after="0" w:line="1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示例：某医院开展肝囊肿穿刺，使用彩超引导，在收取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临床操作的彩色多普勒超声引导</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费用的同时，重复收取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彩色多普勒超声常规检查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浅表器官彩色多普勒超声检查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计算机图文报告</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等费用，属于重复收费。</w:t>
            </w:r>
          </w:p>
        </w:tc>
      </w:tr>
    </w:tbl>
    <w:p>
      <w:pPr>
        <w:rPr>
          <w:rFonts w:hint="default" w:ascii="Times New Roman" w:hAnsi="Times New Roman" w:eastAsia="方正仿宋_GBK" w:cs="Times New Roman"/>
          <w:sz w:val="21"/>
          <w:szCs w:val="21"/>
        </w:rPr>
      </w:pPr>
    </w:p>
    <w:tbl>
      <w:tblPr>
        <w:tblStyle w:val="6"/>
        <w:tblpPr w:leftFromText="180" w:rightFromText="180" w:vertAnchor="text" w:horzAnchor="page" w:tblpX="761" w:tblpY="229"/>
        <w:tblOverlap w:val="never"/>
        <w:tblW w:w="106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5"/>
        <w:gridCol w:w="2175"/>
        <w:gridCol w:w="3018"/>
        <w:gridCol w:w="1294"/>
        <w:gridCol w:w="33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0" w:hRule="atLeast"/>
        </w:trPr>
        <w:tc>
          <w:tcPr>
            <w:tcW w:w="825" w:type="dxa"/>
            <w:noWrap w:val="0"/>
            <w:vAlign w:val="center"/>
          </w:tcPr>
          <w:p>
            <w:pPr>
              <w:wordWrap/>
              <w:autoSpaceDE w:val="0"/>
              <w:autoSpaceDN w:val="0"/>
              <w:spacing w:before="0" w:after="0" w:line="1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175" w:type="dxa"/>
            <w:noWrap w:val="0"/>
            <w:vAlign w:val="center"/>
          </w:tcPr>
          <w:p>
            <w:pPr>
              <w:wordWrap/>
              <w:autoSpaceDE w:val="0"/>
              <w:autoSpaceDN w:val="0"/>
              <w:spacing w:before="0" w:after="0" w:line="1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3018" w:type="dxa"/>
            <w:noWrap w:val="0"/>
            <w:vAlign w:val="center"/>
          </w:tcPr>
          <w:p>
            <w:pPr>
              <w:wordWrap/>
              <w:autoSpaceDE w:val="0"/>
              <w:autoSpaceDN w:val="0"/>
              <w:spacing w:before="0" w:after="0" w:line="1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294"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3319"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80" w:hRule="atLeast"/>
        </w:trPr>
        <w:tc>
          <w:tcPr>
            <w:tcW w:w="825" w:type="dxa"/>
            <w:noWrap w:val="0"/>
            <w:vAlign w:val="center"/>
          </w:tcPr>
          <w:p>
            <w:pPr>
              <w:wordWrap/>
              <w:autoSpaceDE w:val="0"/>
              <w:autoSpaceDN w:val="0"/>
              <w:spacing w:before="0" w:after="0" w:line="1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14</w:t>
            </w:r>
          </w:p>
        </w:tc>
        <w:tc>
          <w:tcPr>
            <w:tcW w:w="2175" w:type="dxa"/>
            <w:noWrap w:val="0"/>
            <w:vAlign w:val="center"/>
          </w:tcPr>
          <w:p>
            <w:pPr>
              <w:wordWrap/>
              <w:autoSpaceDE w:val="0"/>
              <w:autoSpaceDN w:val="0"/>
              <w:spacing w:before="2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未进行血管造影操作，收取非血管介入临床操作数字减影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DSA</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引导费用。</w:t>
            </w:r>
          </w:p>
        </w:tc>
        <w:tc>
          <w:tcPr>
            <w:tcW w:w="3018" w:type="dxa"/>
            <w:noWrap w:val="0"/>
            <w:vAlign w:val="center"/>
          </w:tcPr>
          <w:p>
            <w:pPr>
              <w:wordWrap/>
              <w:autoSpaceDE w:val="0"/>
              <w:autoSpaceDN w:val="0"/>
              <w:spacing w:before="0" w:after="0" w:line="1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非血管介入临床操作数字减影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DSA</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引导指利用数字减影血管造影引导辅助完成临床诊疗过程，适用于心、脑、全身血管造影，介入治疗等。</w:t>
            </w:r>
          </w:p>
        </w:tc>
        <w:tc>
          <w:tcPr>
            <w:tcW w:w="1294" w:type="dxa"/>
            <w:noWrap w:val="0"/>
            <w:vAlign w:val="center"/>
          </w:tcPr>
          <w:p>
            <w:pPr>
              <w:wordWrap/>
              <w:autoSpaceDE w:val="0"/>
              <w:autoSpaceDN w:val="0"/>
              <w:spacing w:before="0" w:after="0" w:line="1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串换项目</w:t>
            </w:r>
          </w:p>
        </w:tc>
        <w:tc>
          <w:tcPr>
            <w:tcW w:w="3319" w:type="dxa"/>
            <w:noWrap w:val="0"/>
            <w:vAlign w:val="center"/>
          </w:tcPr>
          <w:p>
            <w:pPr>
              <w:wordWrap/>
              <w:autoSpaceDE w:val="0"/>
              <w:autoSpaceDN w:val="0"/>
              <w:spacing w:before="20" w:after="0" w:line="1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示例：某医院使用数字减影血管造影机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DSA</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为患者开展气管造影检查，除支气管造影费用外应当收取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临床操作的CT引导</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单价180元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费用，实际收取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非血管介入临床操作数字减影</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DSA</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引导</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单价600元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费用，属于串换项目。</w:t>
            </w:r>
          </w:p>
        </w:tc>
      </w:tr>
    </w:tbl>
    <w:p>
      <w:pPr>
        <w:ind w:firstLine="600" w:firstLineChars="200"/>
        <w:rPr>
          <w:rFonts w:hint="default" w:ascii="Times New Roman" w:hAnsi="Times New Roman" w:eastAsia="方正楷体_GBK" w:cs="Times New Roman"/>
          <w:sz w:val="21"/>
          <w:szCs w:val="21"/>
          <w:lang w:eastAsia="zh-CN"/>
        </w:rPr>
      </w:pP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六</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临床检验类</w:t>
      </w:r>
      <w:r>
        <w:rPr>
          <w:rFonts w:hint="default" w:ascii="Times New Roman" w:hAnsi="Times New Roman" w:eastAsia="方正楷体_GBK" w:cs="Times New Roman"/>
          <w:b w:val="0"/>
          <w:i w:val="0"/>
          <w:strike w:val="0"/>
          <w:color w:val="000000"/>
          <w:sz w:val="30"/>
          <w:szCs w:val="30"/>
          <w:lang w:eastAsia="zh-CN"/>
        </w:rPr>
        <w:t>（</w:t>
      </w:r>
      <w:r>
        <w:rPr>
          <w:rFonts w:hint="default" w:ascii="Times New Roman" w:hAnsi="Times New Roman" w:eastAsia="方正楷体_GBK" w:cs="Times New Roman"/>
          <w:b w:val="0"/>
          <w:i w:val="0"/>
          <w:strike w:val="0"/>
          <w:color w:val="000000"/>
          <w:sz w:val="30"/>
          <w:szCs w:val="30"/>
        </w:rPr>
        <w:t>4条</w:t>
      </w:r>
      <w:r>
        <w:rPr>
          <w:rFonts w:hint="default" w:ascii="Times New Roman" w:hAnsi="Times New Roman" w:eastAsia="方正楷体_GBK" w:cs="Times New Roman"/>
          <w:b w:val="0"/>
          <w:i w:val="0"/>
          <w:strike w:val="0"/>
          <w:color w:val="000000"/>
          <w:sz w:val="30"/>
          <w:szCs w:val="30"/>
          <w:lang w:eastAsia="zh-CN"/>
        </w:rPr>
        <w:t>）</w:t>
      </w:r>
    </w:p>
    <w:tbl>
      <w:tblPr>
        <w:tblStyle w:val="6"/>
        <w:tblpPr w:leftFromText="180" w:rightFromText="180" w:vertAnchor="text" w:horzAnchor="page" w:tblpX="779" w:tblpY="78"/>
        <w:tblOverlap w:val="never"/>
        <w:tblW w:w="1059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8"/>
        <w:gridCol w:w="2207"/>
        <w:gridCol w:w="2237"/>
        <w:gridCol w:w="1293"/>
        <w:gridCol w:w="4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380" w:hRule="atLeast"/>
        </w:trPr>
        <w:tc>
          <w:tcPr>
            <w:tcW w:w="788"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2207"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问题</w:t>
            </w:r>
          </w:p>
        </w:tc>
        <w:tc>
          <w:tcPr>
            <w:tcW w:w="2237"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有关依据</w:t>
            </w:r>
          </w:p>
        </w:tc>
        <w:tc>
          <w:tcPr>
            <w:tcW w:w="129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违规类型</w:t>
            </w:r>
          </w:p>
        </w:tc>
        <w:tc>
          <w:tcPr>
            <w:tcW w:w="4070"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888" w:hRule="atLeast"/>
        </w:trPr>
        <w:tc>
          <w:tcPr>
            <w:tcW w:w="788"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2207" w:type="dxa"/>
            <w:noWrap w:val="0"/>
            <w:vAlign w:val="center"/>
          </w:tcPr>
          <w:p>
            <w:pPr>
              <w:wordWrap/>
              <w:autoSpaceDE w:val="0"/>
              <w:autoSpaceDN w:val="0"/>
              <w:spacing w:before="0" w:after="0" w:line="24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将针对特定科室、特定适应症的检查项目作为常规检查，向大多数患者普遍开展并收费。</w:t>
            </w:r>
          </w:p>
        </w:tc>
        <w:tc>
          <w:tcPr>
            <w:tcW w:w="2237"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相应诊疗规范。</w:t>
            </w:r>
          </w:p>
        </w:tc>
        <w:tc>
          <w:tcPr>
            <w:tcW w:w="1293" w:type="dxa"/>
            <w:noWrap w:val="0"/>
            <w:vAlign w:val="center"/>
          </w:tcPr>
          <w:p>
            <w:pPr>
              <w:wordWrap/>
              <w:autoSpaceDE w:val="0"/>
              <w:autoSpaceDN w:val="0"/>
              <w:spacing w:before="0" w:after="0" w:line="20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过度检查</w:t>
            </w:r>
          </w:p>
        </w:tc>
        <w:tc>
          <w:tcPr>
            <w:tcW w:w="4070" w:type="dxa"/>
            <w:noWrap w:val="0"/>
            <w:vAlign w:val="center"/>
          </w:tcPr>
          <w:p>
            <w:pPr>
              <w:wordWrap/>
              <w:autoSpaceDE w:val="0"/>
              <w:autoSpaceDN w:val="0"/>
              <w:spacing w:before="0" w:after="0" w:line="2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示例：粪寄生虫镜检一般用于寄生虫感染的诊断。某医院为心血管内科患者普遍无指征开具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粪寄生虫镜检</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并收费，属于过度检查。其他类似的示例还有：1、为开展凝血功能检查的患者普遍开具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血浆D-二聚体测定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；2、同时开展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C一反应蛋白</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与</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超敏C反应蛋白</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；3、为开展肾功能检查的患者普遍开具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血清胱抑素测定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；4、为开展血脂检查的患者普遍开具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血清载脂蛋白AI测定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；5、大规模同时开具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降钙素原</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PCT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超敏C反应蛋白</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hs-CRP</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N端-B型钠尿肽前体</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NT-ProBNP</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"检测;6、为开展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梅毒螺旋体特异抗体测定"患者普遍开具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不加热血清反应素试验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；7、将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癌胚抗原测定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糖类抗原测定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糖化血红蛋白测定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血栓弹力图试验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列入患者入院常规检查大规模开展。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897" w:hRule="atLeast"/>
        </w:trPr>
        <w:tc>
          <w:tcPr>
            <w:tcW w:w="788"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2</w:t>
            </w:r>
          </w:p>
        </w:tc>
        <w:tc>
          <w:tcPr>
            <w:tcW w:w="2207"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违反临床检验项目计价单位收费。</w:t>
            </w:r>
          </w:p>
        </w:tc>
        <w:tc>
          <w:tcPr>
            <w:tcW w:w="2237"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《诊疗项目》中，不同的临床检查项目，存在项、次、每个抗原等不同的计费单位。</w:t>
            </w:r>
          </w:p>
        </w:tc>
        <w:tc>
          <w:tcPr>
            <w:tcW w:w="1293"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4070"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示例：某地《公立医疗机构基本医疗服务项目目录》中，血栓弹力图试验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TEG</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项目内涵：按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收费。某医院开展血栓弹力图试验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TEG</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检查，按检查使用的试剂杯数收费，属于超标准收费。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8" w:hRule="atLeast"/>
        </w:trPr>
        <w:tc>
          <w:tcPr>
            <w:tcW w:w="788"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2207"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问题</w:t>
            </w:r>
          </w:p>
        </w:tc>
        <w:tc>
          <w:tcPr>
            <w:tcW w:w="2237"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有关依据</w:t>
            </w:r>
          </w:p>
        </w:tc>
        <w:tc>
          <w:tcPr>
            <w:tcW w:w="1293"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违规类型</w:t>
            </w:r>
          </w:p>
        </w:tc>
        <w:tc>
          <w:tcPr>
            <w:tcW w:w="4070"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违规示例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53" w:hRule="atLeast"/>
        </w:trPr>
        <w:tc>
          <w:tcPr>
            <w:tcW w:w="788"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3</w:t>
            </w:r>
          </w:p>
        </w:tc>
        <w:tc>
          <w:tcPr>
            <w:tcW w:w="2207"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各类临床检验项目不同检验方法学之间相互串换收费。</w:t>
            </w:r>
          </w:p>
        </w:tc>
        <w:tc>
          <w:tcPr>
            <w:tcW w:w="2237"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《诊疗目录》中，临床检验项目的检验方法不同，收费不同。</w:t>
            </w:r>
          </w:p>
        </w:tc>
        <w:tc>
          <w:tcPr>
            <w:tcW w:w="1293"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串换项目</w:t>
            </w:r>
          </w:p>
        </w:tc>
        <w:tc>
          <w:tcPr>
            <w:tcW w:w="4070"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示例：某医院使用酶法开展葡萄糖测定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单价5.52元/次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,但按照干化学法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单价:9.20元/次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进行收费，属于串换项目。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39" w:hRule="atLeast"/>
        </w:trPr>
        <w:tc>
          <w:tcPr>
            <w:tcW w:w="788" w:type="dxa"/>
            <w:noWrap w:val="0"/>
            <w:vAlign w:val="center"/>
          </w:tcPr>
          <w:p>
            <w:pPr>
              <w:wordWrap/>
              <w:autoSpaceDE w:val="0"/>
              <w:autoSpaceDN w:val="0"/>
              <w:spacing w:before="0" w:after="0" w:line="20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4</w:t>
            </w:r>
          </w:p>
        </w:tc>
        <w:tc>
          <w:tcPr>
            <w:tcW w:w="2207"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不同临床检验项目之间相互串换收费。</w:t>
            </w:r>
          </w:p>
        </w:tc>
        <w:tc>
          <w:tcPr>
            <w:tcW w:w="2237"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临床检验项目收费的准确性。</w:t>
            </w:r>
          </w:p>
        </w:tc>
        <w:tc>
          <w:tcPr>
            <w:tcW w:w="1293" w:type="dxa"/>
            <w:noWrap w:val="0"/>
            <w:vAlign w:val="center"/>
          </w:tcPr>
          <w:p>
            <w:pPr>
              <w:wordWrap/>
              <w:autoSpaceDE w:val="0"/>
              <w:autoSpaceDN w:val="0"/>
              <w:spacing w:before="0" w:after="0" w:line="2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串换项目</w:t>
            </w:r>
          </w:p>
        </w:tc>
        <w:tc>
          <w:tcPr>
            <w:tcW w:w="4070"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示例：某医院开展B型钠尿肽前体</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PRO-BNP</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测定,但按照N端-B型钠尿肽前体</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NT-ProBNP</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测定进行收费，属于串换项目。</w:t>
            </w:r>
          </w:p>
        </w:tc>
      </w:tr>
    </w:tbl>
    <w:p>
      <w:pPr>
        <w:keepNext w:val="0"/>
        <w:keepLines w:val="0"/>
        <w:pageBreakBefore w:val="0"/>
        <w:widowControl w:val="0"/>
        <w:kinsoku/>
        <w:wordWrap/>
        <w:overflowPunct/>
        <w:topLinePunct w:val="0"/>
        <w:autoSpaceDE w:val="0"/>
        <w:autoSpaceDN w:val="0"/>
        <w:bidi w:val="0"/>
        <w:adjustRightInd/>
        <w:snapToGrid/>
        <w:spacing w:after="0" w:line="580" w:lineRule="exact"/>
        <w:ind w:right="0" w:firstLine="640" w:firstLineChars="200"/>
        <w:jc w:val="both"/>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i w:val="0"/>
          <w:strike w:val="0"/>
          <w:color w:val="000000"/>
          <w:sz w:val="32"/>
          <w:szCs w:val="32"/>
          <w:lang w:eastAsia="zh-CN"/>
        </w:rPr>
        <w:t>二</w:t>
      </w:r>
      <w:r>
        <w:rPr>
          <w:rFonts w:hint="default" w:ascii="Times New Roman" w:hAnsi="Times New Roman" w:eastAsia="方正黑体_GBK" w:cs="Times New Roman"/>
          <w:b w:val="0"/>
          <w:bCs/>
          <w:i w:val="0"/>
          <w:strike w:val="0"/>
          <w:color w:val="000000"/>
          <w:sz w:val="32"/>
          <w:szCs w:val="32"/>
        </w:rPr>
        <w:t>、</w:t>
      </w:r>
      <w:r>
        <w:rPr>
          <w:rFonts w:hint="default" w:ascii="Times New Roman" w:hAnsi="Times New Roman" w:eastAsia="方正黑体_GBK" w:cs="Times New Roman"/>
          <w:b w:val="0"/>
          <w:bCs/>
          <w:i w:val="0"/>
          <w:strike w:val="0"/>
          <w:color w:val="000000"/>
          <w:sz w:val="32"/>
          <w:szCs w:val="32"/>
          <w:lang w:eastAsia="zh-CN"/>
        </w:rPr>
        <w:t>市级飞行检查定点医疗机构</w:t>
      </w:r>
      <w:r>
        <w:rPr>
          <w:rFonts w:hint="default" w:ascii="Times New Roman" w:hAnsi="Times New Roman" w:eastAsia="方正黑体_GBK" w:cs="Times New Roman"/>
          <w:b w:val="0"/>
          <w:bCs/>
          <w:i w:val="0"/>
          <w:strike w:val="0"/>
          <w:color w:val="000000"/>
          <w:sz w:val="32"/>
          <w:szCs w:val="32"/>
        </w:rPr>
        <w:t>典型问题项目清单</w:t>
      </w:r>
      <w:r>
        <w:rPr>
          <w:rFonts w:hint="eastAsia" w:ascii="Times New Roman" w:hAnsi="Times New Roman" w:eastAsia="方正黑体_GBK" w:cs="Times New Roman"/>
          <w:b w:val="0"/>
          <w:bCs/>
          <w:i w:val="0"/>
          <w:strike w:val="0"/>
          <w:color w:val="000000"/>
          <w:sz w:val="32"/>
          <w:szCs w:val="32"/>
          <w:lang w:eastAsia="zh-CN"/>
        </w:rPr>
        <w:t>（</w:t>
      </w:r>
      <w:r>
        <w:rPr>
          <w:rFonts w:hint="default" w:ascii="Times New Roman" w:hAnsi="Times New Roman" w:eastAsia="方正黑体_GBK" w:cs="Times New Roman"/>
          <w:b w:val="0"/>
          <w:bCs/>
          <w:i w:val="0"/>
          <w:strike w:val="0"/>
          <w:color w:val="000000"/>
          <w:sz w:val="32"/>
          <w:szCs w:val="32"/>
        </w:rPr>
        <w:t>第一批</w:t>
      </w:r>
      <w:r>
        <w:rPr>
          <w:rFonts w:hint="default" w:ascii="Times New Roman" w:hAnsi="Times New Roman" w:eastAsia="方正黑体_GBK" w:cs="Times New Roman"/>
          <w:b w:val="0"/>
          <w:bCs/>
          <w:i w:val="0"/>
          <w:strike w:val="0"/>
          <w:color w:val="000000"/>
          <w:sz w:val="32"/>
          <w:szCs w:val="32"/>
          <w:lang w:eastAsia="zh-CN"/>
        </w:rPr>
        <w:t>）</w:t>
      </w:r>
    </w:p>
    <w:tbl>
      <w:tblPr>
        <w:tblStyle w:val="6"/>
        <w:tblpPr w:leftFromText="180" w:rightFromText="180" w:vertAnchor="text" w:horzAnchor="page" w:tblpX="779" w:tblpY="233"/>
        <w:tblOverlap w:val="never"/>
        <w:tblW w:w="1057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88"/>
        <w:gridCol w:w="1556"/>
        <w:gridCol w:w="2550"/>
        <w:gridCol w:w="56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1556"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违规性质</w:t>
            </w:r>
          </w:p>
        </w:tc>
        <w:tc>
          <w:tcPr>
            <w:tcW w:w="2550"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违规行为</w:t>
            </w:r>
          </w:p>
        </w:tc>
        <w:tc>
          <w:tcPr>
            <w:tcW w:w="568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黑体_GBK" w:cs="Times New Roman"/>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83"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手功能训练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关节</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为单位进行收费</w:t>
            </w:r>
          </w:p>
        </w:tc>
        <w:tc>
          <w:tcPr>
            <w:tcW w:w="5681"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手功能训练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6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浅表器官彩色多普勒超声检查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乳腺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双侧乳腺同时检查计费超过一次</w:t>
            </w:r>
          </w:p>
        </w:tc>
        <w:tc>
          <w:tcPr>
            <w:tcW w:w="5681"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》规定：乳腺彩色多普勒超声检查项目内涵，依据临床需求检查单侧或双侧乳腺、副乳及其引流区淋巴结区域的检查……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6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导尿第一日同时收取留置导尿费用</w:t>
            </w:r>
          </w:p>
        </w:tc>
        <w:tc>
          <w:tcPr>
            <w:tcW w:w="5681"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导尿</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留置导尿</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第二日起收取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应按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2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80" w:lineRule="atLeast"/>
              <w:ind w:left="0" w:right="0"/>
              <w:jc w:val="both"/>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b w:val="0"/>
                <w:i w:val="0"/>
                <w:strike w:val="0"/>
                <w:color w:val="000000"/>
                <w:sz w:val="21"/>
                <w:szCs w:val="21"/>
              </w:rPr>
              <w:t>同一日相同抢救费用大于1次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转科抢救除外</w:t>
            </w:r>
            <w:r>
              <w:rPr>
                <w:rFonts w:hint="eastAsia" w:ascii="Times New Roman" w:hAnsi="Times New Roman" w:eastAsia="方正仿宋_GBK" w:cs="Times New Roman"/>
                <w:b w:val="0"/>
                <w:i w:val="0"/>
                <w:strike w:val="0"/>
                <w:color w:val="000000"/>
                <w:sz w:val="21"/>
                <w:szCs w:val="21"/>
                <w:lang w:eastAsia="zh-CN"/>
              </w:rPr>
              <w:t>）</w:t>
            </w:r>
          </w:p>
        </w:tc>
        <w:tc>
          <w:tcPr>
            <w:tcW w:w="5681"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抢救费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收费，同一日的相同抢救费数量不应超过1次。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35"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80" w:lineRule="atLeast"/>
              <w:ind w:left="0" w:right="0"/>
              <w:jc w:val="both"/>
              <w:textAlignment w:val="auto"/>
              <w:rPr>
                <w:rFonts w:hint="eastAsia" w:ascii="Times New Roman" w:hAnsi="Times New Roman" w:eastAsia="方正仿宋_GBK" w:cs="Times New Roman"/>
                <w:sz w:val="21"/>
                <w:szCs w:val="21"/>
                <w:lang w:eastAsia="zh-CN"/>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床位费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超住院床日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重症监护患者保留的普通床位费除外</w:t>
            </w:r>
            <w:r>
              <w:rPr>
                <w:rFonts w:hint="eastAsia" w:ascii="Times New Roman" w:hAnsi="Times New Roman" w:eastAsia="方正仿宋_GBK" w:cs="Times New Roman"/>
                <w:b w:val="0"/>
                <w:i w:val="0"/>
                <w:strike w:val="0"/>
                <w:color w:val="000000"/>
                <w:sz w:val="21"/>
                <w:szCs w:val="21"/>
                <w:lang w:eastAsia="zh-CN"/>
              </w:rPr>
              <w:t>）</w:t>
            </w:r>
          </w:p>
        </w:tc>
        <w:tc>
          <w:tcPr>
            <w:tcW w:w="5681"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床位费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0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6</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等级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护理费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超住院床日</w:t>
            </w:r>
          </w:p>
        </w:tc>
        <w:tc>
          <w:tcPr>
            <w:tcW w:w="5681"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根据《重庆市基本医疗保险医疗服务项目目录》规定：等级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护理费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56"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7</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80" w:lineRule="atLeast"/>
              <w:ind w:left="0" w:right="0"/>
              <w:jc w:val="both"/>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重症监护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时，大于12小时仍按小时收费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大于12小时、小于24小时按1日计费除外</w:t>
            </w:r>
            <w:r>
              <w:rPr>
                <w:rFonts w:hint="eastAsia" w:ascii="Times New Roman" w:hAnsi="Times New Roman" w:eastAsia="方正仿宋_GBK" w:cs="Times New Roman"/>
                <w:b w:val="0"/>
                <w:i w:val="0"/>
                <w:strike w:val="0"/>
                <w:color w:val="000000"/>
                <w:sz w:val="21"/>
                <w:szCs w:val="21"/>
                <w:lang w:eastAsia="zh-CN"/>
              </w:rPr>
              <w:t>）</w:t>
            </w:r>
          </w:p>
        </w:tc>
        <w:tc>
          <w:tcPr>
            <w:tcW w:w="5681"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重症监护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，重症监护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不足12小时按小时收取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8</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住院诊察费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超住院床日</w:t>
            </w:r>
          </w:p>
        </w:tc>
        <w:tc>
          <w:tcPr>
            <w:tcW w:w="5681"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住院诊察费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0"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9</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60" w:lineRule="atLeast"/>
              <w:ind w:left="0" w:right="0"/>
              <w:jc w:val="both"/>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氧气吸入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超住院床日</w:t>
            </w:r>
          </w:p>
        </w:tc>
        <w:tc>
          <w:tcPr>
            <w:tcW w:w="5681" w:type="dxa"/>
            <w:noWrap w:val="0"/>
            <w:vAlign w:val="center"/>
          </w:tcPr>
          <w:p>
            <w:pPr>
              <w:wordWrap/>
              <w:autoSpaceDE w:val="0"/>
              <w:autoSpaceDN w:val="0"/>
              <w:spacing w:before="2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氧气吸入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1556"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违规性质</w:t>
            </w:r>
          </w:p>
        </w:tc>
        <w:tc>
          <w:tcPr>
            <w:tcW w:w="2550" w:type="dxa"/>
            <w:noWrap w:val="0"/>
            <w:vAlign w:val="center"/>
          </w:tcPr>
          <w:p>
            <w:pPr>
              <w:wordWrap/>
              <w:autoSpaceDE w:val="0"/>
              <w:autoSpaceDN w:val="0"/>
              <w:spacing w:before="0" w:after="0" w:line="260" w:lineRule="atLeast"/>
              <w:ind w:left="0" w:leftChars="0" w:right="0" w:rightChars="0"/>
              <w:jc w:val="center"/>
              <w:textAlignment w:val="auto"/>
              <w:rPr>
                <w:rFonts w:hint="eastAsia" w:ascii="Times New Roman" w:hAnsi="Times New Roman" w:eastAsia="方正仿宋_GBK" w:cs="Times New Roman"/>
                <w:b w:val="0"/>
                <w:i w:val="0"/>
                <w:strike w:val="0"/>
                <w:color w:val="000000"/>
                <w:sz w:val="21"/>
                <w:szCs w:val="21"/>
                <w:lang w:eastAsia="zh-CN"/>
              </w:rPr>
            </w:pPr>
            <w:r>
              <w:rPr>
                <w:rFonts w:hint="default" w:ascii="Times New Roman" w:hAnsi="Times New Roman" w:eastAsia="方正黑体_GBK" w:cs="Times New Roman"/>
                <w:b w:val="0"/>
                <w:i w:val="0"/>
                <w:strike w:val="0"/>
                <w:color w:val="000000"/>
                <w:sz w:val="21"/>
                <w:szCs w:val="21"/>
              </w:rPr>
              <w:t>违规行为</w:t>
            </w:r>
          </w:p>
        </w:tc>
        <w:tc>
          <w:tcPr>
            <w:tcW w:w="5681"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81" w:hRule="atLeast"/>
        </w:trPr>
        <w:tc>
          <w:tcPr>
            <w:tcW w:w="788"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10</w:t>
            </w:r>
          </w:p>
        </w:tc>
        <w:tc>
          <w:tcPr>
            <w:tcW w:w="1556"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呼吸机吸痰护理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一日收费超过2次</w:t>
            </w:r>
          </w:p>
        </w:tc>
        <w:tc>
          <w:tcPr>
            <w:tcW w:w="5681"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呼吸机吸痰护理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每日收费不应超过2次。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11</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行换药时，收取与实际不相符的费用</w:t>
            </w:r>
          </w:p>
        </w:tc>
        <w:tc>
          <w:tcPr>
            <w:tcW w:w="5681"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2021</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40号文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特大换药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符合下列任一情况者：特殊感染伤口，缝合30针以上伤口拆线，多个褥疮感染，特殊部位伤口</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会阴、切口裂开、内脏、软组织及皮下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，纱布需50块以上者，大棉垫3块以上，渗出大于100毫升伤口等；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大换药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符合下列任一情况者：感染伤口，缝合11-30针伤口拆线，多个褥疮，皮瓣移植物伤口，大棉垫1-2块，渗出50-100毫升伤口等。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中换药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符合下列任一情况者：污染伤口，缝合3-10针伤口拆线，单个褥疮，深静脉置管伤口，有引流管的伤口。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12</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指脉氧监测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收费</w:t>
            </w:r>
          </w:p>
        </w:tc>
        <w:tc>
          <w:tcPr>
            <w:tcW w:w="5681"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指脉氧监测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计价单位为</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小时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13</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曾进行过介入检查已明确诊断，仅作为介入治疗前进行的常规检查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第二次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以及治疗后立即进行的复查时，也按检查费的全价收费。</w:t>
            </w:r>
          </w:p>
        </w:tc>
        <w:tc>
          <w:tcPr>
            <w:tcW w:w="5681"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根据《重庆市基本医疗保险医疗服务项目目录》规定：曾进行过介入检查已明确诊断，仅作为介入治疗前进行的常规检查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第二次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以及治疗后立即进行的复查，检查费按50%收取。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14</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气管切开护理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时，超住院天数收费</w:t>
            </w:r>
          </w:p>
        </w:tc>
        <w:tc>
          <w:tcPr>
            <w:tcW w:w="5681"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气管切开护理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按日收费。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15</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气管插管护理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时，超住院天数收费</w:t>
            </w:r>
          </w:p>
        </w:tc>
        <w:tc>
          <w:tcPr>
            <w:tcW w:w="5681"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气管插管护理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按日收费。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16</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机械辅助排痰</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时，每日收费超过2次</w:t>
            </w:r>
          </w:p>
        </w:tc>
        <w:tc>
          <w:tcPr>
            <w:tcW w:w="5681"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2021</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40号文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机械辅助排痰</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按次收费，每日不超过2次。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17</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持续膀胱冲洗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时，超住院天数收费</w:t>
            </w:r>
          </w:p>
        </w:tc>
        <w:tc>
          <w:tcPr>
            <w:tcW w:w="5681"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持续膀胱冲洗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按日收费。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18</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精神病护理超</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时，超住院天数收费</w:t>
            </w:r>
          </w:p>
        </w:tc>
        <w:tc>
          <w:tcPr>
            <w:tcW w:w="5681"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精神病护理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按日收费。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19</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抗精神病药物治疗监测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时，超住院天数收费</w:t>
            </w:r>
          </w:p>
        </w:tc>
        <w:tc>
          <w:tcPr>
            <w:tcW w:w="5681"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抗精神病药物治疗监测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按日收费。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20</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精神科监护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时，超住院天数收费</w:t>
            </w:r>
          </w:p>
        </w:tc>
        <w:tc>
          <w:tcPr>
            <w:tcW w:w="5681"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精神科监护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按日收费。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0" w:hRule="atLeast"/>
        </w:trPr>
        <w:tc>
          <w:tcPr>
            <w:tcW w:w="788"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21</w:t>
            </w:r>
          </w:p>
        </w:tc>
        <w:tc>
          <w:tcPr>
            <w:tcW w:w="1556"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255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行同一切口的两种及以上手术时，按手术全价收费</w:t>
            </w:r>
          </w:p>
        </w:tc>
        <w:tc>
          <w:tcPr>
            <w:tcW w:w="5681" w:type="dxa"/>
            <w:noWrap w:val="0"/>
            <w:vAlign w:val="center"/>
          </w:tcPr>
          <w:p>
            <w:pPr>
              <w:wordWrap/>
              <w:autoSpaceDE w:val="0"/>
              <w:autoSpaceDN w:val="0"/>
              <w:spacing w:before="20" w:after="0" w:line="24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2021</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40号文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规定：开展手术类治疗项目时，经同一切口</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入路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进行两种及以上手术时，主要手术项目按全价收取，次要手术项目分别按各级医疗机构收费标准的50%收取。</w:t>
            </w:r>
          </w:p>
        </w:tc>
      </w:tr>
    </w:tbl>
    <w:p>
      <w:pPr>
        <w:keepNext w:val="0"/>
        <w:keepLines w:val="0"/>
        <w:pageBreakBefore w:val="0"/>
        <w:widowControl w:val="0"/>
        <w:kinsoku/>
        <w:wordWrap/>
        <w:overflowPunct/>
        <w:topLinePunct w:val="0"/>
        <w:autoSpaceDE w:val="0"/>
        <w:autoSpaceDN w:val="0"/>
        <w:bidi w:val="0"/>
        <w:adjustRightInd/>
        <w:snapToGrid/>
        <w:spacing w:after="0" w:line="240" w:lineRule="exact"/>
        <w:ind w:right="0"/>
        <w:jc w:val="both"/>
        <w:textAlignment w:val="auto"/>
        <w:rPr>
          <w:rFonts w:hint="default" w:ascii="Times New Roman" w:hAnsi="Times New Roman" w:eastAsia="方正仿宋_GBK" w:cs="Times New Roman"/>
          <w:sz w:val="21"/>
          <w:szCs w:val="21"/>
        </w:rPr>
      </w:pPr>
    </w:p>
    <w:p>
      <w:pPr>
        <w:wordWrap/>
        <w:spacing w:before="1060" w:after="0" w:line="240" w:lineRule="exact"/>
        <w:ind w:left="0" w:right="0"/>
        <w:textAlignment w:val="auto"/>
        <w:rPr>
          <w:rFonts w:hint="default" w:ascii="Times New Roman" w:hAnsi="Times New Roman" w:eastAsia="方正仿宋_GBK" w:cs="Times New Roman"/>
          <w:sz w:val="21"/>
          <w:szCs w:val="21"/>
        </w:rPr>
      </w:pPr>
    </w:p>
    <w:tbl>
      <w:tblPr>
        <w:tblStyle w:val="6"/>
        <w:tblpPr w:leftFromText="180" w:rightFromText="180" w:vertAnchor="text" w:horzAnchor="page" w:tblpX="798" w:tblpY="151"/>
        <w:tblOverlap w:val="never"/>
        <w:tblW w:w="102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69"/>
        <w:gridCol w:w="1537"/>
        <w:gridCol w:w="3073"/>
        <w:gridCol w:w="4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70" w:hRule="atLeast"/>
        </w:trPr>
        <w:tc>
          <w:tcPr>
            <w:tcW w:w="769"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1537"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违规性质</w:t>
            </w:r>
          </w:p>
        </w:tc>
        <w:tc>
          <w:tcPr>
            <w:tcW w:w="307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违规行为</w:t>
            </w:r>
          </w:p>
        </w:tc>
        <w:tc>
          <w:tcPr>
            <w:tcW w:w="492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95" w:hRule="atLeast"/>
        </w:trPr>
        <w:tc>
          <w:tcPr>
            <w:tcW w:w="769"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22</w:t>
            </w:r>
          </w:p>
        </w:tc>
        <w:tc>
          <w:tcPr>
            <w:tcW w:w="1537"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073"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行同一开放性手术项目中两个以上切口的手术时，按手术全价收费</w:t>
            </w:r>
          </w:p>
        </w:tc>
        <w:tc>
          <w:tcPr>
            <w:tcW w:w="492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根据《重庆市基本医疗保险医疗服务项目目录》规定：开展手术类治疗项目时，同一开放性手术项目中两个以上切口的手术，应在该手术项目价格基础上加收70%。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920" w:hRule="atLeast"/>
        </w:trPr>
        <w:tc>
          <w:tcPr>
            <w:tcW w:w="769"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23</w:t>
            </w:r>
          </w:p>
        </w:tc>
        <w:tc>
          <w:tcPr>
            <w:tcW w:w="1537"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073" w:type="dxa"/>
            <w:noWrap w:val="0"/>
            <w:vAlign w:val="center"/>
          </w:tcPr>
          <w:p>
            <w:pPr>
              <w:wordWrap/>
              <w:autoSpaceDE w:val="0"/>
              <w:autoSpaceDN w:val="0"/>
              <w:spacing w:before="0" w:after="0" w:line="32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开展手术治疗项目同时进行两种麻醉时，辅助麻醉也按全价收费</w:t>
            </w:r>
          </w:p>
        </w:tc>
        <w:tc>
          <w:tcPr>
            <w:tcW w:w="492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开展手术治疗项目时，如因病情需要确需同时进行两种麻醉时，主要麻醉按全价收取，辅助麻醉应在该麻醉项目价格基础上，按各级医疗机构收费标准的50%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40" w:hRule="atLeast"/>
        </w:trPr>
        <w:tc>
          <w:tcPr>
            <w:tcW w:w="769"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24</w:t>
            </w:r>
          </w:p>
        </w:tc>
        <w:tc>
          <w:tcPr>
            <w:tcW w:w="1537"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超标准收费</w:t>
            </w:r>
          </w:p>
        </w:tc>
        <w:tc>
          <w:tcPr>
            <w:tcW w:w="3073" w:type="dxa"/>
            <w:noWrap w:val="0"/>
            <w:vAlign w:val="center"/>
          </w:tcPr>
          <w:p>
            <w:pPr>
              <w:wordWrap/>
              <w:autoSpaceDE w:val="0"/>
              <w:autoSpaceDN w:val="0"/>
              <w:spacing w:before="20" w:after="0" w:line="3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行多根血管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经血管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内外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介入治疗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时，均收取全价费用</w:t>
            </w:r>
          </w:p>
        </w:tc>
        <w:tc>
          <w:tcPr>
            <w:tcW w:w="492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根据《重庆市基本医疗保险医疗服务项目目录》规定：经血管介入治疗原则上以经一根血管的介入治疗为起点，每增加一根血管的治疗按该项目各级医疗机构收费标准的20%收取。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55" w:hRule="atLeast"/>
        </w:trPr>
        <w:tc>
          <w:tcPr>
            <w:tcW w:w="769"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25</w:t>
            </w:r>
          </w:p>
        </w:tc>
        <w:tc>
          <w:tcPr>
            <w:tcW w:w="1537"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3"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同台同一部位CT、磁共振平扫后同时进行增强扫描，同时收取CT、磁共振平扫和X线计算机体层增强扫描、磁共振增强成像的费用。</w:t>
            </w:r>
          </w:p>
        </w:tc>
        <w:tc>
          <w:tcPr>
            <w:tcW w:w="4920" w:type="dxa"/>
            <w:noWrap w:val="0"/>
            <w:vAlign w:val="center"/>
          </w:tcPr>
          <w:p>
            <w:pPr>
              <w:wordWrap/>
              <w:autoSpaceDE w:val="0"/>
              <w:autoSpaceDN w:val="0"/>
              <w:spacing w:before="0" w:after="0" w:line="320" w:lineRule="atLeast"/>
              <w:ind w:left="0" w:right="0"/>
              <w:jc w:val="both"/>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b w:val="0"/>
                <w:i w:val="0"/>
                <w:strike w:val="0"/>
                <w:color w:val="000000"/>
                <w:sz w:val="21"/>
                <w:szCs w:val="21"/>
              </w:rPr>
              <w:t>根据《重庆市基本医疗保险医疗服务项目目录》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渝医保发〔2021〕40号</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文件的相关规定：X线计算机体层</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CT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增强扫描、磁共振增强成像项目内涵中均含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扫描</w:t>
            </w:r>
            <w:r>
              <w:rPr>
                <w:rFonts w:hint="eastAsia" w:ascii="Times New Roman" w:hAnsi="Times New Roman" w:eastAsia="方正仿宋_GBK" w:cs="Times New Roman"/>
                <w:b w:val="0"/>
                <w:i w:val="0"/>
                <w:strike w:val="0"/>
                <w:color w:val="000000"/>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63" w:hRule="atLeast"/>
        </w:trPr>
        <w:tc>
          <w:tcPr>
            <w:tcW w:w="769"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26</w:t>
            </w:r>
          </w:p>
        </w:tc>
        <w:tc>
          <w:tcPr>
            <w:tcW w:w="1537"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3"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行骨髓涂片细胞学检验时，同时收取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骨髓涂片细胞学检验和骨髓有核细胞计数</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20" w:type="dxa"/>
            <w:noWrap w:val="0"/>
            <w:vAlign w:val="center"/>
          </w:tcPr>
          <w:p>
            <w:pPr>
              <w:wordWrap/>
              <w:autoSpaceDE w:val="0"/>
              <w:autoSpaceDN w:val="0"/>
              <w:spacing w:before="0" w:after="0" w:line="320" w:lineRule="atLeast"/>
              <w:ind w:left="0" w:right="0"/>
              <w:jc w:val="both"/>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骨髓涂片细胞学检验含骨髓增生程度判断、有核细胞分类计数、细胞形态学检验、特殊细胞、寄生虫检查</w:t>
            </w:r>
            <w:r>
              <w:rPr>
                <w:rFonts w:hint="eastAsia" w:ascii="Times New Roman" w:hAnsi="Times New Roman" w:eastAsia="方正仿宋_GBK" w:cs="Times New Roman"/>
                <w:b w:val="0"/>
                <w:i w:val="0"/>
                <w:strike w:val="0"/>
                <w:color w:val="000000"/>
                <w:sz w:val="21"/>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26" w:hRule="atLeast"/>
        </w:trPr>
        <w:tc>
          <w:tcPr>
            <w:tcW w:w="769"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27</w:t>
            </w:r>
          </w:p>
        </w:tc>
        <w:tc>
          <w:tcPr>
            <w:tcW w:w="1537"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3"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行睡眠呼吸监测时，同时收取心电、脑电、肌电、眼动、呼吸监测和血氧饱和度测定费用</w:t>
            </w:r>
          </w:p>
        </w:tc>
        <w:tc>
          <w:tcPr>
            <w:tcW w:w="4920" w:type="dxa"/>
            <w:noWrap w:val="0"/>
            <w:vAlign w:val="center"/>
          </w:tcPr>
          <w:p>
            <w:pPr>
              <w:wordWrap/>
              <w:autoSpaceDE w:val="0"/>
              <w:autoSpaceDN w:val="0"/>
              <w:spacing w:before="0" w:after="0" w:line="3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根据《重庆市基本医疗保险医疗服务项目目录》规定：睡眠呼吸监测含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心电、脑电、肌电、眼动、呼吸监测、血氧饱和度监测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65" w:hRule="atLeast"/>
        </w:trPr>
        <w:tc>
          <w:tcPr>
            <w:tcW w:w="769"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28</w:t>
            </w:r>
          </w:p>
        </w:tc>
        <w:tc>
          <w:tcPr>
            <w:tcW w:w="1537"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3"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行尿流动力学检查时，同时收取尿流率检测费用</w:t>
            </w:r>
          </w:p>
        </w:tc>
        <w:tc>
          <w:tcPr>
            <w:tcW w:w="4920" w:type="dxa"/>
            <w:noWrap w:val="0"/>
            <w:vAlign w:val="center"/>
          </w:tcPr>
          <w:p>
            <w:pPr>
              <w:wordWrap/>
              <w:autoSpaceDE w:val="0"/>
              <w:autoSpaceDN w:val="0"/>
              <w:spacing w:before="20" w:after="0" w:line="3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根据《重庆市基本医疗保险医疗服务项目目录》规定：尿流动力学检查含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膀胱测压、尿流率、尿道压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29" w:hRule="atLeast"/>
        </w:trPr>
        <w:tc>
          <w:tcPr>
            <w:tcW w:w="769"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29</w:t>
            </w:r>
          </w:p>
        </w:tc>
        <w:tc>
          <w:tcPr>
            <w:tcW w:w="1537"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经胃镜食管静脉曲张治疗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时，同时收取纤维胃十二指肠镜检查费用</w:t>
            </w:r>
          </w:p>
        </w:tc>
        <w:tc>
          <w:tcPr>
            <w:tcW w:w="4920" w:type="dxa"/>
            <w:noWrap w:val="0"/>
            <w:vAlign w:val="center"/>
          </w:tcPr>
          <w:p>
            <w:pPr>
              <w:wordWrap/>
              <w:autoSpaceDE w:val="0"/>
              <w:autoSpaceDN w:val="0"/>
              <w:spacing w:before="20" w:after="0" w:line="32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根据《重庆市基本医疗保险医疗服务项目目录》规定：经胃镜食管静脉曲张治疗含胃镜检查。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769" w:type="dxa"/>
            <w:noWrap w:val="0"/>
            <w:vAlign w:val="center"/>
          </w:tcPr>
          <w:p>
            <w:pPr>
              <w:wordWrap/>
              <w:autoSpaceDE w:val="0"/>
              <w:autoSpaceDN w:val="0"/>
              <w:spacing w:before="0" w:after="0" w:line="28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30</w:t>
            </w:r>
          </w:p>
        </w:tc>
        <w:tc>
          <w:tcPr>
            <w:tcW w:w="1537"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073"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神经传导速度测定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时，同时收取感觉神经与运动神经传导速度费用</w:t>
            </w:r>
          </w:p>
        </w:tc>
        <w:tc>
          <w:tcPr>
            <w:tcW w:w="492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神经传导速度测定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感觉神经与运动神经传导速度</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bl>
    <w:tbl>
      <w:tblPr>
        <w:tblStyle w:val="6"/>
        <w:tblpPr w:leftFromText="180" w:rightFromText="180" w:vertAnchor="text" w:horzAnchor="page" w:tblpX="817" w:tblpY="175"/>
        <w:tblOverlap w:val="never"/>
        <w:tblW w:w="1029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50"/>
        <w:gridCol w:w="1556"/>
        <w:gridCol w:w="3075"/>
        <w:gridCol w:w="49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4"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1556"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违规性质</w:t>
            </w:r>
          </w:p>
        </w:tc>
        <w:tc>
          <w:tcPr>
            <w:tcW w:w="3075"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违规行为</w:t>
            </w:r>
          </w:p>
        </w:tc>
        <w:tc>
          <w:tcPr>
            <w:tcW w:w="491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4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31</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eastAsia" w:ascii="Times New Roman" w:hAnsi="Times New Roman" w:eastAsia="方正仿宋_GBK" w:cs="Times New Roman"/>
                <w:sz w:val="21"/>
                <w:szCs w:val="21"/>
                <w:lang w:eastAsia="zh-CN"/>
              </w:rPr>
            </w:pPr>
            <w:r>
              <w:rPr>
                <w:rFonts w:hint="default" w:ascii="Times New Roman" w:hAnsi="Times New Roman" w:eastAsia="方正仿宋_GBK" w:cs="Times New Roman"/>
                <w:b w:val="0"/>
                <w:i w:val="0"/>
                <w:strike w:val="0"/>
                <w:color w:val="000000"/>
                <w:sz w:val="21"/>
                <w:szCs w:val="21"/>
              </w:rPr>
              <w:t>对新生儿行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新生儿护理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时，同时收取等级护理费用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涉及新生儿或婴儿疾病治疗的情况除外</w:t>
            </w:r>
            <w:r>
              <w:rPr>
                <w:rFonts w:hint="eastAsia" w:ascii="Times New Roman" w:hAnsi="Times New Roman" w:eastAsia="方正仿宋_GBK" w:cs="Times New Roman"/>
                <w:b w:val="0"/>
                <w:i w:val="0"/>
                <w:strike w:val="0"/>
                <w:color w:val="000000"/>
                <w:sz w:val="21"/>
                <w:szCs w:val="21"/>
                <w:lang w:eastAsia="zh-CN"/>
              </w:rPr>
              <w:t>）</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根据《重庆市基本医疗保险医疗服务项目目录》规定：进行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新生儿护理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时，不应同时收取等级护理的费用。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2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32</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使用静脉留置针行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静脉输液</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静脉穿刺置管术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根据《重庆市基本医疗保险医疗服务项目目录》规定：使用</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静脉留置针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进行外周静脉输液时，不应收取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静脉穿刺置管术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4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33</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行动静脉留置针冲封管操作时，按照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动静脉置管护理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15"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34</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特殊疾病护理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又同时收取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Ⅰ级护理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13"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根据《重庆市基本医疗保险医疗服务项目目录》规定：特殊疾病护理含严格消毒隔离及Ⅰ级护理内容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4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35</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连续性血液净化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时，同时收取血液滤过费用</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连续性血液净化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含连续性血液透析滤过。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2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36</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肺循环血流动力学检测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同时又收取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心输出量测定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13"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根据《重庆市基本医疗保险医疗服务项目目录》规定：肺循环血流动力学检测含心输出量测定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4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37</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连续性血液净化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时，同时收取透析液费用</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连续性血液净化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含透析液。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4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38</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宫腔镜检查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时，同时收取子宫内膜活检术、宫颈活检术等费用</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宫腔镜检查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含活检。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40"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39</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急诊监护</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时，同时收取监护、床位、诊查、护理等费用</w:t>
            </w:r>
          </w:p>
        </w:tc>
        <w:tc>
          <w:tcPr>
            <w:tcW w:w="491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急诊监护费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含监护、床位、诊查、护理。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031" w:hRule="atLeast"/>
        </w:trPr>
        <w:tc>
          <w:tcPr>
            <w:tcW w:w="750" w:type="dxa"/>
            <w:noWrap w:val="0"/>
            <w:vAlign w:val="center"/>
          </w:tcPr>
          <w:p>
            <w:pPr>
              <w:wordWrap/>
              <w:autoSpaceDE w:val="0"/>
              <w:autoSpaceDN w:val="0"/>
              <w:spacing w:before="0" w:after="0" w:line="28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40</w:t>
            </w:r>
          </w:p>
        </w:tc>
        <w:tc>
          <w:tcPr>
            <w:tcW w:w="1556"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上鼓室鼓窦凿</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经耳内镜鼓室探查术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1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上鼓室鼓窦凿开术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含鼓室探查术。</w:t>
            </w:r>
          </w:p>
        </w:tc>
      </w:tr>
    </w:tbl>
    <w:tbl>
      <w:tblPr>
        <w:tblStyle w:val="6"/>
        <w:tblpPr w:leftFromText="180" w:rightFromText="180" w:vertAnchor="text" w:horzAnchor="page" w:tblpX="836" w:tblpY="116"/>
        <w:tblOverlap w:val="never"/>
        <w:tblW w:w="1029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31"/>
        <w:gridCol w:w="1575"/>
        <w:gridCol w:w="3087"/>
        <w:gridCol w:w="4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6" w:hRule="atLeast"/>
        </w:trPr>
        <w:tc>
          <w:tcPr>
            <w:tcW w:w="731"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1575"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违规性质</w:t>
            </w:r>
          </w:p>
        </w:tc>
        <w:tc>
          <w:tcPr>
            <w:tcW w:w="3087"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违规行为</w:t>
            </w:r>
          </w:p>
        </w:tc>
        <w:tc>
          <w:tcPr>
            <w:tcW w:w="490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40" w:hRule="atLeast"/>
        </w:trPr>
        <w:tc>
          <w:tcPr>
            <w:tcW w:w="731"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41</w:t>
            </w:r>
          </w:p>
        </w:tc>
        <w:tc>
          <w:tcPr>
            <w:tcW w:w="1575"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全身麻醉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吸痰护理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0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》全身麻醉项目内涵：入手术室后连接基本生命体征监测，开放静脉，麻醉面罩通气预充给氧，全麻诱导，建立呼吸通道，实施气道管理。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86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42</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经皮冠状动脉内支架置入术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STENT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经皮冠状动脉腔内成形术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PTCA</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0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经皮冠状动脉内支架置入术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STENT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含为放置冠脉内支架而进行的球囊预扩张和支架打开后的支架内球囊高压扩张及术前的靶血管造影。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2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43</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经血管介入治疗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时，同时收取局麻、监护费用</w:t>
            </w:r>
          </w:p>
        </w:tc>
        <w:tc>
          <w:tcPr>
            <w:tcW w:w="490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经血管介入治疗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含局麻、监护。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4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44</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乳腺癌根治术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时，同时收取同侧乳腺肿物切除术费用</w:t>
            </w:r>
          </w:p>
        </w:tc>
        <w:tc>
          <w:tcPr>
            <w:tcW w:w="4900"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乳腺癌根治术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项目内涵：切口设计，麻醉，大梭形切口切开皮肤，皮瓣游离，全部乳房及胸肌切除，清扫腋窝淋巴结，保护神经血管，能量设备止血，置管引出固定，缝合切口。</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2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45</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刮宫术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宫颈扩张术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宫颈内口探查术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00"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刮宫术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时，宫颈扩张或者宫颈内口探查为必经步骤。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4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46</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人工流产术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宫颈扩张术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00"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人工流产术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时，宫颈扩张为必经步骤。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4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47</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泪道冲洗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泪小点扩张</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90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泪道冲洗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泪小点扩张</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为必经步骤。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4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48</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内镜治疗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时，同时收取内镜检查费用</w:t>
            </w:r>
          </w:p>
        </w:tc>
        <w:tc>
          <w:tcPr>
            <w:tcW w:w="490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根据《全国医疗服务项目技术规范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2023版</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》，行内镜治疗时，内镜检查为必经步骤。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40" w:hRule="atLeast"/>
        </w:trPr>
        <w:tc>
          <w:tcPr>
            <w:tcW w:w="731"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49</w:t>
            </w:r>
          </w:p>
        </w:tc>
        <w:tc>
          <w:tcPr>
            <w:tcW w:w="1575" w:type="dxa"/>
            <w:noWrap w:val="0"/>
            <w:vAlign w:val="center"/>
          </w:tcPr>
          <w:p>
            <w:pPr>
              <w:wordWrap/>
              <w:autoSpaceDE w:val="0"/>
              <w:autoSpaceDN w:val="0"/>
              <w:spacing w:before="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87"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行项目名称已注明显微镜、各类腔镜</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内窥镜</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等内容的手术时，同时收取各种腔镜加收费用</w:t>
            </w:r>
          </w:p>
        </w:tc>
        <w:tc>
          <w:tcPr>
            <w:tcW w:w="4900"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根据《重庆市基本医疗保险医疗服务项目目录》规定：项目名称已注明显微镜、各类腔镜</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内窥镜</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等内容，不加收相应设备操作费用。</w:t>
            </w:r>
          </w:p>
        </w:tc>
      </w:tr>
    </w:tbl>
    <w:tbl>
      <w:tblPr>
        <w:tblStyle w:val="6"/>
        <w:tblpPr w:leftFromText="180" w:rightFromText="180" w:vertAnchor="text" w:horzAnchor="page" w:tblpX="854" w:tblpY="174"/>
        <w:tblOverlap w:val="never"/>
        <w:tblW w:w="1027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13"/>
        <w:gridCol w:w="1594"/>
        <w:gridCol w:w="3075"/>
        <w:gridCol w:w="48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70" w:hRule="atLeast"/>
        </w:trPr>
        <w:tc>
          <w:tcPr>
            <w:tcW w:w="71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1594"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违规性质</w:t>
            </w:r>
          </w:p>
        </w:tc>
        <w:tc>
          <w:tcPr>
            <w:tcW w:w="3075"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违规行为</w:t>
            </w:r>
          </w:p>
        </w:tc>
        <w:tc>
          <w:tcPr>
            <w:tcW w:w="489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21" w:hRule="atLeast"/>
        </w:trPr>
        <w:tc>
          <w:tcPr>
            <w:tcW w:w="71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50</w:t>
            </w:r>
          </w:p>
        </w:tc>
        <w:tc>
          <w:tcPr>
            <w:tcW w:w="1594"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行后路腰椎间盘镜椎间盘髓核摘除术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MED</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时,同时收取脊柱骨关节手术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使用椎间盘镜加收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893"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根据《重庆市基本医疗保险医疗服务项目目录》规定：项目名称已注明显微镜、各类腔镜</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内窥镜</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等内容，不加收相应设备操作费用。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156"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51</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重复收费</w:t>
            </w:r>
          </w:p>
        </w:tc>
        <w:tc>
          <w:tcPr>
            <w:tcW w:w="3075"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静脉输液</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时，同时收取一次性输液器、过滤器、一次性使用配药注射器等费用</w:t>
            </w:r>
          </w:p>
        </w:tc>
        <w:tc>
          <w:tcPr>
            <w:tcW w:w="48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根据《重庆市基本医疗保险医疗服务项目目录》规定：静脉输液含：用药指导与观察、药物的配置；含一次性输液器、过滤器、采血器。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4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52</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特殊脑电图</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动态脑电图</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8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22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53</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血透监测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血压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动态血压监测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8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0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54</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一般物理降温</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特殊物理性降</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温</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8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8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55</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行红光照射、蓝光照射等可见光治疗时，按照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激光疗法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893"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38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56</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术中使用射频进行止血操作时，收取</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射频热凝术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w:t>
            </w:r>
          </w:p>
        </w:tc>
        <w:tc>
          <w:tcPr>
            <w:tcW w:w="48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2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57</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行鼻饲时，按照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肠内高营养治疗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893"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40" w:hRule="atLeast"/>
        </w:trPr>
        <w:tc>
          <w:tcPr>
            <w:tcW w:w="713"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58</w:t>
            </w:r>
          </w:p>
        </w:tc>
        <w:tc>
          <w:tcPr>
            <w:tcW w:w="1594"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075" w:type="dxa"/>
            <w:noWrap w:val="0"/>
            <w:vAlign w:val="center"/>
          </w:tcPr>
          <w:p>
            <w:pPr>
              <w:wordWrap/>
              <w:autoSpaceDE w:val="0"/>
              <w:autoSpaceDN w:val="0"/>
              <w:spacing w:before="20" w:after="0" w:line="26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药物基因检测</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时，按照相关基因检测进行收费，如</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印迹杂交技术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原位杂交技术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w:t>
            </w:r>
          </w:p>
        </w:tc>
        <w:tc>
          <w:tcPr>
            <w:tcW w:w="4893" w:type="dxa"/>
            <w:noWrap w:val="0"/>
            <w:vAlign w:val="center"/>
          </w:tcPr>
          <w:p>
            <w:pPr>
              <w:wordWrap/>
              <w:autoSpaceDE w:val="0"/>
              <w:autoSpaceDN w:val="0"/>
              <w:spacing w:before="0" w:after="0" w:line="24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bl>
    <w:p>
      <w:pPr>
        <w:wordWrap/>
        <w:autoSpaceDE w:val="0"/>
        <w:autoSpaceDN w:val="0"/>
        <w:spacing w:before="1240" w:after="0" w:line="260" w:lineRule="atLeast"/>
        <w:ind w:right="0"/>
        <w:jc w:val="both"/>
        <w:textAlignment w:val="auto"/>
        <w:rPr>
          <w:rFonts w:hint="default" w:ascii="Times New Roman" w:hAnsi="Times New Roman" w:eastAsia="方正仿宋_GBK" w:cs="Times New Roman"/>
          <w:sz w:val="21"/>
          <w:szCs w:val="21"/>
        </w:rPr>
      </w:pPr>
    </w:p>
    <w:tbl>
      <w:tblPr>
        <w:tblStyle w:val="6"/>
        <w:tblpPr w:leftFromText="180" w:rightFromText="180" w:vertAnchor="text" w:horzAnchor="page" w:tblpX="836" w:tblpY="171"/>
        <w:tblOverlap w:val="never"/>
        <w:tblW w:w="1041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50"/>
        <w:gridCol w:w="1593"/>
        <w:gridCol w:w="3150"/>
        <w:gridCol w:w="492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21"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序号</w:t>
            </w:r>
          </w:p>
        </w:tc>
        <w:tc>
          <w:tcPr>
            <w:tcW w:w="159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违规性质</w:t>
            </w:r>
          </w:p>
        </w:tc>
        <w:tc>
          <w:tcPr>
            <w:tcW w:w="31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违规行为</w:t>
            </w:r>
          </w:p>
        </w:tc>
        <w:tc>
          <w:tcPr>
            <w:tcW w:w="492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426"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59</w:t>
            </w:r>
          </w:p>
        </w:tc>
        <w:tc>
          <w:tcPr>
            <w:tcW w:w="1593"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15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用普通艾条行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灸法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雷火灸</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92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52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60</w:t>
            </w:r>
          </w:p>
        </w:tc>
        <w:tc>
          <w:tcPr>
            <w:tcW w:w="1593" w:type="dxa"/>
            <w:noWrap w:val="0"/>
            <w:vAlign w:val="center"/>
          </w:tcPr>
          <w:p>
            <w:pPr>
              <w:wordWrap/>
              <w:autoSpaceDE w:val="0"/>
              <w:autoSpaceDN w:val="0"/>
              <w:spacing w:before="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串换诊疗项目</w:t>
            </w:r>
          </w:p>
        </w:tc>
        <w:tc>
          <w:tcPr>
            <w:tcW w:w="315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行微波治疗时，按照</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深部热疗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进行收费</w:t>
            </w:r>
          </w:p>
        </w:tc>
        <w:tc>
          <w:tcPr>
            <w:tcW w:w="492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根据《重庆市医疗保障协议医疗机构医疗服务协议》相关规定：乙方对参保人员实际提供的医疗服务应与参保人员本次就医的疾病诊断、医嘱、处方等记录相吻合。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008"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61</w:t>
            </w:r>
          </w:p>
        </w:tc>
        <w:tc>
          <w:tcPr>
            <w:tcW w:w="1593"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对</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运动疗法、偏瘫肢体综合训练、脑瘫肢体综合训练、截瘫肢体综合训练、作业疗法、认知知觉功能障碍训练、言语训练、吞咽功能障碍训练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等8项以外的康复项目按</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日常生活能力评定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纳入医保报销。</w:t>
            </w:r>
          </w:p>
        </w:tc>
        <w:tc>
          <w:tcPr>
            <w:tcW w:w="492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日常生活能力评定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限运动疗法、偏瘫肢体综合训练、脑瘫肢体综合训练、截瘫肢体综合训练、作业疗法、认知知觉功能障碍训练、言语训练、吞咽功能障碍训练在具体实施中涉及的日常生活能力评定。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73" w:hRule="atLeast"/>
        </w:trPr>
        <w:tc>
          <w:tcPr>
            <w:tcW w:w="750"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62</w:t>
            </w:r>
          </w:p>
        </w:tc>
        <w:tc>
          <w:tcPr>
            <w:tcW w:w="15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对非内眼手术及角膜病病人行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角膜内皮镜检查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并纳入医保报销</w:t>
            </w:r>
          </w:p>
        </w:tc>
        <w:tc>
          <w:tcPr>
            <w:tcW w:w="4920"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根据《重庆市医疗保障局关于进一步调整和优化我市部分医疗服务项目》医保支付相关规定的通知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渝医保发〔2024〕7号文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角膜内皮镜检查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限内眼手术及角膜病。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99" w:hRule="atLeast"/>
        </w:trPr>
        <w:tc>
          <w:tcPr>
            <w:tcW w:w="750"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63</w:t>
            </w:r>
          </w:p>
        </w:tc>
        <w:tc>
          <w:tcPr>
            <w:tcW w:w="1593"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对非内眼手术及角膜病患者行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角膜内皮镜检查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录相记录加收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并纳入医保报销</w:t>
            </w:r>
          </w:p>
        </w:tc>
        <w:tc>
          <w:tcPr>
            <w:tcW w:w="492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根据《重庆市医疗保障局关于进一步调整和优化我市部分医疗服务项目》医保支付相关规定的通知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渝医保发〔2024〕7号文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角膜内皮镜检查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录相记录加收</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限内眼手术及角膜病。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50" w:type="dxa"/>
            <w:noWrap w:val="0"/>
            <w:vAlign w:val="center"/>
          </w:tcPr>
          <w:p>
            <w:pPr>
              <w:wordWrap/>
              <w:autoSpaceDE w:val="0"/>
              <w:autoSpaceDN w:val="0"/>
              <w:spacing w:before="0" w:after="0" w:line="260" w:lineRule="atLeast"/>
              <w:ind w:left="0" w:right="0"/>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64</w:t>
            </w:r>
          </w:p>
        </w:tc>
        <w:tc>
          <w:tcPr>
            <w:tcW w:w="1593" w:type="dxa"/>
            <w:noWrap w:val="0"/>
            <w:vAlign w:val="center"/>
          </w:tcPr>
          <w:p>
            <w:pPr>
              <w:wordWrap/>
              <w:autoSpaceDE w:val="0"/>
              <w:autoSpaceDN w:val="0"/>
              <w:spacing w:before="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对非强迫障碍患者行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厌恶治疗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并纳入医保报销</w:t>
            </w:r>
          </w:p>
        </w:tc>
        <w:tc>
          <w:tcPr>
            <w:tcW w:w="4920" w:type="dxa"/>
            <w:noWrap w:val="0"/>
            <w:vAlign w:val="center"/>
          </w:tcPr>
          <w:p>
            <w:pPr>
              <w:wordWrap/>
              <w:autoSpaceDE w:val="0"/>
              <w:autoSpaceDN w:val="0"/>
              <w:spacing w:before="20" w:after="0" w:line="280" w:lineRule="atLeast"/>
              <w:ind w:left="0" w:right="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b w:val="0"/>
                <w:i w:val="0"/>
                <w:strike w:val="0"/>
                <w:color w:val="000000"/>
                <w:sz w:val="21"/>
                <w:szCs w:val="21"/>
              </w:rPr>
              <w:t>根据《重庆市医疗保障局关于进一步调整和优化我市部分医疗服务项目》医保支付相关规定的通知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渝医保发〔2024〕7号文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厌恶治疗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限强迫障碍。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792"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65</w:t>
            </w:r>
          </w:p>
        </w:tc>
        <w:tc>
          <w:tcPr>
            <w:tcW w:w="1593"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对非眼部肿瘤及眼外伤手术病人行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眼窝再造术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并纳入医保报销</w:t>
            </w:r>
          </w:p>
        </w:tc>
        <w:tc>
          <w:tcPr>
            <w:tcW w:w="492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根据《重庆市医疗保障局关于进一步调整和优化我市部分医疗服务项目》医保支付相关规定的通知</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渝医保发〔2024〕7号文</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眼窝再造术</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限眼部肿瘤、眼外伤手术。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9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序号</w:t>
            </w:r>
          </w:p>
        </w:tc>
        <w:tc>
          <w:tcPr>
            <w:tcW w:w="1593"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违规性质</w:t>
            </w:r>
          </w:p>
        </w:tc>
        <w:tc>
          <w:tcPr>
            <w:tcW w:w="31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违规行为</w:t>
            </w:r>
          </w:p>
        </w:tc>
        <w:tc>
          <w:tcPr>
            <w:tcW w:w="492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rPr>
              <w:t>判定依据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66</w:t>
            </w:r>
          </w:p>
        </w:tc>
        <w:tc>
          <w:tcPr>
            <w:tcW w:w="1593"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20" w:after="0" w:line="280" w:lineRule="atLeast"/>
              <w:ind w:left="0" w:leftChars="0" w:right="0" w:rightChars="0"/>
              <w:jc w:val="both"/>
              <w:textAlignment w:val="auto"/>
              <w:rPr>
                <w:rFonts w:hint="eastAsia" w:ascii="Times New Roman" w:hAnsi="Times New Roman" w:eastAsia="方正仿宋_GBK" w:cs="Times New Roman"/>
                <w:b w:val="0"/>
                <w:i w:val="0"/>
                <w:strike w:val="0"/>
                <w:color w:val="000000"/>
                <w:sz w:val="21"/>
                <w:szCs w:val="21"/>
                <w:lang w:eastAsia="zh-CN"/>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日常生活能力评定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费用一次疾病过程纳入医保报销超过4次</w:t>
            </w:r>
          </w:p>
        </w:tc>
        <w:tc>
          <w:tcPr>
            <w:tcW w:w="492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日常生活能力评定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，1疾病过程不支付超过4次。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67</w:t>
            </w:r>
          </w:p>
        </w:tc>
        <w:tc>
          <w:tcPr>
            <w:tcW w:w="1593"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偏瘫肢体综合训练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同时将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纳入医保报销，或行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同时将</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偏瘫肢体综合训练</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纳入医保报销</w:t>
            </w:r>
          </w:p>
        </w:tc>
        <w:tc>
          <w:tcPr>
            <w:tcW w:w="492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限器质性病变导致的肌力、关节活动强度和平衡功能障碍的患者，与偏瘫、脑瘫或截瘫肢体综合训练同时只支付其中1项。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68</w:t>
            </w:r>
          </w:p>
        </w:tc>
        <w:tc>
          <w:tcPr>
            <w:tcW w:w="1593"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1个疾病过程纳入医保报销超过3个月</w:t>
            </w:r>
          </w:p>
        </w:tc>
        <w:tc>
          <w:tcPr>
            <w:tcW w:w="492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限器质性病变导致的肌力、关节活动强度和平衡功能障碍的患者，1个疾病过程支付不超过3个月。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69</w:t>
            </w:r>
          </w:p>
        </w:tc>
        <w:tc>
          <w:tcPr>
            <w:tcW w:w="1593"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每日纳入医保报销超过2次</w:t>
            </w:r>
          </w:p>
        </w:tc>
        <w:tc>
          <w:tcPr>
            <w:tcW w:w="4920" w:type="dxa"/>
            <w:noWrap w:val="0"/>
            <w:vAlign w:val="center"/>
          </w:tcPr>
          <w:p>
            <w:pPr>
              <w:wordWrap/>
              <w:autoSpaceDE w:val="0"/>
              <w:autoSpaceDN w:val="0"/>
              <w:spacing w:before="20" w:after="0" w:line="28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运动疗法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限器质性病变导致的肌力、关节活动强度和平衡功能障碍的患者，每日支付不超过2次</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包括项目合并计算</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1680" w:hRule="atLeast"/>
        </w:trPr>
        <w:tc>
          <w:tcPr>
            <w:tcW w:w="750" w:type="dxa"/>
            <w:noWrap w:val="0"/>
            <w:vAlign w:val="center"/>
          </w:tcPr>
          <w:p>
            <w:pPr>
              <w:wordWrap/>
              <w:autoSpaceDE w:val="0"/>
              <w:autoSpaceDN w:val="0"/>
              <w:spacing w:before="0" w:after="0" w:line="260" w:lineRule="atLeast"/>
              <w:ind w:left="0" w:leftChars="0" w:right="0" w:rightChars="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70</w:t>
            </w:r>
          </w:p>
        </w:tc>
        <w:tc>
          <w:tcPr>
            <w:tcW w:w="1593" w:type="dxa"/>
            <w:noWrap w:val="0"/>
            <w:vAlign w:val="center"/>
          </w:tcPr>
          <w:p>
            <w:pPr>
              <w:wordWrap/>
              <w:autoSpaceDE w:val="0"/>
              <w:autoSpaceDN w:val="0"/>
              <w:spacing w:before="20" w:after="0" w:line="26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将不属于医疗保障基金支付范围的医药费用纳入医疗保障基金结算</w:t>
            </w:r>
          </w:p>
        </w:tc>
        <w:tc>
          <w:tcPr>
            <w:tcW w:w="3150" w:type="dxa"/>
            <w:noWrap w:val="0"/>
            <w:vAlign w:val="center"/>
          </w:tcPr>
          <w:p>
            <w:pPr>
              <w:wordWrap/>
              <w:autoSpaceDE w:val="0"/>
              <w:autoSpaceDN w:val="0"/>
              <w:spacing w:before="20" w:after="0" w:line="260" w:lineRule="atLeast"/>
              <w:ind w:left="0" w:leftChars="0" w:right="0" w:rightChars="0"/>
              <w:jc w:val="both"/>
              <w:textAlignment w:val="auto"/>
              <w:rPr>
                <w:rFonts w:hint="eastAsia" w:ascii="Times New Roman" w:hAnsi="Times New Roman" w:eastAsia="方正仿宋_GBK" w:cs="Times New Roman"/>
                <w:b w:val="0"/>
                <w:i w:val="0"/>
                <w:strike w:val="0"/>
                <w:color w:val="000000"/>
                <w:sz w:val="21"/>
                <w:szCs w:val="21"/>
                <w:lang w:eastAsia="zh-CN"/>
              </w:rPr>
            </w:pPr>
            <w:r>
              <w:rPr>
                <w:rFonts w:hint="default" w:ascii="Times New Roman" w:hAnsi="Times New Roman" w:eastAsia="方正仿宋_GBK" w:cs="Times New Roman"/>
                <w:b w:val="0"/>
                <w:i w:val="0"/>
                <w:strike w:val="0"/>
                <w:color w:val="000000"/>
                <w:sz w:val="21"/>
                <w:szCs w:val="21"/>
              </w:rPr>
              <w:t>行</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作业疗法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时，一个疾病过程纳入医报销超过3个月或每日纳入医保报销超过1次</w:t>
            </w:r>
          </w:p>
        </w:tc>
        <w:tc>
          <w:tcPr>
            <w:tcW w:w="4920" w:type="dxa"/>
            <w:noWrap w:val="0"/>
            <w:vAlign w:val="center"/>
          </w:tcPr>
          <w:p>
            <w:pPr>
              <w:wordWrap/>
              <w:autoSpaceDE w:val="0"/>
              <w:autoSpaceDN w:val="0"/>
              <w:spacing w:before="20" w:after="0" w:line="300" w:lineRule="atLeast"/>
              <w:ind w:left="0" w:leftChars="0" w:right="0" w:rightChars="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rPr>
              <w:t>根据《重庆市基本医疗保险医疗服务项目目录》规定：</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作业疗法</w:t>
            </w:r>
            <w:r>
              <w:rPr>
                <w:rFonts w:hint="eastAsia" w:ascii="Times New Roman" w:hAnsi="Times New Roman" w:eastAsia="方正仿宋_GBK" w:cs="Times New Roman"/>
                <w:b w:val="0"/>
                <w:i w:val="0"/>
                <w:strike w:val="0"/>
                <w:color w:val="000000"/>
                <w:sz w:val="21"/>
                <w:szCs w:val="21"/>
                <w:lang w:eastAsia="zh-CN"/>
              </w:rPr>
              <w:t>”</w:t>
            </w:r>
            <w:r>
              <w:rPr>
                <w:rFonts w:hint="default" w:ascii="Times New Roman" w:hAnsi="Times New Roman" w:eastAsia="方正仿宋_GBK" w:cs="Times New Roman"/>
                <w:b w:val="0"/>
                <w:i w:val="0"/>
                <w:strike w:val="0"/>
                <w:color w:val="000000"/>
                <w:sz w:val="21"/>
                <w:szCs w:val="21"/>
              </w:rPr>
              <w:t>限器质性病变导致的生活、工作能力障碍。一个疾病过程支付不超过3个月；每日支付不超过1次。</w:t>
            </w:r>
          </w:p>
        </w:tc>
      </w:tr>
    </w:tbl>
    <w:p>
      <w:pPr>
        <w:numPr>
          <w:ilvl w:val="0"/>
          <w:numId w:val="0"/>
        </w:numPr>
        <w:ind w:firstLine="640" w:firstLineChars="200"/>
        <w:rPr>
          <w:rFonts w:hint="default" w:ascii="Times New Roman" w:hAnsi="Times New Roman" w:eastAsia="方正黑体_GBK" w:cs="Times New Roman"/>
          <w:b w:val="0"/>
          <w:bCs/>
          <w:sz w:val="21"/>
          <w:szCs w:val="21"/>
          <w:lang w:eastAsia="zh-CN"/>
        </w:rPr>
      </w:pPr>
      <w:r>
        <w:rPr>
          <w:rFonts w:hint="default" w:ascii="Times New Roman" w:hAnsi="Times New Roman" w:eastAsia="方正黑体_GBK" w:cs="Times New Roman"/>
          <w:b w:val="0"/>
          <w:bCs/>
          <w:i w:val="0"/>
          <w:strike w:val="0"/>
          <w:color w:val="000000"/>
          <w:sz w:val="32"/>
          <w:szCs w:val="32"/>
          <w:lang w:eastAsia="zh-CN"/>
        </w:rPr>
        <w:t>三</w:t>
      </w:r>
      <w:r>
        <w:rPr>
          <w:rFonts w:hint="default" w:ascii="Times New Roman" w:hAnsi="Times New Roman" w:eastAsia="方正黑体_GBK" w:cs="Times New Roman"/>
          <w:b w:val="0"/>
          <w:bCs/>
          <w:i w:val="0"/>
          <w:strike w:val="0"/>
          <w:color w:val="000000"/>
          <w:sz w:val="32"/>
          <w:szCs w:val="32"/>
        </w:rPr>
        <w:t>、</w:t>
      </w:r>
      <w:r>
        <w:rPr>
          <w:rFonts w:hint="default" w:ascii="Times New Roman" w:hAnsi="Times New Roman" w:eastAsia="方正黑体_GBK" w:cs="Times New Roman"/>
          <w:b w:val="0"/>
          <w:bCs/>
          <w:i w:val="0"/>
          <w:strike w:val="0"/>
          <w:color w:val="000000"/>
          <w:sz w:val="32"/>
          <w:szCs w:val="32"/>
          <w:lang w:eastAsia="zh-CN"/>
        </w:rPr>
        <w:t>区内检查定点医疗机构</w:t>
      </w:r>
      <w:r>
        <w:rPr>
          <w:rFonts w:hint="default" w:ascii="Times New Roman" w:hAnsi="Times New Roman" w:eastAsia="方正黑体_GBK" w:cs="Times New Roman"/>
          <w:b w:val="0"/>
          <w:bCs/>
          <w:i w:val="0"/>
          <w:strike w:val="0"/>
          <w:color w:val="000000"/>
          <w:sz w:val="32"/>
          <w:szCs w:val="32"/>
        </w:rPr>
        <w:t>典型问题项目清单</w:t>
      </w:r>
      <w:r>
        <w:rPr>
          <w:rFonts w:hint="eastAsia" w:ascii="Times New Roman" w:hAnsi="Times New Roman" w:eastAsia="方正黑体_GBK" w:cs="Times New Roman"/>
          <w:b w:val="0"/>
          <w:bCs/>
          <w:i w:val="0"/>
          <w:strike w:val="0"/>
          <w:color w:val="000000"/>
          <w:sz w:val="32"/>
          <w:szCs w:val="32"/>
          <w:lang w:eastAsia="zh-CN"/>
        </w:rPr>
        <w:t>（</w:t>
      </w:r>
      <w:r>
        <w:rPr>
          <w:rFonts w:hint="default" w:ascii="Times New Roman" w:hAnsi="Times New Roman" w:eastAsia="方正黑体_GBK" w:cs="Times New Roman"/>
          <w:b w:val="0"/>
          <w:bCs/>
          <w:i w:val="0"/>
          <w:strike w:val="0"/>
          <w:color w:val="000000"/>
          <w:sz w:val="32"/>
          <w:szCs w:val="32"/>
        </w:rPr>
        <w:t>第</w:t>
      </w:r>
      <w:r>
        <w:rPr>
          <w:rFonts w:hint="default" w:ascii="Times New Roman" w:hAnsi="Times New Roman" w:eastAsia="方正黑体_GBK" w:cs="Times New Roman"/>
          <w:b w:val="0"/>
          <w:bCs/>
          <w:i w:val="0"/>
          <w:strike w:val="0"/>
          <w:color w:val="000000"/>
          <w:sz w:val="32"/>
          <w:szCs w:val="32"/>
          <w:lang w:eastAsia="zh-CN"/>
        </w:rPr>
        <w:t>二</w:t>
      </w:r>
      <w:r>
        <w:rPr>
          <w:rFonts w:hint="default" w:ascii="Times New Roman" w:hAnsi="Times New Roman" w:eastAsia="方正黑体_GBK" w:cs="Times New Roman"/>
          <w:b w:val="0"/>
          <w:bCs/>
          <w:i w:val="0"/>
          <w:strike w:val="0"/>
          <w:color w:val="000000"/>
          <w:sz w:val="32"/>
          <w:szCs w:val="32"/>
        </w:rPr>
        <w:t>批</w:t>
      </w:r>
      <w:r>
        <w:rPr>
          <w:rFonts w:hint="default" w:ascii="Times New Roman" w:hAnsi="Times New Roman" w:eastAsia="方正黑体_GBK" w:cs="Times New Roman"/>
          <w:b w:val="0"/>
          <w:bCs/>
          <w:i w:val="0"/>
          <w:strike w:val="0"/>
          <w:color w:val="000000"/>
          <w:sz w:val="32"/>
          <w:szCs w:val="32"/>
          <w:lang w:eastAsia="zh-CN"/>
        </w:rPr>
        <w:t>）</w:t>
      </w:r>
    </w:p>
    <w:tbl>
      <w:tblPr>
        <w:tblStyle w:val="6"/>
        <w:tblW w:w="10368" w:type="dxa"/>
        <w:tblInd w:w="-596" w:type="dxa"/>
        <w:tblLayout w:type="fixed"/>
        <w:tblCellMar>
          <w:top w:w="0" w:type="dxa"/>
          <w:left w:w="0" w:type="dxa"/>
          <w:bottom w:w="0" w:type="dxa"/>
          <w:right w:w="0" w:type="dxa"/>
        </w:tblCellMar>
      </w:tblPr>
      <w:tblGrid>
        <w:gridCol w:w="1725"/>
        <w:gridCol w:w="787"/>
        <w:gridCol w:w="7856"/>
      </w:tblGrid>
      <w:tr>
        <w:tblPrEx>
          <w:tblLayout w:type="fixed"/>
          <w:tblCellMar>
            <w:top w:w="0" w:type="dxa"/>
            <w:left w:w="0" w:type="dxa"/>
            <w:bottom w:w="0" w:type="dxa"/>
            <w:right w:w="0" w:type="dxa"/>
          </w:tblCellMar>
        </w:tblPrEx>
        <w:trPr>
          <w:trHeight w:val="405" w:hRule="atLeast"/>
        </w:trPr>
        <w:tc>
          <w:tcPr>
            <w:tcW w:w="17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lang w:val="en-US" w:eastAsia="zh-CN"/>
              </w:rPr>
              <w:t>问题类型</w:t>
            </w:r>
          </w:p>
        </w:tc>
        <w:tc>
          <w:tcPr>
            <w:tcW w:w="7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黑体_GBK" w:cs="Times New Roman"/>
                <w:b w:val="0"/>
                <w:i w:val="0"/>
                <w:strike w:val="0"/>
                <w:color w:val="000000"/>
                <w:sz w:val="21"/>
                <w:szCs w:val="21"/>
                <w:lang w:val="en-US" w:eastAsia="zh-CN"/>
              </w:rPr>
            </w:pPr>
            <w:r>
              <w:rPr>
                <w:rFonts w:hint="default" w:ascii="Times New Roman" w:hAnsi="Times New Roman" w:eastAsia="方正黑体_GBK" w:cs="Times New Roman"/>
                <w:b w:val="0"/>
                <w:i w:val="0"/>
                <w:strike w:val="0"/>
                <w:color w:val="000000"/>
                <w:sz w:val="21"/>
                <w:szCs w:val="21"/>
                <w:lang w:val="en-US" w:eastAsia="zh-CN"/>
              </w:rPr>
              <w:t>序号</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黑体_GBK" w:cs="Times New Roman"/>
                <w:b w:val="0"/>
                <w:i w:val="0"/>
                <w:strike w:val="0"/>
                <w:color w:val="000000"/>
                <w:sz w:val="21"/>
                <w:szCs w:val="21"/>
              </w:rPr>
            </w:pPr>
            <w:r>
              <w:rPr>
                <w:rFonts w:hint="default" w:ascii="Times New Roman" w:hAnsi="Times New Roman" w:eastAsia="方正黑体_GBK" w:cs="Times New Roman"/>
                <w:b w:val="0"/>
                <w:i w:val="0"/>
                <w:strike w:val="0"/>
                <w:color w:val="000000"/>
                <w:sz w:val="21"/>
                <w:szCs w:val="21"/>
                <w:lang w:val="en-US" w:eastAsia="zh-CN"/>
              </w:rPr>
              <w:t>具体问题</w:t>
            </w:r>
          </w:p>
        </w:tc>
      </w:tr>
      <w:tr>
        <w:tblPrEx>
          <w:tblLayout w:type="fixed"/>
          <w:tblCellMar>
            <w:top w:w="0" w:type="dxa"/>
            <w:left w:w="0" w:type="dxa"/>
            <w:bottom w:w="0" w:type="dxa"/>
            <w:right w:w="0" w:type="dxa"/>
          </w:tblCellMar>
        </w:tblPrEx>
        <w:trPr>
          <w:trHeight w:val="405"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一、目录对照问题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高频震动雾化：将氧化雾化吸入对照为高频震动雾化收费</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DR或CR片8×10吋,14×17吋收费问题：应将8×10吋、14×17吋光片费用对照为X光片进行收费（乙类），实际医院对照为8×10吋、14×17吋甲类收费</w:t>
            </w:r>
          </w:p>
        </w:tc>
      </w:tr>
      <w:tr>
        <w:tblPrEx>
          <w:tblLayout w:type="fixed"/>
          <w:tblCellMar>
            <w:top w:w="0" w:type="dxa"/>
            <w:left w:w="0" w:type="dxa"/>
            <w:bottom w:w="0" w:type="dxa"/>
            <w:right w:w="0" w:type="dxa"/>
          </w:tblCellMar>
        </w:tblPrEx>
        <w:trPr>
          <w:trHeight w:val="40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血氧饱和度监测：将指脉痒监测对照为血氧饱和度监测收费</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4</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病理体视学检查与图象分析：病理体视学检查与图象分析实际报告为超声计算机图文报告</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病理彩色图文报告</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含图象分析</w:t>
            </w:r>
            <w:r>
              <w:rPr>
                <w:rFonts w:hint="eastAsia" w:ascii="Times New Roman" w:hAnsi="Times New Roman" w:eastAsia="方正仿宋_GBK" w:cs="Times New Roman"/>
                <w:b w:val="0"/>
                <w:i w:val="0"/>
                <w:strike w:val="0"/>
                <w:color w:val="000000"/>
                <w:sz w:val="21"/>
                <w:szCs w:val="21"/>
                <w:lang w:val="en-US" w:eastAsia="zh-CN"/>
              </w:rPr>
              <w:t>）</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5</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呼吸机辅助呼吸：实际使用的是无创辅助通气，未含高频喷射通气功能，应收取无创辅助通气费用</w:t>
            </w:r>
          </w:p>
        </w:tc>
      </w:tr>
      <w:tr>
        <w:tblPrEx>
          <w:tblLayout w:type="fixed"/>
          <w:tblCellMar>
            <w:top w:w="0" w:type="dxa"/>
            <w:left w:w="0" w:type="dxa"/>
            <w:bottom w:w="0" w:type="dxa"/>
            <w:right w:w="0" w:type="dxa"/>
          </w:tblCellMar>
        </w:tblPrEx>
        <w:trPr>
          <w:trHeight w:val="40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6</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将微波治疗对照为鼻部、耳部、咽部特殊治疗收费</w:t>
            </w:r>
          </w:p>
        </w:tc>
      </w:tr>
      <w:tr>
        <w:tblPrEx>
          <w:tblLayout w:type="fixed"/>
          <w:tblCellMar>
            <w:top w:w="0" w:type="dxa"/>
            <w:left w:w="0" w:type="dxa"/>
            <w:bottom w:w="0" w:type="dxa"/>
            <w:right w:w="0" w:type="dxa"/>
          </w:tblCellMar>
        </w:tblPrEx>
        <w:trPr>
          <w:trHeight w:val="810" w:hRule="atLeast"/>
        </w:trPr>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二、比照目录收费问题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7</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一次性使用人体静脉血样采集容器：将一次性静脉采血管（丙类）对照为一次性使用人体静脉血样采集容器</w:t>
            </w:r>
          </w:p>
        </w:tc>
      </w:tr>
      <w:tr>
        <w:tblPrEx>
          <w:tblLayout w:type="fixed"/>
          <w:tblCellMar>
            <w:top w:w="0" w:type="dxa"/>
            <w:left w:w="0" w:type="dxa"/>
            <w:bottom w:w="0" w:type="dxa"/>
            <w:right w:w="0" w:type="dxa"/>
          </w:tblCellMar>
        </w:tblPrEx>
        <w:trPr>
          <w:trHeight w:val="81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三、手术收费问题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8</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神经阻滞麻醉：开展神经阻滞麻醉做鼻甲切除、筛前神经切断术时，医院按120元/次收取神经阻滞麻醉费用（物价规定：神经阻滞麻醉小神经</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趾、指、五官</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应收取10元/次）。</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9</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val="0"/>
              <w:autoSpaceDN w:val="0"/>
              <w:bidi w:val="0"/>
              <w:adjustRightInd/>
              <w:snapToGrid/>
              <w:spacing w:after="0" w:line="26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中鼻甲、下鼻甲部分切除术、筛前神经切断术：诊疗项目计费单位为</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次</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，医院计费单位按</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侧</w:t>
            </w:r>
            <w:r>
              <w:rPr>
                <w:rFonts w:hint="eastAsia" w:ascii="Times New Roman" w:hAnsi="Times New Roman" w:eastAsia="方正仿宋_GBK" w:cs="Times New Roman"/>
                <w:b w:val="0"/>
                <w:i w:val="0"/>
                <w:strike w:val="0"/>
                <w:color w:val="000000"/>
                <w:sz w:val="21"/>
                <w:szCs w:val="21"/>
                <w:lang w:val="en-US" w:eastAsia="zh-CN"/>
              </w:rPr>
              <w:t>”</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10</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神经阻滞治疗：做小针刀治疗时将局部麻醉对照成神经阻滞治疗上传医保，小针刀治疗包含麻醉费用。</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11</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生理氯化钠溶液：将生理氯化钠溶液用于术中冲洗，术中低值耗材不应作为收费项目。</w:t>
            </w:r>
          </w:p>
        </w:tc>
      </w:tr>
      <w:tr>
        <w:tblPrEx>
          <w:tblLayout w:type="fixed"/>
          <w:tblCellMar>
            <w:top w:w="0" w:type="dxa"/>
            <w:left w:w="0" w:type="dxa"/>
            <w:bottom w:w="0" w:type="dxa"/>
            <w:right w:w="0" w:type="dxa"/>
          </w:tblCellMar>
        </w:tblPrEx>
        <w:trPr>
          <w:trHeight w:val="81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四、检验检查相关问题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12</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HIV-P24抗原测定：第四代检验试剂，无单独HIV-P24抗原测定检验结果，就同一检验试剂及检验结果收取</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人免疫缺陷病毒抗体测定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Anti-HIV</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HIV-P24抗原测定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两项费用。</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13</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彩色多普勒超声常规检查：根据规定同时行腹部彩超、泌尿检查时，每增加一个部位应按部位加收40元；实际违反物价规定分别计费。</w:t>
            </w:r>
          </w:p>
        </w:tc>
      </w:tr>
      <w:tr>
        <w:tblPrEx>
          <w:tblLayout w:type="fixed"/>
          <w:tblCellMar>
            <w:top w:w="0" w:type="dxa"/>
            <w:left w:w="0" w:type="dxa"/>
            <w:bottom w:w="0" w:type="dxa"/>
            <w:right w:w="0" w:type="dxa"/>
          </w:tblCellMar>
        </w:tblPrEx>
        <w:trPr>
          <w:trHeight w:val="108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14</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人免疫缺陷病毒抗体测定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Anti-HIV</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（定量分析加收）：项目使用试剂为</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人类免疫缺陷病毒抗体检测测试剂盒（胶体金法）</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，为定性检测试剂，存在该试剂收取人免疫缺陷病毒抗体测定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Anti-HIV</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（定量分析加收）费用的情况。</w:t>
            </w:r>
          </w:p>
        </w:tc>
      </w:tr>
      <w:tr>
        <w:tblPrEx>
          <w:tblLayout w:type="fixed"/>
          <w:tblCellMar>
            <w:top w:w="0" w:type="dxa"/>
            <w:left w:w="0" w:type="dxa"/>
            <w:bottom w:w="0" w:type="dxa"/>
            <w:right w:w="0" w:type="dxa"/>
          </w:tblCellMar>
        </w:tblPrEx>
        <w:trPr>
          <w:trHeight w:val="108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15</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血清间接胆红素测定费用：根据规定，血清间接胆红素由血清总胆红素及直接胆红素计算得出不应计费，存在收取</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血清总胆红素测定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血清直接胆红素测定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同时收取</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血清间接胆红素测定</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费用的情况。</w:t>
            </w:r>
          </w:p>
        </w:tc>
      </w:tr>
      <w:tr>
        <w:tblPrEx>
          <w:tblLayout w:type="fixed"/>
          <w:tblCellMar>
            <w:top w:w="0" w:type="dxa"/>
            <w:left w:w="0" w:type="dxa"/>
            <w:bottom w:w="0" w:type="dxa"/>
            <w:right w:w="0" w:type="dxa"/>
          </w:tblCellMar>
        </w:tblPrEx>
        <w:trPr>
          <w:trHeight w:val="40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16</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隐血试验：将隐血试验打包在粪便常规中，作为入院常规检查。</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17</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颈部血管彩色多普勒超声</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颈静脉、锥动脉</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：在开展颈静脉、锥动脉血管彩超时，按血管名称收取费用。</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18</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尿沉渣定量：将</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尿沉渣定量</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打包到尿液分析中，纳入住院病人常规检查</w:t>
            </w:r>
          </w:p>
        </w:tc>
      </w:tr>
      <w:tr>
        <w:tblPrEx>
          <w:tblLayout w:type="fixed"/>
          <w:tblCellMar>
            <w:top w:w="0" w:type="dxa"/>
            <w:left w:w="0" w:type="dxa"/>
            <w:bottom w:w="0" w:type="dxa"/>
            <w:right w:w="0" w:type="dxa"/>
          </w:tblCellMar>
        </w:tblPrEx>
        <w:trPr>
          <w:trHeight w:val="405"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五、药品超目录限制问题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19</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注射用法莫替丁：存在超出每日最大用量的情况并进行医保报销。</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20</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注射用盐酸川芎嗪：医保限急性缺血性脑血管疾病，支付不超过14天，存在超出14天的情况。</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21</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注射用血塞通：医保目录限二级及以上医疗机构的中风偏瘫或视网膜中央静脉阻塞的患者。存在超出医保限制用药的情况。</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22</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天麻注射液：医保限无法口服的血管神经性头痛或眩晕症患者，支付不超过14天，存在可以口服患者使用并进行医保报销的情况。</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23</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注射用哌拉西林钠舒巴坦钠：医保限有明确药敏试验证据或重症感染的患者，存在患者在未有明确药敏试验证据或无重症感染使用并进行医保报销的情况。</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24</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脂肪乳注射液</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C14-24</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：需经营养风险筛查，明确具有营养风险，且不能经饮食或使用</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肠内营养剂</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补充足够营养的住院患者方予支付。</w:t>
            </w:r>
          </w:p>
        </w:tc>
      </w:tr>
      <w:tr>
        <w:tblPrEx>
          <w:tblLayout w:type="fixed"/>
          <w:tblCellMar>
            <w:top w:w="0" w:type="dxa"/>
            <w:left w:w="0" w:type="dxa"/>
            <w:bottom w:w="0" w:type="dxa"/>
            <w:right w:w="0" w:type="dxa"/>
          </w:tblCellMar>
        </w:tblPrEx>
        <w:trPr>
          <w:trHeight w:val="40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25</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出院带药与本次住院主要诊断无关。本次出院带药种类超过5种。</w:t>
            </w:r>
          </w:p>
        </w:tc>
      </w:tr>
      <w:tr>
        <w:tblPrEx>
          <w:tblLayout w:type="fixed"/>
          <w:tblCellMar>
            <w:top w:w="0" w:type="dxa"/>
            <w:left w:w="0" w:type="dxa"/>
            <w:bottom w:w="0" w:type="dxa"/>
            <w:right w:w="0" w:type="dxa"/>
          </w:tblCellMar>
        </w:tblPrEx>
        <w:trPr>
          <w:trHeight w:val="54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六、康复理疗问题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26</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隔物灸治疗：将非医保报销项目</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镇痛灸</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成品贴对照医保报销项目</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隔物灸治疗</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项目上传医保报销。</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27</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电脑中频电治疗：在医嘱、病程记录中未明确记录使用电脑中频电治疗的部位。</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28</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拔罐疗法：按每罐为计价单位收费，违反物价规定的按3个罐为计价收费，增加一罐加收1.5元，每次最高不超过12元的计费标准。</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29</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电针：医院在医嘱、病程记录中未明确记录使用电针的所有穴位，而是采用省略或未写明具体穴位的记录方式。为肿瘤患者使用电子针疗仪，违反仪器说明书中使用禁忌症</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30</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中医定向透药疗法：医保限一次住院不超过5次，存在一次住院超过5次的情况。</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31</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超声波治疗</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超声药物透入</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：按《常用康复治疗技术操作规范》一次治疗5-10分钟，医院违反诊疗常规一次治疗30分钟，超出部分视为违反诊疗规范过度诊疗。</w:t>
            </w:r>
          </w:p>
        </w:tc>
      </w:tr>
      <w:tr>
        <w:tblPrEx>
          <w:tblLayout w:type="fixed"/>
          <w:tblCellMar>
            <w:top w:w="0" w:type="dxa"/>
            <w:left w:w="0" w:type="dxa"/>
            <w:bottom w:w="0" w:type="dxa"/>
            <w:right w:w="0" w:type="dxa"/>
          </w:tblCellMar>
        </w:tblPrEx>
        <w:trPr>
          <w:trHeight w:val="81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32</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中药熏药治疗：实际使用仪器为超声雾化熏洗仪，仪器工作原理是利用超声波将水或药液通过雾化熏蒸及冲洗患者肛门部位。与中药熏药内涵中所使用的工作原理不同，应收取中药熏洗，丙类费用。</w:t>
            </w:r>
          </w:p>
        </w:tc>
      </w:tr>
      <w:tr>
        <w:tblPrEx>
          <w:tblLayout w:type="fixed"/>
          <w:tblCellMar>
            <w:top w:w="0" w:type="dxa"/>
            <w:left w:w="0" w:type="dxa"/>
            <w:bottom w:w="0" w:type="dxa"/>
            <w:right w:w="0" w:type="dxa"/>
          </w:tblCellMar>
        </w:tblPrEx>
        <w:trPr>
          <w:trHeight w:val="40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33</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中药封包：该药把封包理疗电极对应为中药封包治疗</w:t>
            </w:r>
          </w:p>
        </w:tc>
      </w:tr>
      <w:tr>
        <w:tblPrEx>
          <w:tblLayout w:type="fixed"/>
          <w:tblCellMar>
            <w:top w:w="0" w:type="dxa"/>
            <w:left w:w="0" w:type="dxa"/>
            <w:bottom w:w="0" w:type="dxa"/>
            <w:right w:w="0" w:type="dxa"/>
          </w:tblCellMar>
        </w:tblPrEx>
        <w:trPr>
          <w:trHeight w:val="540" w:hRule="atLeast"/>
        </w:trPr>
        <w:tc>
          <w:tcPr>
            <w:tcW w:w="17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七、其他违规收费问题</w:t>
            </w: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34</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体外冲击波碎石：医保限碎石4次以上</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含4次</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不得另收费，存在第4次收费的情况。</w:t>
            </w:r>
          </w:p>
        </w:tc>
      </w:tr>
      <w:tr>
        <w:tblPrEx>
          <w:tblLayout w:type="fixed"/>
          <w:tblCellMar>
            <w:top w:w="0" w:type="dxa"/>
            <w:left w:w="0" w:type="dxa"/>
            <w:bottom w:w="0" w:type="dxa"/>
            <w:right w:w="0" w:type="dxa"/>
          </w:tblCellMar>
        </w:tblPrEx>
        <w:trPr>
          <w:trHeight w:val="405"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35</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麻醉中监测：实施局部浸润麻醉时，无麻醉记录，收取麻醉中监测费用。</w:t>
            </w:r>
          </w:p>
        </w:tc>
      </w:tr>
      <w:tr>
        <w:tblPrEx>
          <w:tblLayout w:type="fixed"/>
          <w:tblCellMar>
            <w:top w:w="0" w:type="dxa"/>
            <w:left w:w="0" w:type="dxa"/>
            <w:bottom w:w="0" w:type="dxa"/>
            <w:right w:w="0" w:type="dxa"/>
          </w:tblCellMar>
        </w:tblPrEx>
        <w:trPr>
          <w:trHeight w:val="540" w:hRule="atLeast"/>
        </w:trPr>
        <w:tc>
          <w:tcPr>
            <w:tcW w:w="17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p>
        </w:tc>
        <w:tc>
          <w:tcPr>
            <w:tcW w:w="7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center"/>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36</w:t>
            </w:r>
          </w:p>
        </w:tc>
        <w:tc>
          <w:tcPr>
            <w:tcW w:w="78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ordWrap/>
              <w:autoSpaceDE w:val="0"/>
              <w:autoSpaceDN w:val="0"/>
              <w:spacing w:before="20" w:after="0" w:line="300" w:lineRule="atLeast"/>
              <w:ind w:left="0" w:right="0"/>
              <w:jc w:val="both"/>
              <w:textAlignment w:val="auto"/>
              <w:rPr>
                <w:rFonts w:hint="default" w:ascii="Times New Roman" w:hAnsi="Times New Roman" w:eastAsia="方正仿宋_GBK" w:cs="Times New Roman"/>
                <w:b w:val="0"/>
                <w:i w:val="0"/>
                <w:strike w:val="0"/>
                <w:color w:val="000000"/>
                <w:sz w:val="21"/>
                <w:szCs w:val="21"/>
              </w:rPr>
            </w:pPr>
            <w:r>
              <w:rPr>
                <w:rFonts w:hint="default" w:ascii="Times New Roman" w:hAnsi="Times New Roman" w:eastAsia="方正仿宋_GBK" w:cs="Times New Roman"/>
                <w:b w:val="0"/>
                <w:i w:val="0"/>
                <w:strike w:val="0"/>
                <w:color w:val="000000"/>
                <w:sz w:val="21"/>
                <w:szCs w:val="21"/>
                <w:lang w:val="en-US" w:eastAsia="zh-CN"/>
              </w:rPr>
              <w:t>X线摄影</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加滤线器加收</w:t>
            </w:r>
            <w:r>
              <w:rPr>
                <w:rFonts w:hint="eastAsia" w:ascii="Times New Roman" w:hAnsi="Times New Roman" w:eastAsia="方正仿宋_GBK" w:cs="Times New Roman"/>
                <w:b w:val="0"/>
                <w:i w:val="0"/>
                <w:strike w:val="0"/>
                <w:color w:val="000000"/>
                <w:sz w:val="21"/>
                <w:szCs w:val="21"/>
                <w:lang w:val="en-US" w:eastAsia="zh-CN"/>
              </w:rPr>
              <w:t>）</w:t>
            </w:r>
            <w:r>
              <w:rPr>
                <w:rFonts w:hint="default" w:ascii="Times New Roman" w:hAnsi="Times New Roman" w:eastAsia="方正仿宋_GBK" w:cs="Times New Roman"/>
                <w:b w:val="0"/>
                <w:i w:val="0"/>
                <w:strike w:val="0"/>
                <w:color w:val="000000"/>
                <w:sz w:val="21"/>
                <w:szCs w:val="21"/>
                <w:lang w:val="en-US" w:eastAsia="zh-CN"/>
              </w:rPr>
              <w:t>：将该项目打包在数字化摄影DR检查中收取</w:t>
            </w:r>
          </w:p>
        </w:tc>
      </w:tr>
    </w:tbl>
    <w:p/>
    <w:sectPr>
      <w:footerReference r:id="rId3" w:type="default"/>
      <w:pgSz w:w="11906" w:h="16838"/>
      <w:pgMar w:top="1984" w:right="1417" w:bottom="164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A215DF"/>
    <w:rsid w:val="75585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toc 5"/>
    <w:basedOn w:val="1"/>
    <w:next w:val="1"/>
    <w:qFormat/>
    <w:uiPriority w:val="0"/>
    <w:pPr>
      <w:ind w:left="1680" w:leftChars="8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2024-07-04T06:57:58Z</dcterms:created>
  <dc:creator>OS</dc:creator>
  <cp:lastModifiedBy>OS</cp:lastModifiedBy>
  <dcterms:modified xsi:type="dcterms:W3CDTF">2024-07-04T06:59:37Z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