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center"/>
        <w:textAlignment w:val="auto"/>
        <w:rPr>
          <w:rFonts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shd w:val="clear" w:fill="FFFFFF"/>
        </w:rPr>
      </w:pPr>
      <w:r>
        <w:rPr>
          <w:rFonts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shd w:val="clear" w:fill="FFFFFF"/>
        </w:rPr>
        <w:t>重庆市铜梁区医疗保障局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shd w:val="clear" w:fill="FFFFFF"/>
        </w:rPr>
      </w:pPr>
      <w:r>
        <w:rPr>
          <w:rFonts w:hint="eastAsia"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shd w:val="clear" w:fill="FFFFFF"/>
        </w:rPr>
        <w:t>202</w:t>
      </w:r>
      <w:r>
        <w:rPr>
          <w:rFonts w:hint="eastAsia"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  <w:t>2</w:t>
      </w:r>
      <w:r>
        <w:rPr>
          <w:rFonts w:hint="eastAsia"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shd w:val="clear" w:fill="FFFFFF"/>
        </w:rPr>
        <w:t>年政府信息公开工作年度报告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0"/>
        <w:jc w:val="center"/>
        <w:textAlignment w:val="auto"/>
        <w:rPr>
          <w:rFonts w:hint="default" w:ascii="方正小标宋_GBK" w:hAnsi="方正小标宋_GBK" w:eastAsia="方正小标宋_GBK" w:cs="方正小标宋_GBK"/>
          <w:i w:val="0"/>
          <w:caps w:val="0"/>
          <w:color w:val="333333"/>
          <w:spacing w:val="0"/>
          <w:sz w:val="32"/>
          <w:szCs w:val="32"/>
          <w:shd w:val="clear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5"/>
        <w:jc w:val="both"/>
        <w:textAlignment w:val="auto"/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根据《政府信息公开条例》（以下简称《条例》）要求，现发布重庆市铜梁区医疗保障局</w:t>
      </w:r>
      <w:r>
        <w:rPr>
          <w:rFonts w:hint="default" w:ascii="Times New Roman" w:hAnsi="Times New Roman" w:eastAsia="寰蒋闆呴粦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202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年政府信息公开工作年度报告。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5"/>
        <w:jc w:val="both"/>
        <w:textAlignment w:val="auto"/>
        <w:rPr>
          <w:rFonts w:hint="eastAsia" w:ascii="Times New Roman" w:hAnsi="Times New Roman" w:eastAsia="方正黑体_GBK" w:cs="Times New Roman"/>
          <w:i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方正黑体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一、总体情况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0" w:right="0" w:firstLine="645"/>
        <w:jc w:val="both"/>
        <w:textAlignment w:val="auto"/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2022年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重庆市铜梁区医疗保障局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坚持以习近平新时代中国特色社会主义思想为指导，认真落实党中央、国务院、市委、市政府和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委、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政府关于政务公开工作的决策部署，紧密结合我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医疗保障工作，深化重点领域信息公开，强化政府信息管理，完善政府信息公开目录，及时回应社会关切，持续做好解读回应和平台建设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认真落实政务公开工作的各项内容，扎实推进政务公开工作标准化、规范化。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left="645" w:leftChars="0" w:right="0" w:rightChars="0"/>
        <w:jc w:val="both"/>
        <w:textAlignment w:val="auto"/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一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）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主动公开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情况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right="0" w:rightChars="0" w:firstLine="640" w:firstLineChars="200"/>
        <w:jc w:val="both"/>
        <w:textAlignment w:val="auto"/>
        <w:rPr>
          <w:rFonts w:hint="default" w:ascii="Times New Roman" w:hAnsi="Times New Roman" w:eastAsia="寰蒋闆呴粦" w:cs="Times New Roman"/>
          <w:i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我局继续加强主动公开力度，践行“以公开为常态、不公开为例外”的原则，充分发挥政府信息公开平台的作用，及时公开政策文件等政府信息。</w:t>
      </w:r>
      <w:r>
        <w:rPr>
          <w:rFonts w:hint="default" w:ascii="Times New Roman" w:hAnsi="Times New Roman" w:eastAsia="寰蒋闆呴粦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202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年，在区政府门户网站主动公开政府信息26条，其中202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年政府信息公开指南1条，政策文件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条，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机构职能1条，</w:t>
      </w:r>
      <w:r>
        <w:rPr>
          <w:rFonts w:hint="default" w:ascii="Times New Roman" w:hAnsi="Times New Roman" w:eastAsia="寰蒋闆呴粦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20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2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年政府信息公开工作年度报告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条，部门决算预算公开情况说明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条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其他法定主动公开内容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条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政府采购目录1条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2021年法治政府建设工作情况报告1条，政策问答4条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。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600" w:lineRule="atLeast"/>
        <w:ind w:left="645" w:leftChars="0" w:right="0" w:rightChars="0"/>
        <w:jc w:val="both"/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二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）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依申请公开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情况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600" w:lineRule="atLeast"/>
        <w:ind w:right="0" w:rightChars="0" w:firstLine="640" w:firstLineChars="200"/>
        <w:jc w:val="both"/>
        <w:rPr>
          <w:rFonts w:hint="default" w:ascii="Times New Roman" w:hAnsi="Times New Roman" w:eastAsia="寰蒋闆呴粦" w:cs="Times New Roman"/>
          <w:i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我局不断加强和规范依申请公开工作。202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年，未收到政府信息公开申请。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600" w:lineRule="atLeast"/>
        <w:ind w:left="0" w:right="0" w:firstLine="645"/>
        <w:jc w:val="both"/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（三）政府信息管理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情况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600" w:lineRule="atLeast"/>
        <w:ind w:right="0" w:firstLine="640" w:firstLineChars="200"/>
        <w:jc w:val="both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我局高度重视政务公开工作，按照“一把手领导亲自抓，分管领导具体抓，职能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科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室抓落实”的工作机制，明确相关业务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科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室和具体负责人员的工作责任分工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坚持长期性内容固定公开，经常性内容按季公开，实时性工作随时公开，群众关心的热点问题及时公开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进一步增强了全局政府信息公开工作实效。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2022年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，结合实际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制定出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关于《重庆市铜梁区医疗保障局政务公开工作制度》的通知（铜医保发</w:t>
      </w:r>
      <w:r>
        <w:rPr>
          <w:rFonts w:ascii="方正仿宋_GBK" w:hAnsi="方正仿宋_GBK" w:eastAsia="方正仿宋_GBK" w:cs="方正仿宋_GBK"/>
          <w:i w:val="0"/>
          <w:caps w:val="0"/>
          <w:color w:val="333333"/>
          <w:spacing w:val="0"/>
          <w:sz w:val="31"/>
          <w:szCs w:val="31"/>
        </w:rPr>
        <w:t>〔</w:t>
      </w:r>
      <w:r>
        <w:rPr>
          <w:rFonts w:hint="default" w:ascii="Times New Roman" w:hAnsi="Times New Roman" w:eastAsia="宋体" w:cs="Times New Roman"/>
          <w:i w:val="0"/>
          <w:caps w:val="0"/>
          <w:color w:val="333333"/>
          <w:spacing w:val="0"/>
          <w:sz w:val="31"/>
          <w:szCs w:val="31"/>
        </w:rPr>
        <w:t>20</w:t>
      </w:r>
      <w:r>
        <w:rPr>
          <w:rFonts w:hint="eastAsia" w:ascii="Times New Roman" w:hAnsi="Times New Roman" w:eastAsia="宋体" w:cs="Times New Roman"/>
          <w:i w:val="0"/>
          <w:caps w:val="0"/>
          <w:color w:val="333333"/>
          <w:spacing w:val="0"/>
          <w:sz w:val="31"/>
          <w:szCs w:val="31"/>
          <w:lang w:val="en-US" w:eastAsia="zh-CN"/>
        </w:rPr>
        <w:t>22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1"/>
          <w:szCs w:val="31"/>
        </w:rPr>
        <w:t>〕</w:t>
      </w:r>
      <w:r>
        <w:rPr>
          <w:rFonts w:hint="eastAsia" w:ascii="Times New Roman" w:hAnsi="Times New Roman" w:eastAsia="宋体" w:cs="Times New Roman"/>
          <w:i w:val="0"/>
          <w:caps w:val="0"/>
          <w:color w:val="333333"/>
          <w:spacing w:val="0"/>
          <w:sz w:val="31"/>
          <w:szCs w:val="31"/>
          <w:lang w:val="en-US" w:eastAsia="zh-CN"/>
        </w:rPr>
        <w:t>26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1"/>
          <w:szCs w:val="31"/>
        </w:rPr>
        <w:t>号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）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，明确公开的原则和内容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600" w:lineRule="atLeast"/>
        <w:ind w:left="645" w:leftChars="0" w:right="0" w:rightChars="0"/>
        <w:jc w:val="both"/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四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）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政府信息公开平台建设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情况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600" w:lineRule="atLeast"/>
        <w:ind w:right="0" w:rightChars="0" w:firstLine="640" w:firstLineChars="200"/>
        <w:jc w:val="both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采取多种方式不断加大政府信息公开力度，促进政府信息公开工作深入开展。充分发挥区政府门户网站、融媒体网站、电视等媒体作用，对涉及公共利益、公众权益、社会关切及需要社会广泛知晓的政府信息及时进行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发布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600" w:lineRule="atLeast"/>
        <w:ind w:left="645" w:leftChars="0" w:right="0" w:rightChars="0"/>
        <w:jc w:val="both"/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（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五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）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政府信息公开监督保障</w:t>
      </w:r>
      <w:r>
        <w:rPr>
          <w:rFonts w:hint="default" w:ascii="Times New Roman" w:hAnsi="Times New Roman" w:eastAsia="方正楷体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情况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600" w:lineRule="atLeast"/>
        <w:ind w:right="0" w:rightChars="0" w:firstLine="640" w:firstLineChars="200"/>
        <w:jc w:val="both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我局聚焦民生，狠抓政务公开工作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一是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不断加强政务公开工作培训，积极参加202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年全区政务公开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交流培训会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，认真贯彻落实上级部署要求，不断提升政务信息工作质量和效率。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二是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注重加强工作考核，将政府信息公开工作列入年度考核重要内容，建立健全相应的监督保障机制，推动各科室切实履职尽责。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三是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充分发挥新媒体等社会监督的作用，公布监督电话等多种形式主动接受社会各界的监督。</w:t>
      </w:r>
      <w:r>
        <w:rPr>
          <w:rFonts w:hint="default" w:ascii="Times New Roman" w:hAnsi="Times New Roman" w:eastAsia="寰蒋闆呴粦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20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年，积极参加政务公开工作培训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fill="FFFFFF"/>
        </w:rPr>
        <w:t>次。</w:t>
      </w:r>
    </w:p>
    <w:p>
      <w:pPr>
        <w:pStyle w:val="3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spacing w:before="0" w:beforeAutospacing="0" w:after="0" w:afterAutospacing="0" w:line="600" w:lineRule="atLeast"/>
        <w:ind w:right="0" w:rightChars="0" w:firstLine="640" w:firstLineChars="200"/>
        <w:jc w:val="both"/>
        <w:rPr>
          <w:rFonts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二、主动公开政府信息情况</w:t>
      </w:r>
    </w:p>
    <w:tbl>
      <w:tblPr>
        <w:tblStyle w:val="4"/>
        <w:tblW w:w="974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5"/>
        <w:gridCol w:w="2435"/>
        <w:gridCol w:w="2435"/>
        <w:gridCol w:w="24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第二十条第（一）项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本年制发件数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本年废止件数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现行有效件数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规章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Theme="minorEastAsia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Theme="minorEastAsia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kern w:val="0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行政规范性文件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Theme="minorEastAsia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Theme="minorEastAsia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2435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kern w:val="0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第二十条第（五）项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行政许可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kern w:val="0"/>
                <w:szCs w:val="21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第二十条第（六）项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本年处理决定数量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行政处罚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Theme="minorEastAsia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行政强制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Theme="minorEastAsia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9740" w:type="dxa"/>
            <w:gridSpan w:val="4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第二十条第（八）项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本年收费金额（单位：万元）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  <w:jc w:val="center"/>
        </w:trPr>
        <w:tc>
          <w:tcPr>
            <w:tcW w:w="2435" w:type="dxa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kern w:val="0"/>
                <w:sz w:val="20"/>
                <w:szCs w:val="20"/>
                <w:lang w:bidi="ar"/>
              </w:rPr>
              <w:t>行政事业性收费</w:t>
            </w:r>
          </w:p>
        </w:tc>
        <w:tc>
          <w:tcPr>
            <w:tcW w:w="7305" w:type="dxa"/>
            <w:gridSpan w:val="3"/>
            <w:shd w:val="clear" w:color="auto" w:fill="FFFFFF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方正仿宋_GBK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4"/>
                <w:lang w:val="en-US" w:eastAsia="zh-CN"/>
              </w:rPr>
              <w:t>0</w:t>
            </w:r>
          </w:p>
        </w:tc>
      </w:tr>
    </w:tbl>
    <w:p>
      <w:pPr>
        <w:spacing w:line="579" w:lineRule="exact"/>
        <w:ind w:firstLine="640" w:firstLineChars="200"/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</w:pPr>
    </w:p>
    <w:p>
      <w:pPr>
        <w:spacing w:line="579" w:lineRule="exact"/>
        <w:ind w:firstLine="640" w:firstLineChars="200"/>
        <w:rPr>
          <w:rFonts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三、收到和处理政府信息公开申请情况</w:t>
      </w:r>
    </w:p>
    <w:tbl>
      <w:tblPr>
        <w:tblStyle w:val="4"/>
        <w:tblW w:w="974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7"/>
        <w:gridCol w:w="943"/>
        <w:gridCol w:w="3221"/>
        <w:gridCol w:w="688"/>
        <w:gridCol w:w="688"/>
        <w:gridCol w:w="688"/>
        <w:gridCol w:w="688"/>
        <w:gridCol w:w="688"/>
        <w:gridCol w:w="688"/>
        <w:gridCol w:w="6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eastAsia="楷体" w:cs="楷体"/>
                <w:color w:val="000000"/>
                <w:kern w:val="0"/>
                <w:sz w:val="20"/>
                <w:szCs w:val="20"/>
                <w:lang w:bidi="ar"/>
              </w:rPr>
              <w:t>（本列数据的勾稽关系为：第一项加第二项之和，等于第三项加第四项之和）</w:t>
            </w:r>
          </w:p>
        </w:tc>
        <w:tc>
          <w:tcPr>
            <w:tcW w:w="4817" w:type="dxa"/>
            <w:gridSpan w:val="7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申请人情况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88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自然人</w:t>
            </w:r>
          </w:p>
        </w:tc>
        <w:tc>
          <w:tcPr>
            <w:tcW w:w="3440" w:type="dxa"/>
            <w:gridSpan w:val="5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法人或其他组织</w:t>
            </w:r>
          </w:p>
        </w:tc>
        <w:tc>
          <w:tcPr>
            <w:tcW w:w="689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88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商业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企业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科研</w:t>
            </w:r>
          </w:p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机构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社会公益组织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法律服务机构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</w:p>
        </w:tc>
        <w:tc>
          <w:tcPr>
            <w:tcW w:w="689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一、本年新收政府信息公开申请数量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二、上年结转政府信息公开申请数量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三、本年度办理结果</w:t>
            </w:r>
          </w:p>
        </w:tc>
        <w:tc>
          <w:tcPr>
            <w:tcW w:w="416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（一）予以公开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16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（二）部分公开</w:t>
            </w:r>
            <w:r>
              <w:rPr>
                <w:rFonts w:ascii="Times New Roman" w:hAnsi="Times New Roman" w:eastAsia="楷体" w:cs="楷体"/>
                <w:color w:val="000000"/>
                <w:kern w:val="0"/>
                <w:sz w:val="20"/>
                <w:szCs w:val="20"/>
                <w:lang w:bidi="ar"/>
              </w:rPr>
              <w:t>（区分处理的，只计这一情形，不计其他情形）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ascii="Times New Roman" w:hAnsi="Times New Roman" w:eastAsia="等线" w:cs="Calibri"/>
                <w:color w:val="000000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eastAsia="等线" w:cs="Calibri"/>
                <w:color w:val="000000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ascii="Times New Roman" w:hAnsi="Times New Roman" w:eastAsia="等线" w:cs="Calibri"/>
                <w:color w:val="000000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ascii="Times New Roman" w:hAnsi="Times New Roman" w:eastAsia="等线" w:cs="Calibri"/>
                <w:color w:val="000000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ascii="Times New Roman" w:hAnsi="Times New Roman" w:eastAsia="等线" w:cs="Calibri"/>
                <w:color w:val="000000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ascii="Times New Roman" w:hAnsi="Times New Roman" w:eastAsia="等线" w:cs="Calibri"/>
                <w:color w:val="000000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/>
                <w:lang w:val="en-US" w:eastAsia="zh-CN"/>
              </w:rPr>
            </w:pPr>
            <w:r>
              <w:rPr>
                <w:rFonts w:ascii="Times New Roman" w:hAnsi="Times New Roman" w:eastAsia="等线" w:cs="Calibri"/>
                <w:color w:val="000000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（三）不予公开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1.属于国家秘密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2.其他法律行政法规禁止公开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3.危及“三安全一稳定”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4.保护第三方合法权益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5.属于三类内部事务信息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6.属于四类过程性信息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7.属于行政执法案卷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8.属于行政查询事项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default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（四）无法提供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1.本机关不掌握相关政府信息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2.没有现成信息需要另行制作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3.补正后申请内容仍不明确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（五）不予处理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1.信访举报投诉类申请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2.重复申请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hint="eastAsia" w:ascii="Times New Roman" w:hAnsi="Times New Roman" w:eastAsia="等线"/>
                <w:color w:val="000000"/>
                <w:sz w:val="32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3.要求提供公开出版物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top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4.无正当理由大量反复申请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5.要求行政机关确认或重新出具已获取信息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  <w:bookmarkStart w:id="0" w:name="_GoBack"/>
            <w:bookmarkEnd w:id="0"/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restart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（六）其他处理</w:t>
            </w: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1.申请人无正当理由逾期不补正、行政机关不再处理其政府信息公开申请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943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3221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3.其他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767" w:type="dxa"/>
            <w:vMerge w:val="continue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4164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（七）总计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31" w:type="dxa"/>
            <w:gridSpan w:val="3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left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四、结转下年度继续办理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8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89" w:type="dxa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spacing w:line="579" w:lineRule="exact"/>
        <w:ind w:firstLine="640" w:firstLineChars="200"/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四、政府信息公开行政复议、行政诉讼情况</w:t>
      </w:r>
    </w:p>
    <w:tbl>
      <w:tblPr>
        <w:tblStyle w:val="4"/>
        <w:tblW w:w="974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649"/>
        <w:gridCol w:w="649"/>
        <w:gridCol w:w="649"/>
        <w:gridCol w:w="649"/>
        <w:gridCol w:w="649"/>
        <w:gridCol w:w="649"/>
        <w:gridCol w:w="650"/>
        <w:gridCol w:w="650"/>
        <w:gridCol w:w="650"/>
        <w:gridCol w:w="651"/>
        <w:gridCol w:w="651"/>
        <w:gridCol w:w="651"/>
        <w:gridCol w:w="651"/>
        <w:gridCol w:w="6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245" w:type="dxa"/>
            <w:gridSpan w:val="5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行政复议</w:t>
            </w:r>
          </w:p>
        </w:tc>
        <w:tc>
          <w:tcPr>
            <w:tcW w:w="6503" w:type="dxa"/>
            <w:gridSpan w:val="10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行政诉讼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结果维持</w:t>
            </w:r>
          </w:p>
        </w:tc>
        <w:tc>
          <w:tcPr>
            <w:tcW w:w="64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4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4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4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3248" w:type="dxa"/>
            <w:gridSpan w:val="5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未经复议直接起诉</w:t>
            </w:r>
          </w:p>
        </w:tc>
        <w:tc>
          <w:tcPr>
            <w:tcW w:w="3255" w:type="dxa"/>
            <w:gridSpan w:val="5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复议后起诉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4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4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4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4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4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rPr>
                <w:rFonts w:ascii="Times New Roman" w:hAnsi="Times New Roman" w:eastAsia="方正仿宋_GBK"/>
                <w:color w:val="000000"/>
                <w:sz w:val="24"/>
              </w:rPr>
            </w:pP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维持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纠正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其他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结果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尚未</w:t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审结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cs="宋体"/>
                <w:color w:val="000000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  <w:jc w:val="center"/>
        </w:trPr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ascii="Times New Roman" w:hAnsi="Times New Roman" w:eastAsia="黑体" w:cs="黑体"/>
                <w:color w:val="000000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4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0"/>
                <w:szCs w:val="20"/>
                <w:lang w:bidi="ar"/>
              </w:rPr>
              <w:t> 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0"/>
                <w:szCs w:val="20"/>
                <w:lang w:bidi="ar"/>
              </w:rPr>
              <w:t> </w:t>
            </w: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32"/>
                <w:szCs w:val="20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651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579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</w:rPr>
            </w:pPr>
            <w:r>
              <w:rPr>
                <w:rFonts w:hint="eastAsia" w:ascii="Times New Roman" w:hAnsi="Times New Roman" w:eastAsia="等线" w:cs="Calibri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spacing w:line="579" w:lineRule="exact"/>
        <w:ind w:firstLine="640" w:firstLineChars="200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五、存在的主要问题及改进情况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  <w:t>（一）存在的主要问题。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一是政府信息公开工作的机制建设还不够完善。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是政府信息公开不够全面、及时。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三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是经办人员对政府信息公开相关要求理解还不够准确。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color w:val="auto"/>
          <w:sz w:val="32"/>
          <w:szCs w:val="32"/>
        </w:rPr>
        <w:t>（二）改进情况。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一是制定《重庆市铜梁区医疗保障局政务公开工作制度》，明确了各科室负责公开的政府信息内容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切实加强政务公开组织保障，压实各科室工作责任。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是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及时更新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信息公开内容。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制定政务信息公开台账，每月更新一次，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及时地公开相关信息，确保信息公开工作的针对性和实效性。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三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是加强法规政策和业务能力培训指导，深入贯彻落实《条例》，积极参加区政府办公室组织的政务公开小组交流培训，2022年共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参加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政务公开工作培训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次，及时准确掌握政府信息公开工作要求，不断提高人员队伍能力素质和服务水平，推动政府信息公开质量再上新台阶。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方正黑体_GBK" w:cs="Times New Roman"/>
          <w:color w:val="auto"/>
          <w:sz w:val="32"/>
          <w:szCs w:val="32"/>
          <w:lang w:val="en-US" w:eastAsia="zh-CN"/>
        </w:rPr>
        <w:t>六、</w:t>
      </w:r>
      <w:r>
        <w:rPr>
          <w:rFonts w:hint="default" w:ascii="Times New Roman" w:hAnsi="Times New Roman" w:eastAsia="方正黑体_GBK" w:cs="Times New Roman"/>
          <w:color w:val="auto"/>
          <w:sz w:val="32"/>
          <w:szCs w:val="32"/>
        </w:rPr>
        <w:t>其他需要报告的事项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本机关严格落实《政府信息公开条例》和国务院办公厅《202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年政务公开工作要点》要求，完成政务公开各项工作。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本年度本机关未收取政务信息公开处理费。</w:t>
      </w:r>
    </w:p>
    <w:sectPr>
      <w:pgSz w:w="11906" w:h="16838"/>
      <w:pgMar w:top="1984" w:right="1446" w:bottom="1644" w:left="14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创艺简标宋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D9393C"/>
    <w:rsid w:val="02DD71E4"/>
    <w:rsid w:val="052503B2"/>
    <w:rsid w:val="0D107A20"/>
    <w:rsid w:val="0D1873E1"/>
    <w:rsid w:val="10B06316"/>
    <w:rsid w:val="130B7D75"/>
    <w:rsid w:val="133B1564"/>
    <w:rsid w:val="14C72A6A"/>
    <w:rsid w:val="1ADF663C"/>
    <w:rsid w:val="1BDC7730"/>
    <w:rsid w:val="1BFF07E3"/>
    <w:rsid w:val="1C9A7741"/>
    <w:rsid w:val="1DFF13CC"/>
    <w:rsid w:val="1EAE3C24"/>
    <w:rsid w:val="2B72741F"/>
    <w:rsid w:val="2D302D29"/>
    <w:rsid w:val="2D5C5C80"/>
    <w:rsid w:val="2D98068D"/>
    <w:rsid w:val="2E3656E0"/>
    <w:rsid w:val="30020F90"/>
    <w:rsid w:val="31D201F0"/>
    <w:rsid w:val="32846826"/>
    <w:rsid w:val="3376617C"/>
    <w:rsid w:val="37CD2815"/>
    <w:rsid w:val="40FF5B1E"/>
    <w:rsid w:val="41286C5F"/>
    <w:rsid w:val="418105AC"/>
    <w:rsid w:val="41E40031"/>
    <w:rsid w:val="41FF7A0E"/>
    <w:rsid w:val="422E1161"/>
    <w:rsid w:val="445232EE"/>
    <w:rsid w:val="460E53A4"/>
    <w:rsid w:val="46BC1DB2"/>
    <w:rsid w:val="485F1991"/>
    <w:rsid w:val="4ACF3E82"/>
    <w:rsid w:val="4AFC209C"/>
    <w:rsid w:val="4F08691A"/>
    <w:rsid w:val="502C3A07"/>
    <w:rsid w:val="50FB0A52"/>
    <w:rsid w:val="56C43F1F"/>
    <w:rsid w:val="57D61CB9"/>
    <w:rsid w:val="58522DF3"/>
    <w:rsid w:val="59D9393C"/>
    <w:rsid w:val="5B9E0AF6"/>
    <w:rsid w:val="5CF354F7"/>
    <w:rsid w:val="5E0F605B"/>
    <w:rsid w:val="5F837C8E"/>
    <w:rsid w:val="60DB03AE"/>
    <w:rsid w:val="61401E54"/>
    <w:rsid w:val="632D7555"/>
    <w:rsid w:val="67AB4A3C"/>
    <w:rsid w:val="6AB6565C"/>
    <w:rsid w:val="6C6F302F"/>
    <w:rsid w:val="6CA20676"/>
    <w:rsid w:val="6CA836F4"/>
    <w:rsid w:val="6CDD0A58"/>
    <w:rsid w:val="6F9D31D6"/>
    <w:rsid w:val="71E326DE"/>
    <w:rsid w:val="7C204888"/>
    <w:rsid w:val="7CE957B7"/>
    <w:rsid w:val="7DE82480"/>
    <w:rsid w:val="7E2C3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2023-01-03T02:24:00Z</dcterms:created>
  <dc:creator>OS</dc:creator>
  <cp:lastModifiedBy>OS</cp:lastModifiedBy>
  <cp:lastPrinted>2023-01-12T06:13:00Z</cp:lastPrinted>
  <dcterms:modified xsi:type="dcterms:W3CDTF">2023-01-18T02:22:54Z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