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543DF"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附件：</w:t>
      </w:r>
    </w:p>
    <w:p w14:paraId="5089AB5C" w14:textId="77777777" w:rsidR="00D96537" w:rsidRPr="00B21F53" w:rsidRDefault="00D96537" w:rsidP="00B21F53">
      <w:pPr>
        <w:spacing w:after="0" w:line="600" w:lineRule="exact"/>
        <w:jc w:val="center"/>
        <w:rPr>
          <w:rFonts w:ascii="方正小标宋_GBK" w:eastAsia="方正小标宋_GBK" w:hAnsi="Times New Roman" w:cs="Times New Roman"/>
          <w:sz w:val="44"/>
          <w:szCs w:val="44"/>
        </w:rPr>
      </w:pPr>
      <w:r w:rsidRPr="00B21F53">
        <w:rPr>
          <w:rFonts w:ascii="方正小标宋_GBK" w:eastAsia="方正小标宋_GBK" w:hAnsi="Times New Roman" w:cs="Times New Roman" w:hint="eastAsia"/>
          <w:sz w:val="44"/>
          <w:szCs w:val="44"/>
        </w:rPr>
        <w:t>国有土地上房屋征收评估办法</w:t>
      </w:r>
    </w:p>
    <w:p w14:paraId="4C7FD119" w14:textId="77777777" w:rsid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w:t>
      </w:r>
    </w:p>
    <w:p w14:paraId="5E857C67" w14:textId="77777777" w:rsidR="00D96537" w:rsidRPr="00B21F53" w:rsidRDefault="00D96537" w:rsidP="00B21F53">
      <w:pPr>
        <w:spacing w:after="0" w:line="600" w:lineRule="exact"/>
        <w:ind w:firstLineChars="200" w:firstLine="640"/>
        <w:rPr>
          <w:rFonts w:ascii="Times New Roman" w:eastAsia="方正仿宋_GBK" w:hAnsi="Times New Roman" w:cs="Times New Roman"/>
          <w:sz w:val="32"/>
          <w:szCs w:val="32"/>
        </w:rPr>
      </w:pPr>
      <w:r w:rsidRPr="00B21F53">
        <w:rPr>
          <w:rFonts w:ascii="方正黑体_GBK" w:eastAsia="方正黑体_GBK" w:hAnsi="Times New Roman" w:cs="Times New Roman" w:hint="eastAsia"/>
          <w:sz w:val="32"/>
          <w:szCs w:val="32"/>
        </w:rPr>
        <w:t>第一条</w:t>
      </w:r>
      <w:r w:rsidRPr="00B21F53">
        <w:rPr>
          <w:rFonts w:ascii="Times New Roman" w:eastAsia="方正仿宋_GBK" w:hAnsi="Times New Roman" w:cs="Times New Roman"/>
          <w:sz w:val="32"/>
          <w:szCs w:val="32"/>
        </w:rPr>
        <w:t xml:space="preserve">　为规范国有土地上房屋征收评估活动，保证房屋征收评估结果客观公平，根据《国有土地上房屋征收与补偿条例》，制定本办法。</w:t>
      </w:r>
    </w:p>
    <w:p w14:paraId="420270D5"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w:t>
      </w:r>
      <w:r w:rsidRPr="00B21F53">
        <w:rPr>
          <w:rFonts w:ascii="方正黑体_GBK" w:eastAsia="方正黑体_GBK" w:hAnsi="Times New Roman" w:cs="Times New Roman"/>
          <w:sz w:val="32"/>
          <w:szCs w:val="32"/>
        </w:rPr>
        <w:t>第二条</w:t>
      </w:r>
      <w:r w:rsidRPr="00B21F53">
        <w:rPr>
          <w:rFonts w:ascii="Times New Roman" w:eastAsia="方正仿宋_GBK" w:hAnsi="Times New Roman" w:cs="Times New Roman"/>
          <w:sz w:val="32"/>
          <w:szCs w:val="32"/>
        </w:rPr>
        <w:t xml:space="preserve">　评估国有土地上被征收房屋和用于产权调换房屋的价值，测算被征收房屋类似房地产的市场价格，以及对相关评估结果进行复核评估和鉴定，适用本办法。</w:t>
      </w:r>
    </w:p>
    <w:p w14:paraId="72AF670E"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w:t>
      </w:r>
      <w:r w:rsidRPr="00B21F53">
        <w:rPr>
          <w:rFonts w:ascii="方正黑体_GBK" w:eastAsia="方正黑体_GBK" w:hAnsi="Times New Roman" w:cs="Times New Roman"/>
          <w:sz w:val="32"/>
          <w:szCs w:val="32"/>
        </w:rPr>
        <w:t>第三条</w:t>
      </w:r>
      <w:r w:rsidRPr="00B21F53">
        <w:rPr>
          <w:rFonts w:ascii="Times New Roman" w:eastAsia="方正仿宋_GBK" w:hAnsi="Times New Roman" w:cs="Times New Roman"/>
          <w:sz w:val="32"/>
          <w:szCs w:val="32"/>
        </w:rPr>
        <w:t xml:space="preserve">　房地产价格评估机构、房地产估价师、房地产价格评估专家委员会（以下称评估专家委员会）成员应当独立、客观、公正地开展房屋征收评估、鉴定工作，并对出具的评估、鉴定意见负责。</w:t>
      </w:r>
    </w:p>
    <w:p w14:paraId="4E116F75"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任何单位和个人不得干预房屋征收评估、鉴定活动。与房屋征收当事人有利害关系的，应当回避。</w:t>
      </w:r>
    </w:p>
    <w:p w14:paraId="0DEDC096"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w:t>
      </w:r>
      <w:r w:rsidRPr="00B21F53">
        <w:rPr>
          <w:rFonts w:ascii="方正黑体_GBK" w:eastAsia="方正黑体_GBK" w:hAnsi="Times New Roman" w:cs="Times New Roman"/>
          <w:sz w:val="32"/>
          <w:szCs w:val="32"/>
        </w:rPr>
        <w:t>第四条</w:t>
      </w:r>
      <w:r w:rsidRPr="00B21F53">
        <w:rPr>
          <w:rFonts w:ascii="Times New Roman" w:eastAsia="方正仿宋_GBK" w:hAnsi="Times New Roman" w:cs="Times New Roman"/>
          <w:sz w:val="32"/>
          <w:szCs w:val="32"/>
        </w:rPr>
        <w:t xml:space="preserve">　房地产价格评估机构由被征收人在规定时间内协商选定；在规定时间内协商不成的，由房屋征收部门通过组织被征收人按照少数服从多数的原则投票决定，或者采取摇号、抽签等随机方式确定。具体办法由省、自治区、直辖市制定。</w:t>
      </w:r>
    </w:p>
    <w:p w14:paraId="7501EF3D"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lastRenderedPageBreak/>
        <w:t xml:space="preserve">　　房地产价格评估机构不得采取迎合征收当事人不当要求、虚假宣传、恶意低收费等不正当手段承揽房屋征收评估业务。</w:t>
      </w:r>
    </w:p>
    <w:p w14:paraId="6643F291"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w:t>
      </w:r>
      <w:r w:rsidRPr="00B21F53">
        <w:rPr>
          <w:rFonts w:ascii="方正黑体_GBK" w:eastAsia="方正黑体_GBK" w:hAnsi="Times New Roman" w:cs="Times New Roman"/>
          <w:sz w:val="32"/>
          <w:szCs w:val="32"/>
        </w:rPr>
        <w:t>第五条</w:t>
      </w:r>
      <w:r w:rsidRPr="00B21F53">
        <w:rPr>
          <w:rFonts w:ascii="Times New Roman" w:eastAsia="方正仿宋_GBK" w:hAnsi="Times New Roman" w:cs="Times New Roman"/>
          <w:sz w:val="32"/>
          <w:szCs w:val="32"/>
        </w:rPr>
        <w:t xml:space="preserve">　同一征收项目的房屋征收评估工作，原则上由一家房地产价格评估机构承担。房屋征收范围较大的，可以由两家以上房地产价格评估机构共同承担。</w:t>
      </w:r>
    </w:p>
    <w:p w14:paraId="57BD84CF"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两家以上房地产价格评估机构承担的，应当共同协商确定一家房地产价格评估机构为牵头单位；牵头单位应当组织相关房地产价格评估机构就评估对象、评估时点、价值内涵、评估依据、评估假设、评估原则、评估技术路线、评估方法、重要参数选取、评估结果确定方式等进行沟通，统一标准。</w:t>
      </w:r>
    </w:p>
    <w:p w14:paraId="1C9CD4C4"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w:t>
      </w:r>
      <w:r w:rsidRPr="00B21F53">
        <w:rPr>
          <w:rFonts w:ascii="方正黑体_GBK" w:eastAsia="方正黑体_GBK" w:hAnsi="Times New Roman" w:cs="Times New Roman"/>
          <w:sz w:val="32"/>
          <w:szCs w:val="32"/>
        </w:rPr>
        <w:t>第六条</w:t>
      </w:r>
      <w:r w:rsidRPr="00B21F53">
        <w:rPr>
          <w:rFonts w:ascii="Times New Roman" w:eastAsia="方正仿宋_GBK" w:hAnsi="Times New Roman" w:cs="Times New Roman"/>
          <w:sz w:val="32"/>
          <w:szCs w:val="32"/>
        </w:rPr>
        <w:t xml:space="preserve">　房地产价格评估机构选定或者确定后，一般由房屋征收部门作为委托人，向房地产价格评估机构出具房屋征收评估委托书，并与其签订房屋征收评估委托合同。</w:t>
      </w:r>
    </w:p>
    <w:p w14:paraId="479B1554"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房屋征收评估委托书应当载明委托人的名称、委托的房地产价格评估机构的名称、评估目的、评估对象范围、评估要求以及委托日期等内容。</w:t>
      </w:r>
    </w:p>
    <w:p w14:paraId="238E2536"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房屋征收评估委托合同应当载明下列事项：</w:t>
      </w:r>
    </w:p>
    <w:p w14:paraId="1F365F76" w14:textId="77777777" w:rsidR="00D96537" w:rsidRPr="002429EB" w:rsidRDefault="00D96537" w:rsidP="00B21F53">
      <w:pPr>
        <w:spacing w:after="0" w:line="600" w:lineRule="exact"/>
        <w:rPr>
          <w:rFonts w:ascii="方正楷体_GBK" w:eastAsia="方正楷体_GBK" w:hAnsi="Times New Roman" w:cs="Times New Roman"/>
          <w:sz w:val="32"/>
          <w:szCs w:val="32"/>
        </w:rPr>
      </w:pPr>
      <w:r w:rsidRPr="00B21F53">
        <w:rPr>
          <w:rFonts w:ascii="Times New Roman" w:eastAsia="方正仿宋_GBK" w:hAnsi="Times New Roman" w:cs="Times New Roman"/>
          <w:sz w:val="32"/>
          <w:szCs w:val="32"/>
        </w:rPr>
        <w:t xml:space="preserve">　　</w:t>
      </w:r>
      <w:r w:rsidRPr="002429EB">
        <w:rPr>
          <w:rFonts w:ascii="方正楷体_GBK" w:eastAsia="方正楷体_GBK" w:hAnsi="Times New Roman" w:cs="Times New Roman" w:hint="eastAsia"/>
          <w:sz w:val="32"/>
          <w:szCs w:val="32"/>
        </w:rPr>
        <w:t>（一）委托人和房地产价格评估机构的基本情况；</w:t>
      </w:r>
    </w:p>
    <w:p w14:paraId="03F8F95A" w14:textId="77777777" w:rsidR="00D96537" w:rsidRPr="002429EB" w:rsidRDefault="00D96537" w:rsidP="00B21F53">
      <w:pPr>
        <w:spacing w:after="0" w:line="600" w:lineRule="exact"/>
        <w:rPr>
          <w:rFonts w:ascii="方正楷体_GBK" w:eastAsia="方正楷体_GBK" w:hAnsi="Times New Roman" w:cs="Times New Roman"/>
          <w:sz w:val="32"/>
          <w:szCs w:val="32"/>
        </w:rPr>
      </w:pPr>
      <w:r w:rsidRPr="00B21F53">
        <w:rPr>
          <w:rFonts w:ascii="Times New Roman" w:eastAsia="方正仿宋_GBK" w:hAnsi="Times New Roman" w:cs="Times New Roman"/>
          <w:sz w:val="32"/>
          <w:szCs w:val="32"/>
        </w:rPr>
        <w:t xml:space="preserve">　　</w:t>
      </w:r>
      <w:r w:rsidRPr="002429EB">
        <w:rPr>
          <w:rFonts w:ascii="方正楷体_GBK" w:eastAsia="方正楷体_GBK" w:hAnsi="Times New Roman" w:cs="Times New Roman"/>
          <w:sz w:val="32"/>
          <w:szCs w:val="32"/>
        </w:rPr>
        <w:t>（二）负责本评估项目的注册房地产估价师；</w:t>
      </w:r>
    </w:p>
    <w:p w14:paraId="0182B01D" w14:textId="77777777" w:rsidR="00D96537" w:rsidRPr="002429EB" w:rsidRDefault="00D96537" w:rsidP="00B21F53">
      <w:pPr>
        <w:spacing w:after="0" w:line="600" w:lineRule="exact"/>
        <w:rPr>
          <w:rFonts w:ascii="方正楷体_GBK" w:eastAsia="方正楷体_GBK" w:hAnsi="Times New Roman" w:cs="Times New Roman"/>
          <w:sz w:val="32"/>
          <w:szCs w:val="32"/>
        </w:rPr>
      </w:pPr>
      <w:r w:rsidRPr="002429EB">
        <w:rPr>
          <w:rFonts w:ascii="方正楷体_GBK" w:eastAsia="方正楷体_GBK" w:hAnsi="Times New Roman" w:cs="Times New Roman"/>
          <w:sz w:val="32"/>
          <w:szCs w:val="32"/>
        </w:rPr>
        <w:lastRenderedPageBreak/>
        <w:t xml:space="preserve">　　（三）评估目的、评估对象、评估时点等评估基本事项；</w:t>
      </w:r>
    </w:p>
    <w:p w14:paraId="0DAB07C7" w14:textId="77777777" w:rsidR="00D96537" w:rsidRPr="002429EB" w:rsidRDefault="00D96537" w:rsidP="00B21F53">
      <w:pPr>
        <w:spacing w:after="0" w:line="600" w:lineRule="exact"/>
        <w:rPr>
          <w:rFonts w:ascii="方正楷体_GBK" w:eastAsia="方正楷体_GBK" w:hAnsi="Times New Roman" w:cs="Times New Roman"/>
          <w:sz w:val="32"/>
          <w:szCs w:val="32"/>
        </w:rPr>
      </w:pPr>
      <w:r w:rsidRPr="002429EB">
        <w:rPr>
          <w:rFonts w:ascii="方正楷体_GBK" w:eastAsia="方正楷体_GBK" w:hAnsi="Times New Roman" w:cs="Times New Roman"/>
          <w:sz w:val="32"/>
          <w:szCs w:val="32"/>
        </w:rPr>
        <w:t xml:space="preserve">　　（四）委托人应提供的评估所需资料；</w:t>
      </w:r>
    </w:p>
    <w:p w14:paraId="75561C75" w14:textId="77777777" w:rsidR="00D96537" w:rsidRPr="002429EB" w:rsidRDefault="00D96537" w:rsidP="00B21F53">
      <w:pPr>
        <w:spacing w:after="0" w:line="600" w:lineRule="exact"/>
        <w:rPr>
          <w:rFonts w:ascii="方正楷体_GBK" w:eastAsia="方正楷体_GBK" w:hAnsi="Times New Roman" w:cs="Times New Roman"/>
          <w:sz w:val="32"/>
          <w:szCs w:val="32"/>
        </w:rPr>
      </w:pPr>
      <w:r w:rsidRPr="002429EB">
        <w:rPr>
          <w:rFonts w:ascii="方正楷体_GBK" w:eastAsia="方正楷体_GBK" w:hAnsi="Times New Roman" w:cs="Times New Roman"/>
          <w:sz w:val="32"/>
          <w:szCs w:val="32"/>
        </w:rPr>
        <w:t xml:space="preserve">　　（五）评估过程中双方的权利和义务；</w:t>
      </w:r>
    </w:p>
    <w:p w14:paraId="038E9E92" w14:textId="77777777" w:rsidR="00D96537" w:rsidRPr="002429EB" w:rsidRDefault="00D96537" w:rsidP="00B21F53">
      <w:pPr>
        <w:spacing w:after="0" w:line="600" w:lineRule="exact"/>
        <w:rPr>
          <w:rFonts w:ascii="方正楷体_GBK" w:eastAsia="方正楷体_GBK" w:hAnsi="Times New Roman" w:cs="Times New Roman"/>
          <w:sz w:val="32"/>
          <w:szCs w:val="32"/>
        </w:rPr>
      </w:pPr>
      <w:r w:rsidRPr="002429EB">
        <w:rPr>
          <w:rFonts w:ascii="方正楷体_GBK" w:eastAsia="方正楷体_GBK" w:hAnsi="Times New Roman" w:cs="Times New Roman"/>
          <w:sz w:val="32"/>
          <w:szCs w:val="32"/>
        </w:rPr>
        <w:t xml:space="preserve">　　（六）评估费用及收取方式；</w:t>
      </w:r>
    </w:p>
    <w:p w14:paraId="1165EBAF" w14:textId="77777777" w:rsidR="00D96537" w:rsidRPr="002429EB" w:rsidRDefault="00D96537" w:rsidP="00B21F53">
      <w:pPr>
        <w:spacing w:after="0" w:line="600" w:lineRule="exact"/>
        <w:rPr>
          <w:rFonts w:ascii="方正楷体_GBK" w:eastAsia="方正楷体_GBK" w:hAnsi="Times New Roman" w:cs="Times New Roman"/>
          <w:sz w:val="32"/>
          <w:szCs w:val="32"/>
        </w:rPr>
      </w:pPr>
      <w:r w:rsidRPr="002429EB">
        <w:rPr>
          <w:rFonts w:ascii="方正楷体_GBK" w:eastAsia="方正楷体_GBK" w:hAnsi="Times New Roman" w:cs="Times New Roman"/>
          <w:sz w:val="32"/>
          <w:szCs w:val="32"/>
        </w:rPr>
        <w:t xml:space="preserve">　　（七）评估报告交付时间、方式；</w:t>
      </w:r>
    </w:p>
    <w:p w14:paraId="0E0F453C" w14:textId="77777777" w:rsidR="00D96537" w:rsidRPr="002429EB" w:rsidRDefault="00D96537" w:rsidP="00B21F53">
      <w:pPr>
        <w:spacing w:after="0" w:line="600" w:lineRule="exact"/>
        <w:rPr>
          <w:rFonts w:ascii="方正楷体_GBK" w:eastAsia="方正楷体_GBK" w:hAnsi="Times New Roman" w:cs="Times New Roman"/>
          <w:sz w:val="32"/>
          <w:szCs w:val="32"/>
        </w:rPr>
      </w:pPr>
      <w:r w:rsidRPr="002429EB">
        <w:rPr>
          <w:rFonts w:ascii="方正楷体_GBK" w:eastAsia="方正楷体_GBK" w:hAnsi="Times New Roman" w:cs="Times New Roman"/>
          <w:sz w:val="32"/>
          <w:szCs w:val="32"/>
        </w:rPr>
        <w:t xml:space="preserve">　　（八）违约责任；</w:t>
      </w:r>
    </w:p>
    <w:p w14:paraId="7ADFCC29" w14:textId="77777777" w:rsidR="00D96537" w:rsidRPr="002429EB" w:rsidRDefault="00D96537" w:rsidP="00B21F53">
      <w:pPr>
        <w:spacing w:after="0" w:line="600" w:lineRule="exact"/>
        <w:rPr>
          <w:rFonts w:ascii="方正楷体_GBK" w:eastAsia="方正楷体_GBK" w:hAnsi="Times New Roman" w:cs="Times New Roman"/>
          <w:sz w:val="32"/>
          <w:szCs w:val="32"/>
        </w:rPr>
      </w:pPr>
      <w:r w:rsidRPr="002429EB">
        <w:rPr>
          <w:rFonts w:ascii="方正楷体_GBK" w:eastAsia="方正楷体_GBK" w:hAnsi="Times New Roman" w:cs="Times New Roman"/>
          <w:sz w:val="32"/>
          <w:szCs w:val="32"/>
        </w:rPr>
        <w:t xml:space="preserve">　　（九）解决争议的方法；</w:t>
      </w:r>
    </w:p>
    <w:p w14:paraId="76A83807" w14:textId="77777777" w:rsidR="00D96537" w:rsidRPr="002429EB" w:rsidRDefault="00D96537" w:rsidP="00B21F53">
      <w:pPr>
        <w:spacing w:after="0" w:line="600" w:lineRule="exact"/>
        <w:rPr>
          <w:rFonts w:ascii="方正楷体_GBK" w:eastAsia="方正楷体_GBK" w:hAnsi="Times New Roman" w:cs="Times New Roman"/>
          <w:sz w:val="32"/>
          <w:szCs w:val="32"/>
        </w:rPr>
      </w:pPr>
      <w:r w:rsidRPr="002429EB">
        <w:rPr>
          <w:rFonts w:ascii="方正楷体_GBK" w:eastAsia="方正楷体_GBK" w:hAnsi="Times New Roman" w:cs="Times New Roman"/>
          <w:sz w:val="32"/>
          <w:szCs w:val="32"/>
        </w:rPr>
        <w:t xml:space="preserve">　　（十）其他需要载明的事项。</w:t>
      </w:r>
    </w:p>
    <w:p w14:paraId="2E7A5D8E"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w:t>
      </w:r>
      <w:r w:rsidRPr="00B21F53">
        <w:rPr>
          <w:rFonts w:ascii="方正黑体_GBK" w:eastAsia="方正黑体_GBK" w:hAnsi="Times New Roman" w:cs="Times New Roman"/>
          <w:sz w:val="32"/>
          <w:szCs w:val="32"/>
        </w:rPr>
        <w:t>第七条</w:t>
      </w:r>
      <w:r w:rsidRPr="00B21F53">
        <w:rPr>
          <w:rFonts w:ascii="Times New Roman" w:eastAsia="方正仿宋_GBK" w:hAnsi="Times New Roman" w:cs="Times New Roman"/>
          <w:sz w:val="32"/>
          <w:szCs w:val="32"/>
        </w:rPr>
        <w:t xml:space="preserve">　房地产价格评估机构应当指派与房屋征收评估项目工作量相适应的足够数量的注册房地产估价师开展评估工作。</w:t>
      </w:r>
    </w:p>
    <w:p w14:paraId="2763D18D"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房地产价格评估机构不得转让或者变相转让受托的房屋征收评估业务。</w:t>
      </w:r>
    </w:p>
    <w:p w14:paraId="3B6AD435"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w:t>
      </w:r>
      <w:r w:rsidRPr="00B21F53">
        <w:rPr>
          <w:rFonts w:ascii="方正黑体_GBK" w:eastAsia="方正黑体_GBK" w:hAnsi="Times New Roman" w:cs="Times New Roman"/>
          <w:sz w:val="32"/>
          <w:szCs w:val="32"/>
        </w:rPr>
        <w:t>第八条</w:t>
      </w:r>
      <w:r w:rsidRPr="00B21F53">
        <w:rPr>
          <w:rFonts w:ascii="Times New Roman" w:eastAsia="方正仿宋_GBK" w:hAnsi="Times New Roman" w:cs="Times New Roman"/>
          <w:sz w:val="32"/>
          <w:szCs w:val="32"/>
        </w:rPr>
        <w:t xml:space="preserve">　被征收房屋价值评估目的应当表述为</w:t>
      </w:r>
      <w:r w:rsidRPr="00B21F53">
        <w:rPr>
          <w:rFonts w:ascii="Times New Roman" w:eastAsia="方正仿宋_GBK" w:hAnsi="Times New Roman" w:cs="Times New Roman"/>
          <w:sz w:val="32"/>
          <w:szCs w:val="32"/>
        </w:rPr>
        <w:t>“</w:t>
      </w:r>
      <w:r w:rsidRPr="00B21F53">
        <w:rPr>
          <w:rFonts w:ascii="Times New Roman" w:eastAsia="方正仿宋_GBK" w:hAnsi="Times New Roman" w:cs="Times New Roman"/>
          <w:sz w:val="32"/>
          <w:szCs w:val="32"/>
        </w:rPr>
        <w:t>为房屋征收部门与被征收人确定被征收房屋价值的补偿提供依据，评估被征收房屋的价值</w:t>
      </w:r>
      <w:r w:rsidRPr="00B21F53">
        <w:rPr>
          <w:rFonts w:ascii="Times New Roman" w:eastAsia="方正仿宋_GBK" w:hAnsi="Times New Roman" w:cs="Times New Roman"/>
          <w:sz w:val="32"/>
          <w:szCs w:val="32"/>
        </w:rPr>
        <w:t>”</w:t>
      </w:r>
      <w:r w:rsidRPr="00B21F53">
        <w:rPr>
          <w:rFonts w:ascii="Times New Roman" w:eastAsia="方正仿宋_GBK" w:hAnsi="Times New Roman" w:cs="Times New Roman"/>
          <w:sz w:val="32"/>
          <w:szCs w:val="32"/>
        </w:rPr>
        <w:t>。</w:t>
      </w:r>
    </w:p>
    <w:p w14:paraId="0C5BC1C2"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用于产权调换房屋价值评估目的应当表述为</w:t>
      </w:r>
      <w:r w:rsidRPr="00B21F53">
        <w:rPr>
          <w:rFonts w:ascii="Times New Roman" w:eastAsia="方正仿宋_GBK" w:hAnsi="Times New Roman" w:cs="Times New Roman"/>
          <w:sz w:val="32"/>
          <w:szCs w:val="32"/>
        </w:rPr>
        <w:t>“</w:t>
      </w:r>
      <w:r w:rsidRPr="00B21F53">
        <w:rPr>
          <w:rFonts w:ascii="Times New Roman" w:eastAsia="方正仿宋_GBK" w:hAnsi="Times New Roman" w:cs="Times New Roman"/>
          <w:sz w:val="32"/>
          <w:szCs w:val="32"/>
        </w:rPr>
        <w:t>为房屋征收部门与被征收人计算被征收房屋价值与用于产权调换房屋价值的差价提供依据，评估用于产权调换房屋的价值</w:t>
      </w:r>
      <w:r w:rsidRPr="00B21F53">
        <w:rPr>
          <w:rFonts w:ascii="Times New Roman" w:eastAsia="方正仿宋_GBK" w:hAnsi="Times New Roman" w:cs="Times New Roman"/>
          <w:sz w:val="32"/>
          <w:szCs w:val="32"/>
        </w:rPr>
        <w:t>”</w:t>
      </w:r>
      <w:r w:rsidRPr="00B21F53">
        <w:rPr>
          <w:rFonts w:ascii="Times New Roman" w:eastAsia="方正仿宋_GBK" w:hAnsi="Times New Roman" w:cs="Times New Roman"/>
          <w:sz w:val="32"/>
          <w:szCs w:val="32"/>
        </w:rPr>
        <w:t>。</w:t>
      </w:r>
    </w:p>
    <w:p w14:paraId="3724F469"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lastRenderedPageBreak/>
        <w:t xml:space="preserve">　　</w:t>
      </w:r>
      <w:r w:rsidRPr="00B21F53">
        <w:rPr>
          <w:rFonts w:ascii="方正黑体_GBK" w:eastAsia="方正黑体_GBK" w:hAnsi="Times New Roman" w:cs="Times New Roman"/>
          <w:sz w:val="32"/>
          <w:szCs w:val="32"/>
        </w:rPr>
        <w:t>第九条</w:t>
      </w:r>
      <w:r w:rsidRPr="00B21F53">
        <w:rPr>
          <w:rFonts w:ascii="Times New Roman" w:eastAsia="方正仿宋_GBK" w:hAnsi="Times New Roman" w:cs="Times New Roman"/>
          <w:sz w:val="32"/>
          <w:szCs w:val="32"/>
        </w:rPr>
        <w:t xml:space="preserve">　房屋征收评估前，房屋征收部门应当组织有关单位对被征收房屋情况进行调查，明确评估对象。评估对象应当全面、客观，不得遗漏、虚构。</w:t>
      </w:r>
    </w:p>
    <w:p w14:paraId="1FC13E2F"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房屋征收部门应当向受托的房地产价格评估机构提供征收范围内房屋情况，包括已经登记的房屋情况和未经登记建筑的认定、处理结果情况。调查结果应当在房屋征收范围内向被征收人公布。</w:t>
      </w:r>
    </w:p>
    <w:p w14:paraId="537B42FA"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对于已经登记的房屋，其性质、用途和建筑面积，一般以房屋权属证书和房屋登记簿的记载为准；房屋权属证书与房屋登记簿的记载不一致的，除有证据证明房屋登记簿确有错误外，以房屋登记簿为准。对于未经登记的建筑，应当按照市、县级人民政府的认定、处理结果进行评估。</w:t>
      </w:r>
    </w:p>
    <w:p w14:paraId="3AC5499C"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w:t>
      </w:r>
      <w:r w:rsidRPr="00B21F53">
        <w:rPr>
          <w:rFonts w:ascii="方正黑体_GBK" w:eastAsia="方正黑体_GBK" w:hAnsi="Times New Roman" w:cs="Times New Roman"/>
          <w:sz w:val="32"/>
          <w:szCs w:val="32"/>
        </w:rPr>
        <w:t>第十条</w:t>
      </w:r>
      <w:r w:rsidRPr="00B21F53">
        <w:rPr>
          <w:rFonts w:ascii="Times New Roman" w:eastAsia="方正仿宋_GBK" w:hAnsi="Times New Roman" w:cs="Times New Roman"/>
          <w:sz w:val="32"/>
          <w:szCs w:val="32"/>
        </w:rPr>
        <w:t xml:space="preserve">　被征收房屋价值评估时点为房屋征收决定公告之日。</w:t>
      </w:r>
    </w:p>
    <w:p w14:paraId="3DA5C8E1"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用于产权调换房屋价值评估时点应当与被征收房屋价值评估时点一致。</w:t>
      </w:r>
    </w:p>
    <w:p w14:paraId="1C182619"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w:t>
      </w:r>
      <w:r w:rsidRPr="00B21F53">
        <w:rPr>
          <w:rFonts w:ascii="方正黑体_GBK" w:eastAsia="方正黑体_GBK" w:hAnsi="Times New Roman" w:cs="Times New Roman"/>
          <w:sz w:val="32"/>
          <w:szCs w:val="32"/>
        </w:rPr>
        <w:t>第十一条</w:t>
      </w:r>
      <w:r w:rsidRPr="00B21F53">
        <w:rPr>
          <w:rFonts w:ascii="Times New Roman" w:eastAsia="方正仿宋_GBK" w:hAnsi="Times New Roman" w:cs="Times New Roman"/>
          <w:sz w:val="32"/>
          <w:szCs w:val="32"/>
        </w:rPr>
        <w:t xml:space="preserve">　被征收房屋价值是指被征收房屋及其占用范围内的土地使用权在正常交易情况下，由熟悉情况的交易双方以公平交易方式在评估时点自愿进行交易的金额，但不考虑被征收房屋租赁、抵押、查封等因素的影响。</w:t>
      </w:r>
    </w:p>
    <w:p w14:paraId="657A560F"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前款所述不考虑租赁因素的影响，是指评估被征收房屋无租约限制的价值；不考虑抵押、查封因素的影响，是</w:t>
      </w:r>
      <w:r w:rsidRPr="00B21F53">
        <w:rPr>
          <w:rFonts w:ascii="Times New Roman" w:eastAsia="方正仿宋_GBK" w:hAnsi="Times New Roman" w:cs="Times New Roman"/>
          <w:sz w:val="32"/>
          <w:szCs w:val="32"/>
        </w:rPr>
        <w:lastRenderedPageBreak/>
        <w:t>指评估价值中不扣除被征收房屋已抵押担保的债权数额、拖欠的建设工程价款和其他法定优先受偿款。</w:t>
      </w:r>
    </w:p>
    <w:p w14:paraId="21447A82"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w:t>
      </w:r>
      <w:r w:rsidRPr="00B21F53">
        <w:rPr>
          <w:rFonts w:ascii="方正黑体_GBK" w:eastAsia="方正黑体_GBK" w:hAnsi="Times New Roman" w:cs="Times New Roman"/>
          <w:sz w:val="32"/>
          <w:szCs w:val="32"/>
        </w:rPr>
        <w:t>第十二条</w:t>
      </w:r>
      <w:r w:rsidRPr="00B21F53">
        <w:rPr>
          <w:rFonts w:ascii="Times New Roman" w:eastAsia="方正仿宋_GBK" w:hAnsi="Times New Roman" w:cs="Times New Roman"/>
          <w:sz w:val="32"/>
          <w:szCs w:val="32"/>
        </w:rPr>
        <w:t xml:space="preserve">　房地产价格评估机构应当安排注册房地产估价师对被征收房屋进行实地查勘，调查被征收房屋状况，拍摄反映被征收房屋内外部状况的照片等影像资料，做好实地查勘记录，并妥善保管。</w:t>
      </w:r>
    </w:p>
    <w:p w14:paraId="5B1C86C5"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被征收人应当协助注册房地产估价师对被征收房屋进行实地查勘，提供或者协助搜集被征收房屋价值评估所必需的情况和资料。</w:t>
      </w:r>
    </w:p>
    <w:p w14:paraId="706B2096" w14:textId="77777777" w:rsidR="00D96537" w:rsidRPr="00B21F53" w:rsidRDefault="00D96537" w:rsidP="00B21F53">
      <w:pPr>
        <w:spacing w:after="0" w:line="600" w:lineRule="exact"/>
        <w:rPr>
          <w:rFonts w:ascii="Times New Roman" w:eastAsia="方正仿宋_GBK" w:hAnsi="Times New Roman" w:cs="Times New Roman"/>
          <w:sz w:val="32"/>
          <w:szCs w:val="32"/>
        </w:rPr>
      </w:pPr>
    </w:p>
    <w:p w14:paraId="58CDFF58"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房屋征收部门、被征收人和注册房地产估价师应当在实地查勘记录上签字或者盖章确认。被征收人拒绝在实地查勘记录上签字或者盖章的，应当由房屋征收部门、注册房地产估价师和无利害关系的第三人见证，有关情况应当在评估报告中说明。</w:t>
      </w:r>
    </w:p>
    <w:p w14:paraId="71C9BFB0"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w:t>
      </w:r>
      <w:r w:rsidRPr="00B21F53">
        <w:rPr>
          <w:rFonts w:ascii="方正黑体_GBK" w:eastAsia="方正黑体_GBK" w:hAnsi="Times New Roman" w:cs="Times New Roman"/>
          <w:sz w:val="32"/>
          <w:szCs w:val="32"/>
        </w:rPr>
        <w:t>第十三条</w:t>
      </w:r>
      <w:r w:rsidRPr="00B21F53">
        <w:rPr>
          <w:rFonts w:ascii="Times New Roman" w:eastAsia="方正仿宋_GBK" w:hAnsi="Times New Roman" w:cs="Times New Roman"/>
          <w:sz w:val="32"/>
          <w:szCs w:val="32"/>
        </w:rPr>
        <w:t xml:space="preserve">　注册房地产估价师应当根据评估对象和当地房地产市场状况，对市场法、收益法、成本法、假设开发法等评估方法进行适用性分析后，选用其中一种或者多种方法对被征收房屋价值进行评估。</w:t>
      </w:r>
    </w:p>
    <w:p w14:paraId="63CBB247"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被征收房屋的类似房地产有交易的，应当选用市场法评估；被征收房屋或者其类似房地产有经济收益的，应当</w:t>
      </w:r>
      <w:r w:rsidRPr="00B21F53">
        <w:rPr>
          <w:rFonts w:ascii="Times New Roman" w:eastAsia="方正仿宋_GBK" w:hAnsi="Times New Roman" w:cs="Times New Roman"/>
          <w:sz w:val="32"/>
          <w:szCs w:val="32"/>
        </w:rPr>
        <w:lastRenderedPageBreak/>
        <w:t>选用收益法评估；被征收房屋是在建工程的，应当选用假设开发法评估。</w:t>
      </w:r>
    </w:p>
    <w:p w14:paraId="18834B00"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可以同时选用两种以上评估方法评估的，应当选用两种以上评估方法评估，并对各种评估方法的测算结果进行校核和比较分析后，合理确定评估结果。</w:t>
      </w:r>
    </w:p>
    <w:p w14:paraId="7FE1067A"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w:t>
      </w:r>
      <w:r w:rsidRPr="00B21F53">
        <w:rPr>
          <w:rFonts w:ascii="方正黑体_GBK" w:eastAsia="方正黑体_GBK" w:hAnsi="Times New Roman" w:cs="Times New Roman"/>
          <w:sz w:val="32"/>
          <w:szCs w:val="32"/>
        </w:rPr>
        <w:t>第十四条</w:t>
      </w:r>
      <w:r w:rsidRPr="00B21F53">
        <w:rPr>
          <w:rFonts w:ascii="Times New Roman" w:eastAsia="方正仿宋_GBK" w:hAnsi="Times New Roman" w:cs="Times New Roman"/>
          <w:sz w:val="32"/>
          <w:szCs w:val="32"/>
        </w:rPr>
        <w:t xml:space="preserve">　被征收房屋价值评估应当考虑被征收房屋的区位、用途、建筑结构、新旧程度、建筑面积以及占地面积、土地使用权等影响被征收房屋价值的因素。</w:t>
      </w:r>
    </w:p>
    <w:p w14:paraId="76C28176"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被征收房屋室内装饰装修价值，机器设备、物资等搬迁费用，以及停产停业损失等补偿，由征收当事人协商确定；协商不成的，可以委托房地产价格评估机构通过评估确定。</w:t>
      </w:r>
    </w:p>
    <w:p w14:paraId="1EED718C"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w:t>
      </w:r>
      <w:r w:rsidRPr="00B21F53">
        <w:rPr>
          <w:rFonts w:ascii="方正黑体_GBK" w:eastAsia="方正黑体_GBK" w:hAnsi="Times New Roman" w:cs="Times New Roman"/>
          <w:sz w:val="32"/>
          <w:szCs w:val="32"/>
        </w:rPr>
        <w:t>第十五条</w:t>
      </w:r>
      <w:r w:rsidRPr="00B21F53">
        <w:rPr>
          <w:rFonts w:ascii="Times New Roman" w:eastAsia="方正仿宋_GBK" w:hAnsi="Times New Roman" w:cs="Times New Roman"/>
          <w:sz w:val="32"/>
          <w:szCs w:val="32"/>
        </w:rPr>
        <w:t xml:space="preserve">　房屋征收评估价值应当以人民币为计价的货币单位，精确到元。</w:t>
      </w:r>
    </w:p>
    <w:p w14:paraId="1629CE12"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w:t>
      </w:r>
      <w:r w:rsidRPr="00B21F53">
        <w:rPr>
          <w:rFonts w:ascii="方正黑体_GBK" w:eastAsia="方正黑体_GBK" w:hAnsi="Times New Roman" w:cs="Times New Roman"/>
          <w:sz w:val="32"/>
          <w:szCs w:val="32"/>
        </w:rPr>
        <w:t>第十六条</w:t>
      </w:r>
      <w:r w:rsidRPr="00B21F53">
        <w:rPr>
          <w:rFonts w:ascii="Times New Roman" w:eastAsia="方正仿宋_GBK" w:hAnsi="Times New Roman" w:cs="Times New Roman"/>
          <w:sz w:val="32"/>
          <w:szCs w:val="32"/>
        </w:rPr>
        <w:t xml:space="preserve">　房地产价格评估机构应当按照房屋征收评估委托书或者委托合同的约定，向房屋征收部门提供分户的初步评估结果。分户的初步评估结果应当包括评估对象的构成及其基本情况和评估价值。房屋征收部门应当将分户的初步评估结果在征收范围内向被征收人公示。</w:t>
      </w:r>
    </w:p>
    <w:p w14:paraId="5CD34395"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公示期间，房地产价格评估机构应当安排注册房地产估价师对分户的初步评估结果进行现场说明解释。存在错误的，房地产价格评估机构应当修正。</w:t>
      </w:r>
    </w:p>
    <w:p w14:paraId="2FD48A10"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lastRenderedPageBreak/>
        <w:t xml:space="preserve">　　</w:t>
      </w:r>
      <w:r w:rsidRPr="00B21F53">
        <w:rPr>
          <w:rFonts w:ascii="方正黑体_GBK" w:eastAsia="方正黑体_GBK" w:hAnsi="Times New Roman" w:cs="Times New Roman"/>
          <w:sz w:val="32"/>
          <w:szCs w:val="32"/>
        </w:rPr>
        <w:t>第十七条</w:t>
      </w:r>
      <w:r w:rsidRPr="00B21F53">
        <w:rPr>
          <w:rFonts w:ascii="Times New Roman" w:eastAsia="方正仿宋_GBK" w:hAnsi="Times New Roman" w:cs="Times New Roman"/>
          <w:sz w:val="32"/>
          <w:szCs w:val="32"/>
        </w:rPr>
        <w:t xml:space="preserve">　分户初步评估结果公示期满后，房地产价格评估机构应当向房屋征收部门提供委托评估范围内被征收房屋的整体评估报告和分户评估报告。房屋征收部门应当向被征收人转交分户评估报告。</w:t>
      </w:r>
    </w:p>
    <w:p w14:paraId="07C166FA"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整体评估报告和分户评估报告应当由负责房屋征收评估项目的两名以上注册房地产估价师签字，并加盖房地产价格评估机构公章。不得以印章代替签字。</w:t>
      </w:r>
    </w:p>
    <w:p w14:paraId="21982C29"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w:t>
      </w:r>
      <w:r w:rsidRPr="00B21F53">
        <w:rPr>
          <w:rFonts w:ascii="方正黑体_GBK" w:eastAsia="方正黑体_GBK" w:hAnsi="Times New Roman" w:cs="Times New Roman"/>
          <w:sz w:val="32"/>
          <w:szCs w:val="32"/>
        </w:rPr>
        <w:t>第十八条</w:t>
      </w:r>
      <w:r w:rsidRPr="00B21F53">
        <w:rPr>
          <w:rFonts w:ascii="Times New Roman" w:eastAsia="方正仿宋_GBK" w:hAnsi="Times New Roman" w:cs="Times New Roman"/>
          <w:sz w:val="32"/>
          <w:szCs w:val="32"/>
        </w:rPr>
        <w:t xml:space="preserve">　房屋征收评估业务完成后，房地产价格评估机构应当将评估报告及相关资料立卷、归档保管。</w:t>
      </w:r>
    </w:p>
    <w:p w14:paraId="65E2E23B"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w:t>
      </w:r>
      <w:r w:rsidRPr="00B21F53">
        <w:rPr>
          <w:rFonts w:ascii="方正黑体_GBK" w:eastAsia="方正黑体_GBK" w:hAnsi="Times New Roman" w:cs="Times New Roman"/>
          <w:sz w:val="32"/>
          <w:szCs w:val="32"/>
        </w:rPr>
        <w:t>第十九条</w:t>
      </w:r>
      <w:r w:rsidRPr="00B21F53">
        <w:rPr>
          <w:rFonts w:ascii="Times New Roman" w:eastAsia="方正仿宋_GBK" w:hAnsi="Times New Roman" w:cs="Times New Roman"/>
          <w:sz w:val="32"/>
          <w:szCs w:val="32"/>
        </w:rPr>
        <w:t xml:space="preserve">　被征收人或者房屋征收部门对评估报告有疑问的，出具评估报告的房地产价格评估机构应当向其</w:t>
      </w:r>
      <w:proofErr w:type="gramStart"/>
      <w:r w:rsidRPr="00B21F53">
        <w:rPr>
          <w:rFonts w:ascii="Times New Roman" w:eastAsia="方正仿宋_GBK" w:hAnsi="Times New Roman" w:cs="Times New Roman"/>
          <w:sz w:val="32"/>
          <w:szCs w:val="32"/>
        </w:rPr>
        <w:t>作出</w:t>
      </w:r>
      <w:proofErr w:type="gramEnd"/>
      <w:r w:rsidRPr="00B21F53">
        <w:rPr>
          <w:rFonts w:ascii="Times New Roman" w:eastAsia="方正仿宋_GBK" w:hAnsi="Times New Roman" w:cs="Times New Roman"/>
          <w:sz w:val="32"/>
          <w:szCs w:val="32"/>
        </w:rPr>
        <w:t>解释和说明。</w:t>
      </w:r>
    </w:p>
    <w:p w14:paraId="4C0DDA42"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w:t>
      </w:r>
      <w:r w:rsidRPr="00B21F53">
        <w:rPr>
          <w:rFonts w:ascii="方正黑体_GBK" w:eastAsia="方正黑体_GBK" w:hAnsi="Times New Roman" w:cs="Times New Roman"/>
          <w:sz w:val="32"/>
          <w:szCs w:val="32"/>
        </w:rPr>
        <w:t>第二十条</w:t>
      </w:r>
      <w:r w:rsidRPr="00B21F53">
        <w:rPr>
          <w:rFonts w:ascii="Times New Roman" w:eastAsia="方正仿宋_GBK" w:hAnsi="Times New Roman" w:cs="Times New Roman"/>
          <w:sz w:val="32"/>
          <w:szCs w:val="32"/>
        </w:rPr>
        <w:t xml:space="preserve">　被征收人或者房屋征收部门对评估结果有异议的，应当自收到评估报告之日起</w:t>
      </w:r>
      <w:r w:rsidRPr="00B21F53">
        <w:rPr>
          <w:rFonts w:ascii="Times New Roman" w:eastAsia="方正仿宋_GBK" w:hAnsi="Times New Roman" w:cs="Times New Roman"/>
          <w:sz w:val="32"/>
          <w:szCs w:val="32"/>
        </w:rPr>
        <w:t>10</w:t>
      </w:r>
      <w:r w:rsidRPr="00B21F53">
        <w:rPr>
          <w:rFonts w:ascii="Times New Roman" w:eastAsia="方正仿宋_GBK" w:hAnsi="Times New Roman" w:cs="Times New Roman"/>
          <w:sz w:val="32"/>
          <w:szCs w:val="32"/>
        </w:rPr>
        <w:t>日内，向房地产价格评估机构申请复核评估。</w:t>
      </w:r>
    </w:p>
    <w:p w14:paraId="4A7AF43C"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申请复核评估的，应当向原房地产价格评估机构提出书面复核评估申请，并指出评估报告存在的问题。</w:t>
      </w:r>
    </w:p>
    <w:p w14:paraId="69F88EF7"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w:t>
      </w:r>
      <w:r w:rsidRPr="00B21F53">
        <w:rPr>
          <w:rFonts w:ascii="方正黑体_GBK" w:eastAsia="方正黑体_GBK" w:hAnsi="Times New Roman" w:cs="Times New Roman"/>
          <w:sz w:val="32"/>
          <w:szCs w:val="32"/>
        </w:rPr>
        <w:t>第二十一条</w:t>
      </w:r>
      <w:r w:rsidRPr="00B21F53">
        <w:rPr>
          <w:rFonts w:ascii="Times New Roman" w:eastAsia="方正仿宋_GBK" w:hAnsi="Times New Roman" w:cs="Times New Roman"/>
          <w:sz w:val="32"/>
          <w:szCs w:val="32"/>
        </w:rPr>
        <w:t xml:space="preserve">　原房地产价格评估机构应当自收到书面复核评估申请之日起</w:t>
      </w:r>
      <w:r w:rsidRPr="00B21F53">
        <w:rPr>
          <w:rFonts w:ascii="Times New Roman" w:eastAsia="方正仿宋_GBK" w:hAnsi="Times New Roman" w:cs="Times New Roman"/>
          <w:sz w:val="32"/>
          <w:szCs w:val="32"/>
        </w:rPr>
        <w:t>10</w:t>
      </w:r>
      <w:r w:rsidRPr="00B21F53">
        <w:rPr>
          <w:rFonts w:ascii="Times New Roman" w:eastAsia="方正仿宋_GBK" w:hAnsi="Times New Roman" w:cs="Times New Roman"/>
          <w:sz w:val="32"/>
          <w:szCs w:val="32"/>
        </w:rPr>
        <w:t>日内对评估结果进行复核。复核后，改变原评估结果的，应当重新出具评估报告；评估结果没有改变的，应当书面告知复核评估申请人。</w:t>
      </w:r>
    </w:p>
    <w:p w14:paraId="7F918C84"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lastRenderedPageBreak/>
        <w:t xml:space="preserve">　　</w:t>
      </w:r>
      <w:r w:rsidRPr="00B21F53">
        <w:rPr>
          <w:rFonts w:ascii="方正黑体_GBK" w:eastAsia="方正黑体_GBK" w:hAnsi="Times New Roman" w:cs="Times New Roman"/>
          <w:sz w:val="32"/>
          <w:szCs w:val="32"/>
        </w:rPr>
        <w:t>第二十二条</w:t>
      </w:r>
      <w:r w:rsidRPr="00B21F53">
        <w:rPr>
          <w:rFonts w:ascii="Times New Roman" w:eastAsia="方正仿宋_GBK" w:hAnsi="Times New Roman" w:cs="Times New Roman"/>
          <w:sz w:val="32"/>
          <w:szCs w:val="32"/>
        </w:rPr>
        <w:t xml:space="preserve">　被征收人或者房屋征收部门对原房地产价格评估机构的复核结果有异议的，应当自收到复核结果之日起</w:t>
      </w:r>
      <w:r w:rsidRPr="00B21F53">
        <w:rPr>
          <w:rFonts w:ascii="Times New Roman" w:eastAsia="方正仿宋_GBK" w:hAnsi="Times New Roman" w:cs="Times New Roman"/>
          <w:sz w:val="32"/>
          <w:szCs w:val="32"/>
        </w:rPr>
        <w:t>10</w:t>
      </w:r>
      <w:r w:rsidRPr="00B21F53">
        <w:rPr>
          <w:rFonts w:ascii="Times New Roman" w:eastAsia="方正仿宋_GBK" w:hAnsi="Times New Roman" w:cs="Times New Roman"/>
          <w:sz w:val="32"/>
          <w:szCs w:val="32"/>
        </w:rPr>
        <w:t>日内，向被征收房屋所在地评估专家委员会申请鉴定。被征收人对</w:t>
      </w:r>
      <w:proofErr w:type="gramStart"/>
      <w:r w:rsidRPr="00B21F53">
        <w:rPr>
          <w:rFonts w:ascii="Times New Roman" w:eastAsia="方正仿宋_GBK" w:hAnsi="Times New Roman" w:cs="Times New Roman"/>
          <w:sz w:val="32"/>
          <w:szCs w:val="32"/>
        </w:rPr>
        <w:t>补偿仍</w:t>
      </w:r>
      <w:proofErr w:type="gramEnd"/>
      <w:r w:rsidRPr="00B21F53">
        <w:rPr>
          <w:rFonts w:ascii="Times New Roman" w:eastAsia="方正仿宋_GBK" w:hAnsi="Times New Roman" w:cs="Times New Roman"/>
          <w:sz w:val="32"/>
          <w:szCs w:val="32"/>
        </w:rPr>
        <w:t>有异议的，按照《国有土地上房屋征收与补偿条例》第二十六条规定处理。</w:t>
      </w:r>
    </w:p>
    <w:p w14:paraId="0DC8AEA6"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w:t>
      </w:r>
      <w:r w:rsidRPr="00B21F53">
        <w:rPr>
          <w:rFonts w:ascii="方正黑体_GBK" w:eastAsia="方正黑体_GBK" w:hAnsi="Times New Roman" w:cs="Times New Roman"/>
          <w:sz w:val="32"/>
          <w:szCs w:val="32"/>
        </w:rPr>
        <w:t>第二十三条</w:t>
      </w:r>
      <w:r w:rsidRPr="00B21F53">
        <w:rPr>
          <w:rFonts w:ascii="Times New Roman" w:eastAsia="方正仿宋_GBK" w:hAnsi="Times New Roman" w:cs="Times New Roman"/>
          <w:sz w:val="32"/>
          <w:szCs w:val="32"/>
        </w:rPr>
        <w:t xml:space="preserve">　各省、自治区住房城乡建设主管部门和设区城市的房地产管理部门应当组织成立评估专家委员会，对房地产价格评估机构做出的复核结果进行鉴定。</w:t>
      </w:r>
    </w:p>
    <w:p w14:paraId="66E0D22C"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评估专家委员会由房地产估价师以及价格、房地产、土地、城市规划、法律等方面的专家组成。</w:t>
      </w:r>
    </w:p>
    <w:p w14:paraId="59EBC0D8"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w:t>
      </w:r>
      <w:r w:rsidRPr="00B21F53">
        <w:rPr>
          <w:rFonts w:ascii="方正黑体_GBK" w:eastAsia="方正黑体_GBK" w:hAnsi="Times New Roman" w:cs="Times New Roman"/>
          <w:sz w:val="32"/>
          <w:szCs w:val="32"/>
        </w:rPr>
        <w:t>第二十四条</w:t>
      </w:r>
      <w:r w:rsidRPr="00B21F53">
        <w:rPr>
          <w:rFonts w:ascii="Times New Roman" w:eastAsia="方正仿宋_GBK" w:hAnsi="Times New Roman" w:cs="Times New Roman"/>
          <w:sz w:val="32"/>
          <w:szCs w:val="32"/>
        </w:rPr>
        <w:t xml:space="preserve">　评估专家委员会应当选派成员组成专家组，对复核结果进行鉴定。专家组成员为</w:t>
      </w:r>
      <w:r w:rsidRPr="00B21F53">
        <w:rPr>
          <w:rFonts w:ascii="Times New Roman" w:eastAsia="方正仿宋_GBK" w:hAnsi="Times New Roman" w:cs="Times New Roman"/>
          <w:sz w:val="32"/>
          <w:szCs w:val="32"/>
        </w:rPr>
        <w:t>3</w:t>
      </w:r>
      <w:r w:rsidRPr="00B21F53">
        <w:rPr>
          <w:rFonts w:ascii="Times New Roman" w:eastAsia="方正仿宋_GBK" w:hAnsi="Times New Roman" w:cs="Times New Roman"/>
          <w:sz w:val="32"/>
          <w:szCs w:val="32"/>
        </w:rPr>
        <w:t>人以上单数，其中房地产估价师不得少于二分之一。</w:t>
      </w:r>
    </w:p>
    <w:p w14:paraId="4451F6A9"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w:t>
      </w:r>
      <w:r w:rsidRPr="00B21F53">
        <w:rPr>
          <w:rFonts w:ascii="方正黑体_GBK" w:eastAsia="方正黑体_GBK" w:hAnsi="Times New Roman" w:cs="Times New Roman"/>
          <w:sz w:val="32"/>
          <w:szCs w:val="32"/>
        </w:rPr>
        <w:t>第二十五条</w:t>
      </w:r>
      <w:r w:rsidRPr="00B21F53">
        <w:rPr>
          <w:rFonts w:ascii="Times New Roman" w:eastAsia="方正仿宋_GBK" w:hAnsi="Times New Roman" w:cs="Times New Roman"/>
          <w:sz w:val="32"/>
          <w:szCs w:val="32"/>
        </w:rPr>
        <w:t xml:space="preserve">　评估专家委员会应当自收到鉴定申请之日起</w:t>
      </w:r>
      <w:r w:rsidRPr="00B21F53">
        <w:rPr>
          <w:rFonts w:ascii="Times New Roman" w:eastAsia="方正仿宋_GBK" w:hAnsi="Times New Roman" w:cs="Times New Roman"/>
          <w:sz w:val="32"/>
          <w:szCs w:val="32"/>
        </w:rPr>
        <w:t>10</w:t>
      </w:r>
      <w:r w:rsidRPr="00B21F53">
        <w:rPr>
          <w:rFonts w:ascii="Times New Roman" w:eastAsia="方正仿宋_GBK" w:hAnsi="Times New Roman" w:cs="Times New Roman"/>
          <w:sz w:val="32"/>
          <w:szCs w:val="32"/>
        </w:rPr>
        <w:t>日内，对申请鉴定评估报告的评估程序、评估依据、评估假设、评估技术路线、评估方法选用、参数选取、评估结果确定方式等评估技术问题进行审核，出具书面鉴定意见。</w:t>
      </w:r>
    </w:p>
    <w:p w14:paraId="17708338"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经评估专家委员会鉴定，评估报告不存在技术问题的，应当维持评估报告；评估报告存在技术问题的，出具评估报告的房地产价格评估机构应当改正错误，重新出具评估报告。</w:t>
      </w:r>
    </w:p>
    <w:p w14:paraId="5266BC4E"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lastRenderedPageBreak/>
        <w:t xml:space="preserve">　　</w:t>
      </w:r>
      <w:r w:rsidRPr="00B21F53">
        <w:rPr>
          <w:rFonts w:ascii="方正黑体_GBK" w:eastAsia="方正黑体_GBK" w:hAnsi="Times New Roman" w:cs="Times New Roman"/>
          <w:sz w:val="32"/>
          <w:szCs w:val="32"/>
        </w:rPr>
        <w:t>第二十六条</w:t>
      </w:r>
      <w:r w:rsidRPr="00B21F53">
        <w:rPr>
          <w:rFonts w:ascii="Times New Roman" w:eastAsia="方正仿宋_GBK" w:hAnsi="Times New Roman" w:cs="Times New Roman"/>
          <w:sz w:val="32"/>
          <w:szCs w:val="32"/>
        </w:rPr>
        <w:t xml:space="preserve">　房屋征收评估鉴定过程中，房地产价格评估机构应当按照评估专家委员会要求，就鉴定涉及的评估相关事宜进行说明。需要对被征收房屋进行实地查勘和调查的，有关单位和个人应当协助。</w:t>
      </w:r>
    </w:p>
    <w:p w14:paraId="4A52E8AF"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w:t>
      </w:r>
      <w:r w:rsidRPr="00B21F53">
        <w:rPr>
          <w:rFonts w:ascii="方正黑体_GBK" w:eastAsia="方正黑体_GBK" w:hAnsi="Times New Roman" w:cs="Times New Roman"/>
          <w:sz w:val="32"/>
          <w:szCs w:val="32"/>
        </w:rPr>
        <w:t>第二十七条</w:t>
      </w:r>
      <w:r w:rsidRPr="00B21F53">
        <w:rPr>
          <w:rFonts w:ascii="Times New Roman" w:eastAsia="方正仿宋_GBK" w:hAnsi="Times New Roman" w:cs="Times New Roman"/>
          <w:sz w:val="32"/>
          <w:szCs w:val="32"/>
        </w:rPr>
        <w:t xml:space="preserve">　因房屋征收评估、复核评估、鉴定工作需要查询被征收房屋和用于产权调换房屋权属以及相关房地产交易信息的，房地产管理部门及其他相关部门应当提供便利。</w:t>
      </w:r>
    </w:p>
    <w:p w14:paraId="69B54E13"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w:t>
      </w:r>
      <w:r w:rsidRPr="00B21F53">
        <w:rPr>
          <w:rFonts w:ascii="方正黑体_GBK" w:eastAsia="方正黑体_GBK" w:hAnsi="Times New Roman" w:cs="Times New Roman"/>
          <w:sz w:val="32"/>
          <w:szCs w:val="32"/>
        </w:rPr>
        <w:t>第二十八条</w:t>
      </w:r>
      <w:r w:rsidRPr="00B21F53">
        <w:rPr>
          <w:rFonts w:ascii="Times New Roman" w:eastAsia="方正仿宋_GBK" w:hAnsi="Times New Roman" w:cs="Times New Roman"/>
          <w:sz w:val="32"/>
          <w:szCs w:val="32"/>
        </w:rPr>
        <w:t xml:space="preserve">　在房屋征收评估过程中，房屋征收部门或者被征收人不配合、不提供相关资料的，房地产价格评估机构应当在评估报告中说明有关情况。</w:t>
      </w:r>
    </w:p>
    <w:p w14:paraId="6B811A33"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w:t>
      </w:r>
      <w:r w:rsidRPr="00B21F53">
        <w:rPr>
          <w:rFonts w:ascii="方正黑体_GBK" w:eastAsia="方正黑体_GBK" w:hAnsi="Times New Roman" w:cs="Times New Roman"/>
          <w:sz w:val="32"/>
          <w:szCs w:val="32"/>
        </w:rPr>
        <w:t>第二十九条</w:t>
      </w:r>
      <w:r w:rsidRPr="00B21F53">
        <w:rPr>
          <w:rFonts w:ascii="Times New Roman" w:eastAsia="方正仿宋_GBK" w:hAnsi="Times New Roman" w:cs="Times New Roman"/>
          <w:sz w:val="32"/>
          <w:szCs w:val="32"/>
        </w:rPr>
        <w:t xml:space="preserve">　除政府对用于产权调换房屋价格有特别规定外，应当以评估方式确定用于产权调换房屋的市场价值。</w:t>
      </w:r>
    </w:p>
    <w:p w14:paraId="52D6F490"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w:t>
      </w:r>
      <w:r w:rsidRPr="00B21F53">
        <w:rPr>
          <w:rFonts w:ascii="方正黑体_GBK" w:eastAsia="方正黑体_GBK" w:hAnsi="Times New Roman" w:cs="Times New Roman"/>
          <w:sz w:val="32"/>
          <w:szCs w:val="32"/>
        </w:rPr>
        <w:t>第三十条</w:t>
      </w:r>
      <w:r w:rsidRPr="00B21F53">
        <w:rPr>
          <w:rFonts w:ascii="Times New Roman" w:eastAsia="方正仿宋_GBK" w:hAnsi="Times New Roman" w:cs="Times New Roman"/>
          <w:sz w:val="32"/>
          <w:szCs w:val="32"/>
        </w:rPr>
        <w:t xml:space="preserve">　被征收房屋的类似房地产是指与被征收房屋的区位、用途、权利性质、档次、新旧程度、规模、建筑结构等相同或者相似的房地产。</w:t>
      </w:r>
    </w:p>
    <w:p w14:paraId="1B7110A8"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被征收房屋类似房地产的市场价格是指被征收房屋的类似房地产在评估时点的平均交易价格。确定被征收房屋类似房地产的市场价格，应当剔除偶然的和不正常的因素。</w:t>
      </w:r>
    </w:p>
    <w:p w14:paraId="5B98B66D"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w:t>
      </w:r>
      <w:r w:rsidRPr="00B21F53">
        <w:rPr>
          <w:rFonts w:ascii="方正黑体_GBK" w:eastAsia="方正黑体_GBK" w:hAnsi="Times New Roman" w:cs="Times New Roman"/>
          <w:sz w:val="32"/>
          <w:szCs w:val="32"/>
        </w:rPr>
        <w:t>第三十一条</w:t>
      </w:r>
      <w:r w:rsidRPr="00B21F53">
        <w:rPr>
          <w:rFonts w:ascii="Times New Roman" w:eastAsia="方正仿宋_GBK" w:hAnsi="Times New Roman" w:cs="Times New Roman"/>
          <w:sz w:val="32"/>
          <w:szCs w:val="32"/>
        </w:rPr>
        <w:t xml:space="preserve">　房屋征收评估、鉴定费用由委托人承担。但鉴定改变原评估结果的，鉴定费用由原房地产价格评估</w:t>
      </w:r>
      <w:r w:rsidRPr="00B21F53">
        <w:rPr>
          <w:rFonts w:ascii="Times New Roman" w:eastAsia="方正仿宋_GBK" w:hAnsi="Times New Roman" w:cs="Times New Roman"/>
          <w:sz w:val="32"/>
          <w:szCs w:val="32"/>
        </w:rPr>
        <w:lastRenderedPageBreak/>
        <w:t>机构承担。复核评估费用由原房地产价格评估机构承担。房屋征收评估、鉴定费用按照政府价格主管部门规定的收费标准执行。</w:t>
      </w:r>
    </w:p>
    <w:p w14:paraId="0C9B52AF"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w:t>
      </w:r>
      <w:r w:rsidRPr="00B21F53">
        <w:rPr>
          <w:rFonts w:ascii="方正黑体_GBK" w:eastAsia="方正黑体_GBK" w:hAnsi="Times New Roman" w:cs="Times New Roman"/>
          <w:sz w:val="32"/>
          <w:szCs w:val="32"/>
        </w:rPr>
        <w:t>第三十二条</w:t>
      </w:r>
      <w:r w:rsidRPr="00B21F53">
        <w:rPr>
          <w:rFonts w:ascii="Times New Roman" w:eastAsia="方正仿宋_GBK" w:hAnsi="Times New Roman" w:cs="Times New Roman"/>
          <w:sz w:val="32"/>
          <w:szCs w:val="32"/>
        </w:rPr>
        <w:t xml:space="preserve">　在房屋征收评估活动中，房地产价格评估机构和房地产估价师的违法违规行为，按照《国有土地上房屋征收与补偿条例》、《房地产估价机构管理办法》、《注册房地产估价师管理办法》等规定处罚。违反规定收费的，由政府价格主管部门依照《中华人民共和国价格法》规定处罚。</w:t>
      </w:r>
    </w:p>
    <w:p w14:paraId="3DBFCA4F" w14:textId="77777777" w:rsidR="00D96537" w:rsidRPr="00B21F53" w:rsidRDefault="00D96537" w:rsidP="00B21F53">
      <w:pPr>
        <w:spacing w:after="0" w:line="600" w:lineRule="exact"/>
        <w:rPr>
          <w:rFonts w:ascii="Times New Roman" w:eastAsia="方正仿宋_GBK" w:hAnsi="Times New Roman" w:cs="Times New Roman"/>
          <w:sz w:val="32"/>
          <w:szCs w:val="32"/>
        </w:rPr>
      </w:pPr>
      <w:r w:rsidRPr="00B21F53">
        <w:rPr>
          <w:rFonts w:ascii="Times New Roman" w:eastAsia="方正仿宋_GBK" w:hAnsi="Times New Roman" w:cs="Times New Roman"/>
          <w:sz w:val="32"/>
          <w:szCs w:val="32"/>
        </w:rPr>
        <w:t xml:space="preserve">　　</w:t>
      </w:r>
      <w:r w:rsidRPr="00B21F53">
        <w:rPr>
          <w:rFonts w:ascii="方正黑体_GBK" w:eastAsia="方正黑体_GBK" w:hAnsi="Times New Roman" w:cs="Times New Roman"/>
          <w:sz w:val="32"/>
          <w:szCs w:val="32"/>
        </w:rPr>
        <w:t>第三十三条</w:t>
      </w:r>
      <w:r w:rsidRPr="00B21F53">
        <w:rPr>
          <w:rFonts w:ascii="Times New Roman" w:eastAsia="方正仿宋_GBK" w:hAnsi="Times New Roman" w:cs="Times New Roman"/>
          <w:sz w:val="32"/>
          <w:szCs w:val="32"/>
        </w:rPr>
        <w:t xml:space="preserve">　本办法自公布之日起施行。</w:t>
      </w:r>
      <w:r w:rsidRPr="00B21F53">
        <w:rPr>
          <w:rFonts w:ascii="Times New Roman" w:eastAsia="方正仿宋_GBK" w:hAnsi="Times New Roman" w:cs="Times New Roman"/>
          <w:sz w:val="32"/>
          <w:szCs w:val="32"/>
        </w:rPr>
        <w:t>2003</w:t>
      </w:r>
      <w:r w:rsidRPr="00B21F53">
        <w:rPr>
          <w:rFonts w:ascii="Times New Roman" w:eastAsia="方正仿宋_GBK" w:hAnsi="Times New Roman" w:cs="Times New Roman"/>
          <w:sz w:val="32"/>
          <w:szCs w:val="32"/>
        </w:rPr>
        <w:t>年</w:t>
      </w:r>
      <w:r w:rsidRPr="00B21F53">
        <w:rPr>
          <w:rFonts w:ascii="Times New Roman" w:eastAsia="方正仿宋_GBK" w:hAnsi="Times New Roman" w:cs="Times New Roman"/>
          <w:sz w:val="32"/>
          <w:szCs w:val="32"/>
        </w:rPr>
        <w:t>12</w:t>
      </w:r>
      <w:r w:rsidRPr="00B21F53">
        <w:rPr>
          <w:rFonts w:ascii="Times New Roman" w:eastAsia="方正仿宋_GBK" w:hAnsi="Times New Roman" w:cs="Times New Roman"/>
          <w:sz w:val="32"/>
          <w:szCs w:val="32"/>
        </w:rPr>
        <w:t>月</w:t>
      </w:r>
      <w:r w:rsidRPr="00B21F53">
        <w:rPr>
          <w:rFonts w:ascii="Times New Roman" w:eastAsia="方正仿宋_GBK" w:hAnsi="Times New Roman" w:cs="Times New Roman"/>
          <w:sz w:val="32"/>
          <w:szCs w:val="32"/>
        </w:rPr>
        <w:t>1</w:t>
      </w:r>
      <w:r w:rsidRPr="00B21F53">
        <w:rPr>
          <w:rFonts w:ascii="Times New Roman" w:eastAsia="方正仿宋_GBK" w:hAnsi="Times New Roman" w:cs="Times New Roman"/>
          <w:sz w:val="32"/>
          <w:szCs w:val="32"/>
        </w:rPr>
        <w:t>日原建设部发布的《城市房屋拆迁估价指导意见》同时废止。但《国有土地上房屋征收与补偿条例》施行前已依法取得房屋拆迁许可证的项目，继续沿用原有规定。</w:t>
      </w:r>
    </w:p>
    <w:p w14:paraId="01C0FE29" w14:textId="77777777" w:rsidR="00D96537" w:rsidRPr="00B21F53" w:rsidRDefault="00D96537" w:rsidP="00B21F53">
      <w:pPr>
        <w:spacing w:after="0" w:line="600" w:lineRule="exact"/>
        <w:rPr>
          <w:rFonts w:ascii="Times New Roman" w:eastAsia="方正仿宋_GBK" w:hAnsi="Times New Roman" w:cs="Times New Roman"/>
          <w:sz w:val="32"/>
          <w:szCs w:val="32"/>
        </w:rPr>
      </w:pPr>
    </w:p>
    <w:p w14:paraId="63E32CFB" w14:textId="77777777" w:rsidR="004358AB" w:rsidRPr="00B21F53" w:rsidRDefault="004358AB" w:rsidP="00B21F53">
      <w:pPr>
        <w:spacing w:after="0" w:line="600" w:lineRule="exact"/>
        <w:rPr>
          <w:rFonts w:ascii="Times New Roman" w:eastAsia="方正仿宋_GBK" w:hAnsi="Times New Roman" w:cs="Times New Roman"/>
          <w:sz w:val="32"/>
          <w:szCs w:val="32"/>
        </w:rPr>
      </w:pPr>
    </w:p>
    <w:sectPr w:rsidR="004358AB" w:rsidRPr="00B21F53" w:rsidSect="00B21F53">
      <w:pgSz w:w="11906" w:h="16838"/>
      <w:pgMar w:top="1701" w:right="1814" w:bottom="1701"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58724" w14:textId="77777777" w:rsidR="003A4661" w:rsidRDefault="003A4661" w:rsidP="00966CA0">
      <w:pPr>
        <w:spacing w:after="0"/>
      </w:pPr>
      <w:r>
        <w:separator/>
      </w:r>
    </w:p>
  </w:endnote>
  <w:endnote w:type="continuationSeparator" w:id="0">
    <w:p w14:paraId="652FBED6" w14:textId="77777777" w:rsidR="003A4661" w:rsidRDefault="003A4661" w:rsidP="00966C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11ED9" w14:textId="77777777" w:rsidR="003A4661" w:rsidRDefault="003A4661" w:rsidP="00966CA0">
      <w:pPr>
        <w:spacing w:after="0"/>
      </w:pPr>
      <w:r>
        <w:separator/>
      </w:r>
    </w:p>
  </w:footnote>
  <w:footnote w:type="continuationSeparator" w:id="0">
    <w:p w14:paraId="150C524F" w14:textId="77777777" w:rsidR="003A4661" w:rsidRDefault="003A4661" w:rsidP="00966CA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0031EE"/>
    <w:rsid w:val="002429EB"/>
    <w:rsid w:val="00323B43"/>
    <w:rsid w:val="003A4661"/>
    <w:rsid w:val="003D37D8"/>
    <w:rsid w:val="00426133"/>
    <w:rsid w:val="004358AB"/>
    <w:rsid w:val="00447024"/>
    <w:rsid w:val="004B7C90"/>
    <w:rsid w:val="004E00EA"/>
    <w:rsid w:val="005B38E8"/>
    <w:rsid w:val="008A54B0"/>
    <w:rsid w:val="008B7726"/>
    <w:rsid w:val="008F3BE0"/>
    <w:rsid w:val="00966CA0"/>
    <w:rsid w:val="00B21F53"/>
    <w:rsid w:val="00C21EB0"/>
    <w:rsid w:val="00CA0284"/>
    <w:rsid w:val="00CD4496"/>
    <w:rsid w:val="00D31D50"/>
    <w:rsid w:val="00D96537"/>
    <w:rsid w:val="00D9688C"/>
    <w:rsid w:val="00E06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BEA4C"/>
  <w15:docId w15:val="{8803A7E9-49F2-4D18-8039-8663E797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j">
    <w:name w:val="pbj"/>
    <w:basedOn w:val="a"/>
    <w:rsid w:val="00E06C4A"/>
    <w:pPr>
      <w:adjustRightInd/>
      <w:snapToGrid/>
      <w:spacing w:before="100" w:beforeAutospacing="1" w:after="100" w:afterAutospacing="1"/>
    </w:pPr>
    <w:rPr>
      <w:rFonts w:ascii="宋体" w:eastAsia="宋体" w:hAnsi="宋体" w:cs="宋体"/>
      <w:sz w:val="24"/>
      <w:szCs w:val="24"/>
    </w:rPr>
  </w:style>
  <w:style w:type="paragraph" w:styleId="a3">
    <w:name w:val="Normal (Web)"/>
    <w:basedOn w:val="a"/>
    <w:uiPriority w:val="99"/>
    <w:unhideWhenUsed/>
    <w:rsid w:val="00E06C4A"/>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E06C4A"/>
    <w:rPr>
      <w:b/>
      <w:bCs/>
    </w:rPr>
  </w:style>
  <w:style w:type="paragraph" w:styleId="a5">
    <w:name w:val="header"/>
    <w:basedOn w:val="a"/>
    <w:link w:val="a6"/>
    <w:uiPriority w:val="99"/>
    <w:unhideWhenUsed/>
    <w:rsid w:val="00966CA0"/>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rsid w:val="00966CA0"/>
    <w:rPr>
      <w:rFonts w:ascii="Tahoma" w:hAnsi="Tahoma"/>
      <w:sz w:val="18"/>
      <w:szCs w:val="18"/>
    </w:rPr>
  </w:style>
  <w:style w:type="paragraph" w:styleId="a7">
    <w:name w:val="footer"/>
    <w:basedOn w:val="a"/>
    <w:link w:val="a8"/>
    <w:uiPriority w:val="99"/>
    <w:unhideWhenUsed/>
    <w:rsid w:val="00966CA0"/>
    <w:pPr>
      <w:tabs>
        <w:tab w:val="center" w:pos="4153"/>
        <w:tab w:val="right" w:pos="8306"/>
      </w:tabs>
    </w:pPr>
    <w:rPr>
      <w:sz w:val="18"/>
      <w:szCs w:val="18"/>
    </w:rPr>
  </w:style>
  <w:style w:type="character" w:customStyle="1" w:styleId="a8">
    <w:name w:val="页脚 字符"/>
    <w:basedOn w:val="a0"/>
    <w:link w:val="a7"/>
    <w:uiPriority w:val="99"/>
    <w:rsid w:val="00966CA0"/>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750411">
      <w:bodyDiv w:val="1"/>
      <w:marLeft w:val="0"/>
      <w:marRight w:val="0"/>
      <w:marTop w:val="0"/>
      <w:marBottom w:val="0"/>
      <w:divBdr>
        <w:top w:val="none" w:sz="0" w:space="0" w:color="auto"/>
        <w:left w:val="none" w:sz="0" w:space="0" w:color="auto"/>
        <w:bottom w:val="none" w:sz="0" w:space="0" w:color="auto"/>
        <w:right w:val="none" w:sz="0" w:space="0" w:color="auto"/>
      </w:divBdr>
      <w:divsChild>
        <w:div w:id="1297105225">
          <w:marLeft w:val="0"/>
          <w:marRight w:val="0"/>
          <w:marTop w:val="0"/>
          <w:marBottom w:val="0"/>
          <w:divBdr>
            <w:top w:val="none" w:sz="0" w:space="0" w:color="auto"/>
            <w:left w:val="none" w:sz="0" w:space="0" w:color="auto"/>
            <w:bottom w:val="none" w:sz="0" w:space="0" w:color="auto"/>
            <w:right w:val="none" w:sz="0" w:space="0" w:color="auto"/>
          </w:divBdr>
          <w:divsChild>
            <w:div w:id="1350260027">
              <w:marLeft w:val="0"/>
              <w:marRight w:val="0"/>
              <w:marTop w:val="0"/>
              <w:marBottom w:val="0"/>
              <w:divBdr>
                <w:top w:val="none" w:sz="0" w:space="0" w:color="auto"/>
                <w:left w:val="none" w:sz="0" w:space="0" w:color="auto"/>
                <w:bottom w:val="none" w:sz="0" w:space="0" w:color="auto"/>
                <w:right w:val="none" w:sz="0" w:space="0" w:color="auto"/>
              </w:divBdr>
              <w:divsChild>
                <w:div w:id="212726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80151">
      <w:bodyDiv w:val="1"/>
      <w:marLeft w:val="0"/>
      <w:marRight w:val="0"/>
      <w:marTop w:val="0"/>
      <w:marBottom w:val="0"/>
      <w:divBdr>
        <w:top w:val="none" w:sz="0" w:space="0" w:color="auto"/>
        <w:left w:val="none" w:sz="0" w:space="0" w:color="auto"/>
        <w:bottom w:val="none" w:sz="0" w:space="0" w:color="auto"/>
        <w:right w:val="none" w:sz="0" w:space="0" w:color="auto"/>
      </w:divBdr>
      <w:divsChild>
        <w:div w:id="361788756">
          <w:marLeft w:val="0"/>
          <w:marRight w:val="0"/>
          <w:marTop w:val="0"/>
          <w:marBottom w:val="0"/>
          <w:divBdr>
            <w:top w:val="none" w:sz="0" w:space="0" w:color="auto"/>
            <w:left w:val="none" w:sz="0" w:space="0" w:color="auto"/>
            <w:bottom w:val="none" w:sz="0" w:space="0" w:color="auto"/>
            <w:right w:val="none" w:sz="0" w:space="0" w:color="auto"/>
          </w:divBdr>
          <w:divsChild>
            <w:div w:id="320551313">
              <w:marLeft w:val="0"/>
              <w:marRight w:val="0"/>
              <w:marTop w:val="0"/>
              <w:marBottom w:val="0"/>
              <w:divBdr>
                <w:top w:val="none" w:sz="0" w:space="0" w:color="auto"/>
                <w:left w:val="none" w:sz="0" w:space="0" w:color="auto"/>
                <w:bottom w:val="none" w:sz="0" w:space="0" w:color="auto"/>
                <w:right w:val="none" w:sz="0" w:space="0" w:color="auto"/>
              </w:divBdr>
              <w:divsChild>
                <w:div w:id="28639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661</Words>
  <Characters>3769</Characters>
  <Application>Microsoft Office Word</Application>
  <DocSecurity>0</DocSecurity>
  <Lines>31</Lines>
  <Paragraphs>8</Paragraphs>
  <ScaleCrop>false</ScaleCrop>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周新林</dc:creator>
  <cp:keywords/>
  <dc:description/>
  <cp:lastModifiedBy>周 新林</cp:lastModifiedBy>
  <cp:revision>2</cp:revision>
  <dcterms:created xsi:type="dcterms:W3CDTF">2021-12-16T04:55:00Z</dcterms:created>
  <dcterms:modified xsi:type="dcterms:W3CDTF">2021-12-16T04:55:00Z</dcterms:modified>
</cp:coreProperties>
</file>