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20" w:lineRule="exact"/>
        <w:ind w:right="0"/>
        <w:jc w:val="center"/>
        <w:textAlignment w:val="auto"/>
        <w:rPr>
          <w:rFonts w:hint="eastAsia" w:ascii="方正小标宋_GBK" w:hAnsi="方正小标宋_GBK" w:eastAsia="方正小标宋_GBK" w:cs="方正小标宋_GBK"/>
          <w:i w:val="0"/>
          <w:caps w:val="0"/>
          <w:color w:val="auto"/>
          <w:spacing w:val="0"/>
          <w:sz w:val="44"/>
          <w:szCs w:val="44"/>
          <w:shd w:val="clear" w:fill="FFFFFF"/>
        </w:rPr>
      </w:pPr>
      <w:bookmarkStart w:id="0" w:name="_GoBack"/>
      <w:r>
        <w:rPr>
          <w:rFonts w:hint="eastAsia" w:ascii="方正小标宋_GBK" w:hAnsi="方正小标宋_GBK" w:eastAsia="方正小标宋_GBK" w:cs="方正小标宋_GBK"/>
          <w:i w:val="0"/>
          <w:caps w:val="0"/>
          <w:color w:val="auto"/>
          <w:spacing w:val="0"/>
          <w:sz w:val="44"/>
          <w:szCs w:val="44"/>
          <w:shd w:val="clear" w:fill="FFFFFF"/>
        </w:rPr>
        <w:t>全市房屋征收损失补偿和奖励补助科目及</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20" w:lineRule="exact"/>
        <w:ind w:right="0"/>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i w:val="0"/>
          <w:caps w:val="0"/>
          <w:color w:val="auto"/>
          <w:spacing w:val="0"/>
          <w:sz w:val="44"/>
          <w:szCs w:val="44"/>
          <w:shd w:val="clear" w:fill="FFFFFF"/>
        </w:rPr>
        <w:t>单项最高限额标准</w:t>
      </w:r>
    </w:p>
    <w:tbl>
      <w:tblPr>
        <w:tblStyle w:val="3"/>
        <w:tblW w:w="9608"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60"/>
        <w:gridCol w:w="787"/>
        <w:gridCol w:w="1585"/>
        <w:gridCol w:w="564"/>
        <w:gridCol w:w="815"/>
        <w:gridCol w:w="2483"/>
        <w:gridCol w:w="2414"/>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40" w:hRule="atLeast"/>
          <w:jc w:val="center"/>
        </w:trPr>
        <w:tc>
          <w:tcPr>
            <w:tcW w:w="4711" w:type="dxa"/>
            <w:gridSpan w:val="5"/>
            <w:tcBorders>
              <w:top w:val="single" w:color="auto" w:sz="6" w:space="0"/>
              <w:left w:val="single" w:color="auto" w:sz="6" w:space="0"/>
              <w:bottom w:val="nil"/>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补偿科目</w:t>
            </w:r>
          </w:p>
        </w:tc>
        <w:tc>
          <w:tcPr>
            <w:tcW w:w="2483" w:type="dxa"/>
            <w:vMerge w:val="restart"/>
            <w:tcBorders>
              <w:top w:val="single" w:color="auto" w:sz="6" w:space="0"/>
              <w:left w:val="nil"/>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单项最高限额标准</w:t>
            </w:r>
          </w:p>
        </w:tc>
        <w:tc>
          <w:tcPr>
            <w:tcW w:w="2414" w:type="dxa"/>
            <w:vMerge w:val="restart"/>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说明及要求</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0" w:hRule="atLeast"/>
          <w:jc w:val="center"/>
        </w:trPr>
        <w:tc>
          <w:tcPr>
            <w:tcW w:w="960"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方正仿宋_GBK" w:cs="Times New Roman"/>
                <w:color w:val="auto"/>
                <w:sz w:val="28"/>
                <w:szCs w:val="28"/>
              </w:rPr>
            </w:pPr>
          </w:p>
        </w:tc>
        <w:tc>
          <w:tcPr>
            <w:tcW w:w="3751" w:type="dxa"/>
            <w:gridSpan w:val="4"/>
            <w:tcBorders>
              <w:top w:val="nil"/>
              <w:left w:val="nil"/>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单项明细</w:t>
            </w:r>
          </w:p>
        </w:tc>
        <w:tc>
          <w:tcPr>
            <w:tcW w:w="2483" w:type="dxa"/>
            <w:vMerge w:val="continue"/>
            <w:tcBorders>
              <w:top w:val="single" w:color="auto" w:sz="6" w:space="0"/>
              <w:left w:val="nil"/>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8"/>
                <w:szCs w:val="28"/>
              </w:rPr>
            </w:pPr>
          </w:p>
        </w:tc>
        <w:tc>
          <w:tcPr>
            <w:tcW w:w="2414" w:type="dxa"/>
            <w:vMerge w:val="continue"/>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40" w:hRule="atLeast"/>
          <w:jc w:val="center"/>
        </w:trPr>
        <w:tc>
          <w:tcPr>
            <w:tcW w:w="960" w:type="dxa"/>
            <w:vMerge w:val="restart"/>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损失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补偿</w:t>
            </w:r>
          </w:p>
        </w:tc>
        <w:tc>
          <w:tcPr>
            <w:tcW w:w="787"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p>
        </w:tc>
        <w:tc>
          <w:tcPr>
            <w:tcW w:w="2964" w:type="dxa"/>
            <w:gridSpan w:val="3"/>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非住宅的停产停业</w:t>
            </w:r>
          </w:p>
        </w:tc>
        <w:tc>
          <w:tcPr>
            <w:tcW w:w="2483"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w:t>
            </w:r>
          </w:p>
        </w:tc>
        <w:tc>
          <w:tcPr>
            <w:tcW w:w="2414"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各区县按照《实施细则》第四十六条规定执行。</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35" w:hRule="atLeast"/>
          <w:jc w:val="center"/>
        </w:trPr>
        <w:tc>
          <w:tcPr>
            <w:tcW w:w="960" w:type="dxa"/>
            <w:vMerge w:val="continue"/>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8"/>
                <w:szCs w:val="28"/>
              </w:rPr>
            </w:pPr>
          </w:p>
        </w:tc>
        <w:tc>
          <w:tcPr>
            <w:tcW w:w="787" w:type="dxa"/>
            <w:vMerge w:val="restart"/>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w:t>
            </w:r>
          </w:p>
        </w:tc>
        <w:tc>
          <w:tcPr>
            <w:tcW w:w="1585" w:type="dxa"/>
            <w:vMerge w:val="restart"/>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室内装饰装修</w:t>
            </w:r>
          </w:p>
        </w:tc>
        <w:tc>
          <w:tcPr>
            <w:tcW w:w="1379" w:type="dxa"/>
            <w:gridSpan w:val="2"/>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住宅</w:t>
            </w:r>
          </w:p>
        </w:tc>
        <w:tc>
          <w:tcPr>
            <w:tcW w:w="2483"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500元/平方米</w:t>
            </w:r>
          </w:p>
        </w:tc>
        <w:tc>
          <w:tcPr>
            <w:tcW w:w="2414"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right="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可根据装饰装修情况划分不同补偿标准，但最高标准不超过500元/平方米；补偿金额按被征收房屋面积及相应的标准进行计算。2.被征收人对本区县该项补偿标准有异议的，房屋征收当事人可以协商确定补偿金额；协商不成的，可以委托按《实施细则》规定确定的房地产价格评估机构通过评估确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jc w:val="center"/>
        </w:trPr>
        <w:tc>
          <w:tcPr>
            <w:tcW w:w="960" w:type="dxa"/>
            <w:vMerge w:val="continue"/>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8"/>
                <w:szCs w:val="28"/>
              </w:rPr>
            </w:pPr>
          </w:p>
        </w:tc>
        <w:tc>
          <w:tcPr>
            <w:tcW w:w="787" w:type="dxa"/>
            <w:vMerge w:val="continue"/>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8"/>
                <w:szCs w:val="28"/>
              </w:rPr>
            </w:pPr>
          </w:p>
        </w:tc>
        <w:tc>
          <w:tcPr>
            <w:tcW w:w="1585" w:type="dxa"/>
            <w:vMerge w:val="continue"/>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8"/>
                <w:szCs w:val="28"/>
              </w:rPr>
            </w:pPr>
          </w:p>
        </w:tc>
        <w:tc>
          <w:tcPr>
            <w:tcW w:w="1379" w:type="dxa"/>
            <w:gridSpan w:val="2"/>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非住宅</w:t>
            </w:r>
          </w:p>
        </w:tc>
        <w:tc>
          <w:tcPr>
            <w:tcW w:w="2483"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w:t>
            </w:r>
          </w:p>
        </w:tc>
        <w:tc>
          <w:tcPr>
            <w:tcW w:w="2414"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由房屋征收当事人协商确定；协商不成的，可以委托按《实施细则》规定确定的房地产价格评估机构通过评估确定。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960" w:type="dxa"/>
            <w:vMerge w:val="continue"/>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8"/>
                <w:szCs w:val="28"/>
              </w:rPr>
            </w:pPr>
          </w:p>
        </w:tc>
        <w:tc>
          <w:tcPr>
            <w:tcW w:w="787" w:type="dxa"/>
            <w:vMerge w:val="restart"/>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3</w:t>
            </w:r>
          </w:p>
        </w:tc>
        <w:tc>
          <w:tcPr>
            <w:tcW w:w="1585" w:type="dxa"/>
            <w:vMerge w:val="restart"/>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附属设施</w:t>
            </w:r>
          </w:p>
        </w:tc>
        <w:tc>
          <w:tcPr>
            <w:tcW w:w="564" w:type="dxa"/>
            <w:vMerge w:val="restart"/>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80" w:afterAutospacing="0" w:line="300" w:lineRule="exact"/>
              <w:ind w:left="0" w:right="0" w:firstLine="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民用</w:t>
            </w:r>
          </w:p>
        </w:tc>
        <w:tc>
          <w:tcPr>
            <w:tcW w:w="815"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80" w:afterAutospacing="0" w:line="300" w:lineRule="exact"/>
              <w:ind w:left="0" w:right="0" w:firstLine="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水表</w:t>
            </w:r>
          </w:p>
        </w:tc>
        <w:tc>
          <w:tcPr>
            <w:tcW w:w="2483"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600元/户</w:t>
            </w:r>
          </w:p>
        </w:tc>
        <w:tc>
          <w:tcPr>
            <w:tcW w:w="2414" w:type="dxa"/>
            <w:vMerge w:val="restart"/>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1.如有行业现行收费标准的，从其标准规定，否则执行本通知规定</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2.选择货币补偿的，按本通知规定给予补偿；选择房屋产权调换的，不给予补偿。3.本条此处所指的“户”以缴费户为单位。4.其他附属设施损失补偿由各区县结合实际制定补偿标准。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960" w:type="dxa"/>
            <w:vMerge w:val="continue"/>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8"/>
                <w:szCs w:val="28"/>
              </w:rPr>
            </w:pPr>
          </w:p>
        </w:tc>
        <w:tc>
          <w:tcPr>
            <w:tcW w:w="787" w:type="dxa"/>
            <w:vMerge w:val="continue"/>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8"/>
                <w:szCs w:val="28"/>
              </w:rPr>
            </w:pPr>
          </w:p>
        </w:tc>
        <w:tc>
          <w:tcPr>
            <w:tcW w:w="1585" w:type="dxa"/>
            <w:vMerge w:val="continue"/>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8"/>
                <w:szCs w:val="28"/>
              </w:rPr>
            </w:pPr>
          </w:p>
        </w:tc>
        <w:tc>
          <w:tcPr>
            <w:tcW w:w="564" w:type="dxa"/>
            <w:vMerge w:val="continue"/>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8"/>
                <w:szCs w:val="28"/>
              </w:rPr>
            </w:pPr>
          </w:p>
        </w:tc>
        <w:tc>
          <w:tcPr>
            <w:tcW w:w="815"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80" w:afterAutospacing="0" w:line="300" w:lineRule="exact"/>
              <w:ind w:left="0" w:right="0" w:firstLine="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电表</w:t>
            </w:r>
          </w:p>
        </w:tc>
        <w:tc>
          <w:tcPr>
            <w:tcW w:w="2483"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600元/户</w:t>
            </w:r>
          </w:p>
        </w:tc>
        <w:tc>
          <w:tcPr>
            <w:tcW w:w="2414" w:type="dxa"/>
            <w:vMerge w:val="continue"/>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960" w:type="dxa"/>
            <w:vMerge w:val="continue"/>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8"/>
                <w:szCs w:val="28"/>
              </w:rPr>
            </w:pPr>
          </w:p>
        </w:tc>
        <w:tc>
          <w:tcPr>
            <w:tcW w:w="787" w:type="dxa"/>
            <w:vMerge w:val="continue"/>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8"/>
                <w:szCs w:val="28"/>
              </w:rPr>
            </w:pPr>
          </w:p>
        </w:tc>
        <w:tc>
          <w:tcPr>
            <w:tcW w:w="1585" w:type="dxa"/>
            <w:vMerge w:val="continue"/>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8"/>
                <w:szCs w:val="28"/>
              </w:rPr>
            </w:pPr>
          </w:p>
        </w:tc>
        <w:tc>
          <w:tcPr>
            <w:tcW w:w="564" w:type="dxa"/>
            <w:vMerge w:val="continue"/>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8"/>
                <w:szCs w:val="28"/>
              </w:rPr>
            </w:pPr>
          </w:p>
        </w:tc>
        <w:tc>
          <w:tcPr>
            <w:tcW w:w="815"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80" w:afterAutospacing="0" w:line="300" w:lineRule="exact"/>
              <w:ind w:left="0" w:right="0" w:firstLine="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天然气</w:t>
            </w:r>
          </w:p>
        </w:tc>
        <w:tc>
          <w:tcPr>
            <w:tcW w:w="2483"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3500元/户</w:t>
            </w:r>
          </w:p>
        </w:tc>
        <w:tc>
          <w:tcPr>
            <w:tcW w:w="2414" w:type="dxa"/>
            <w:vMerge w:val="continue"/>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960" w:type="dxa"/>
            <w:vMerge w:val="continue"/>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8"/>
                <w:szCs w:val="28"/>
              </w:rPr>
            </w:pPr>
          </w:p>
        </w:tc>
        <w:tc>
          <w:tcPr>
            <w:tcW w:w="787" w:type="dxa"/>
            <w:vMerge w:val="continue"/>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8"/>
                <w:szCs w:val="28"/>
              </w:rPr>
            </w:pPr>
          </w:p>
        </w:tc>
        <w:tc>
          <w:tcPr>
            <w:tcW w:w="1585" w:type="dxa"/>
            <w:vMerge w:val="continue"/>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8"/>
                <w:szCs w:val="28"/>
              </w:rPr>
            </w:pPr>
          </w:p>
        </w:tc>
        <w:tc>
          <w:tcPr>
            <w:tcW w:w="564" w:type="dxa"/>
            <w:vMerge w:val="continue"/>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8"/>
                <w:szCs w:val="28"/>
              </w:rPr>
            </w:pPr>
          </w:p>
        </w:tc>
        <w:tc>
          <w:tcPr>
            <w:tcW w:w="815"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80" w:afterAutospacing="0" w:line="300" w:lineRule="exact"/>
              <w:ind w:left="0" w:right="0" w:firstLine="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闭路</w:t>
            </w:r>
          </w:p>
        </w:tc>
        <w:tc>
          <w:tcPr>
            <w:tcW w:w="2483"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450元/户</w:t>
            </w:r>
          </w:p>
        </w:tc>
        <w:tc>
          <w:tcPr>
            <w:tcW w:w="2414" w:type="dxa"/>
            <w:vMerge w:val="continue"/>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30" w:hRule="atLeast"/>
          <w:jc w:val="center"/>
        </w:trPr>
        <w:tc>
          <w:tcPr>
            <w:tcW w:w="960" w:type="dxa"/>
            <w:vMerge w:val="continue"/>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8"/>
                <w:szCs w:val="28"/>
              </w:rPr>
            </w:pPr>
          </w:p>
        </w:tc>
        <w:tc>
          <w:tcPr>
            <w:tcW w:w="787" w:type="dxa"/>
            <w:vMerge w:val="continue"/>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8"/>
                <w:szCs w:val="28"/>
              </w:rPr>
            </w:pPr>
          </w:p>
        </w:tc>
        <w:tc>
          <w:tcPr>
            <w:tcW w:w="1585" w:type="dxa"/>
            <w:vMerge w:val="continue"/>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8"/>
                <w:szCs w:val="28"/>
              </w:rPr>
            </w:pPr>
          </w:p>
        </w:tc>
        <w:tc>
          <w:tcPr>
            <w:tcW w:w="564" w:type="dxa"/>
            <w:vMerge w:val="continue"/>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8"/>
                <w:szCs w:val="28"/>
              </w:rPr>
            </w:pPr>
          </w:p>
        </w:tc>
        <w:tc>
          <w:tcPr>
            <w:tcW w:w="815"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80" w:afterAutospacing="0" w:line="300" w:lineRule="exact"/>
              <w:ind w:left="0" w:right="0" w:firstLine="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宽带</w:t>
            </w:r>
          </w:p>
        </w:tc>
        <w:tc>
          <w:tcPr>
            <w:tcW w:w="2483"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300元/户</w:t>
            </w:r>
          </w:p>
        </w:tc>
        <w:tc>
          <w:tcPr>
            <w:tcW w:w="2414" w:type="dxa"/>
            <w:vMerge w:val="continue"/>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960" w:type="dxa"/>
            <w:vMerge w:val="continue"/>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8"/>
                <w:szCs w:val="28"/>
              </w:rPr>
            </w:pPr>
          </w:p>
        </w:tc>
        <w:tc>
          <w:tcPr>
            <w:tcW w:w="787" w:type="dxa"/>
            <w:vMerge w:val="continue"/>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8"/>
                <w:szCs w:val="28"/>
              </w:rPr>
            </w:pPr>
          </w:p>
        </w:tc>
        <w:tc>
          <w:tcPr>
            <w:tcW w:w="1585" w:type="dxa"/>
            <w:vMerge w:val="continue"/>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8"/>
                <w:szCs w:val="28"/>
              </w:rPr>
            </w:pPr>
          </w:p>
        </w:tc>
        <w:tc>
          <w:tcPr>
            <w:tcW w:w="1379" w:type="dxa"/>
            <w:gridSpan w:val="2"/>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非民用</w:t>
            </w:r>
          </w:p>
        </w:tc>
        <w:tc>
          <w:tcPr>
            <w:tcW w:w="2483"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w:t>
            </w:r>
          </w:p>
        </w:tc>
        <w:tc>
          <w:tcPr>
            <w:tcW w:w="2414"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各区县根据实际情况，制定具体的非民用附属设施补偿标准。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5" w:hRule="atLeast"/>
          <w:jc w:val="center"/>
        </w:trPr>
        <w:tc>
          <w:tcPr>
            <w:tcW w:w="960"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方正仿宋_GBK" w:cs="Times New Roman"/>
                <w:color w:val="auto"/>
                <w:sz w:val="28"/>
                <w:szCs w:val="28"/>
              </w:rPr>
            </w:pPr>
          </w:p>
        </w:tc>
        <w:tc>
          <w:tcPr>
            <w:tcW w:w="787"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4</w:t>
            </w:r>
          </w:p>
        </w:tc>
        <w:tc>
          <w:tcPr>
            <w:tcW w:w="2964" w:type="dxa"/>
            <w:gridSpan w:val="3"/>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非住宅的设施设备</w:t>
            </w:r>
          </w:p>
        </w:tc>
        <w:tc>
          <w:tcPr>
            <w:tcW w:w="2483"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w:t>
            </w:r>
          </w:p>
        </w:tc>
        <w:tc>
          <w:tcPr>
            <w:tcW w:w="2414"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各区县参照《实施细则》第四十七条规定执行。</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20" w:hRule="atLeast"/>
          <w:jc w:val="center"/>
        </w:trPr>
        <w:tc>
          <w:tcPr>
            <w:tcW w:w="960" w:type="dxa"/>
            <w:vMerge w:val="restart"/>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补助</w:t>
            </w:r>
          </w:p>
        </w:tc>
        <w:tc>
          <w:tcPr>
            <w:tcW w:w="787" w:type="dxa"/>
            <w:vMerge w:val="restart"/>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5</w:t>
            </w:r>
          </w:p>
        </w:tc>
        <w:tc>
          <w:tcPr>
            <w:tcW w:w="1585" w:type="dxa"/>
            <w:vMerge w:val="restart"/>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补偿方式选择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的引导奖励</w:t>
            </w:r>
          </w:p>
        </w:tc>
        <w:tc>
          <w:tcPr>
            <w:tcW w:w="1379" w:type="dxa"/>
            <w:gridSpan w:val="2"/>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住宅</w:t>
            </w:r>
          </w:p>
        </w:tc>
        <w:tc>
          <w:tcPr>
            <w:tcW w:w="2483"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每户最高不超过被征收房屋评估价值的12%，另可再给予最高不超过5平方米的被征收房屋评估价值奖励</w:t>
            </w:r>
          </w:p>
        </w:tc>
        <w:tc>
          <w:tcPr>
            <w:tcW w:w="2414" w:type="dxa"/>
            <w:vMerge w:val="restart"/>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1.各区县根据实际情况，按照本通知要求，以及统筹兼顾原则，制定补偿方式选择的引导奖励政策</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2.同一产权房屋中既有住宅又有非住宅的，分别根据评估价值计算奖励。</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65" w:hRule="atLeast"/>
          <w:jc w:val="center"/>
        </w:trPr>
        <w:tc>
          <w:tcPr>
            <w:tcW w:w="960" w:type="dxa"/>
            <w:vMerge w:val="continue"/>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8"/>
                <w:szCs w:val="28"/>
              </w:rPr>
            </w:pPr>
          </w:p>
        </w:tc>
        <w:tc>
          <w:tcPr>
            <w:tcW w:w="787" w:type="dxa"/>
            <w:vMerge w:val="continue"/>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8"/>
                <w:szCs w:val="28"/>
              </w:rPr>
            </w:pPr>
          </w:p>
        </w:tc>
        <w:tc>
          <w:tcPr>
            <w:tcW w:w="1585" w:type="dxa"/>
            <w:vMerge w:val="continue"/>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8"/>
                <w:szCs w:val="28"/>
              </w:rPr>
            </w:pPr>
          </w:p>
        </w:tc>
        <w:tc>
          <w:tcPr>
            <w:tcW w:w="1379" w:type="dxa"/>
            <w:gridSpan w:val="2"/>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非住宅</w:t>
            </w:r>
          </w:p>
        </w:tc>
        <w:tc>
          <w:tcPr>
            <w:tcW w:w="2483"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每户最高不超过被征收房屋评估价值的5%</w:t>
            </w:r>
          </w:p>
        </w:tc>
        <w:tc>
          <w:tcPr>
            <w:tcW w:w="2414" w:type="dxa"/>
            <w:vMerge w:val="continue"/>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05" w:hRule="atLeast"/>
          <w:jc w:val="center"/>
        </w:trPr>
        <w:tc>
          <w:tcPr>
            <w:tcW w:w="960" w:type="dxa"/>
            <w:vMerge w:val="continue"/>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8"/>
                <w:szCs w:val="28"/>
              </w:rPr>
            </w:pPr>
          </w:p>
        </w:tc>
        <w:tc>
          <w:tcPr>
            <w:tcW w:w="787" w:type="dxa"/>
            <w:vMerge w:val="restart"/>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6</w:t>
            </w:r>
          </w:p>
        </w:tc>
        <w:tc>
          <w:tcPr>
            <w:tcW w:w="1585" w:type="dxa"/>
            <w:vMerge w:val="restart"/>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单户提前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签约奖励</w:t>
            </w:r>
          </w:p>
        </w:tc>
        <w:tc>
          <w:tcPr>
            <w:tcW w:w="1379" w:type="dxa"/>
            <w:gridSpan w:val="2"/>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住宅</w:t>
            </w:r>
          </w:p>
        </w:tc>
        <w:tc>
          <w:tcPr>
            <w:tcW w:w="2483"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500元/户∙日</w:t>
            </w:r>
          </w:p>
        </w:tc>
        <w:tc>
          <w:tcPr>
            <w:tcW w:w="2414" w:type="dxa"/>
            <w:vMerge w:val="restart"/>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1.提前天数自签约之日起计算，截止签约期限届满之日。2.同一产权房屋中既有住宅又有非住宅的，由各区县结合实际情况，制定奖励计算办法。</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55" w:hRule="atLeast"/>
          <w:jc w:val="center"/>
        </w:trPr>
        <w:tc>
          <w:tcPr>
            <w:tcW w:w="960" w:type="dxa"/>
            <w:vMerge w:val="continue"/>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8"/>
                <w:szCs w:val="28"/>
              </w:rPr>
            </w:pPr>
          </w:p>
        </w:tc>
        <w:tc>
          <w:tcPr>
            <w:tcW w:w="787" w:type="dxa"/>
            <w:vMerge w:val="continue"/>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8"/>
                <w:szCs w:val="28"/>
              </w:rPr>
            </w:pPr>
          </w:p>
        </w:tc>
        <w:tc>
          <w:tcPr>
            <w:tcW w:w="1585" w:type="dxa"/>
            <w:vMerge w:val="continue"/>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8"/>
                <w:szCs w:val="28"/>
              </w:rPr>
            </w:pPr>
          </w:p>
        </w:tc>
        <w:tc>
          <w:tcPr>
            <w:tcW w:w="1379" w:type="dxa"/>
            <w:gridSpan w:val="2"/>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非住宅</w:t>
            </w:r>
          </w:p>
        </w:tc>
        <w:tc>
          <w:tcPr>
            <w:tcW w:w="2483"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20元/平方米∙日</w:t>
            </w:r>
          </w:p>
        </w:tc>
        <w:tc>
          <w:tcPr>
            <w:tcW w:w="2414" w:type="dxa"/>
            <w:vMerge w:val="continue"/>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25" w:hRule="atLeast"/>
          <w:jc w:val="center"/>
        </w:trPr>
        <w:tc>
          <w:tcPr>
            <w:tcW w:w="960" w:type="dxa"/>
            <w:vMerge w:val="continue"/>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8"/>
                <w:szCs w:val="28"/>
              </w:rPr>
            </w:pPr>
          </w:p>
        </w:tc>
        <w:tc>
          <w:tcPr>
            <w:tcW w:w="787"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7</w:t>
            </w:r>
          </w:p>
        </w:tc>
        <w:tc>
          <w:tcPr>
            <w:tcW w:w="2964" w:type="dxa"/>
            <w:gridSpan w:val="3"/>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单户按期搬迁奖励</w:t>
            </w:r>
          </w:p>
        </w:tc>
        <w:tc>
          <w:tcPr>
            <w:tcW w:w="2483"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30000元/户</w:t>
            </w:r>
          </w:p>
        </w:tc>
        <w:tc>
          <w:tcPr>
            <w:tcW w:w="2414"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各区县可以根据实际情况，制定针对被征收住宅和被征收非住宅的单户按期搬迁奖励的单项标准，但两类单项标准均不得超过30000元/户。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75" w:hRule="atLeast"/>
          <w:jc w:val="center"/>
        </w:trPr>
        <w:tc>
          <w:tcPr>
            <w:tcW w:w="960" w:type="dxa"/>
            <w:vMerge w:val="continue"/>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8"/>
                <w:szCs w:val="28"/>
              </w:rPr>
            </w:pPr>
          </w:p>
        </w:tc>
        <w:tc>
          <w:tcPr>
            <w:tcW w:w="787" w:type="dxa"/>
            <w:vMerge w:val="restart"/>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8</w:t>
            </w:r>
          </w:p>
        </w:tc>
        <w:tc>
          <w:tcPr>
            <w:tcW w:w="1585" w:type="dxa"/>
            <w:vMerge w:val="restart"/>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搬迁补助</w:t>
            </w:r>
          </w:p>
        </w:tc>
        <w:tc>
          <w:tcPr>
            <w:tcW w:w="1379" w:type="dxa"/>
            <w:gridSpan w:val="2"/>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住宅</w:t>
            </w:r>
          </w:p>
        </w:tc>
        <w:tc>
          <w:tcPr>
            <w:tcW w:w="2483"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2000元/户∙次</w:t>
            </w:r>
          </w:p>
        </w:tc>
        <w:tc>
          <w:tcPr>
            <w:tcW w:w="2414" w:type="dxa"/>
            <w:vMerge w:val="restart"/>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被征收人选择货币补偿方式的，仅享受1次搬迁补助；选择产权调换补偿方式，且须按期搬离被征收房屋的，可以享受2次搬迁补助。2.同一产权房屋中既有住宅又有非住宅的，由各区县结合实际情况，制定搬迁补助计算办法。</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jc w:val="center"/>
        </w:trPr>
        <w:tc>
          <w:tcPr>
            <w:tcW w:w="960" w:type="dxa"/>
            <w:vMerge w:val="continue"/>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8"/>
                <w:szCs w:val="28"/>
              </w:rPr>
            </w:pPr>
          </w:p>
        </w:tc>
        <w:tc>
          <w:tcPr>
            <w:tcW w:w="787" w:type="dxa"/>
            <w:vMerge w:val="continue"/>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8"/>
                <w:szCs w:val="28"/>
              </w:rPr>
            </w:pPr>
          </w:p>
        </w:tc>
        <w:tc>
          <w:tcPr>
            <w:tcW w:w="1585" w:type="dxa"/>
            <w:vMerge w:val="continue"/>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8"/>
                <w:szCs w:val="28"/>
              </w:rPr>
            </w:pPr>
          </w:p>
        </w:tc>
        <w:tc>
          <w:tcPr>
            <w:tcW w:w="1379" w:type="dxa"/>
            <w:gridSpan w:val="2"/>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非住宅</w:t>
            </w:r>
          </w:p>
        </w:tc>
        <w:tc>
          <w:tcPr>
            <w:tcW w:w="2483"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1.商业、办公、业务用房：每户30元/平方米∙次；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2.生产用房：每户40元/平方米∙次。</w:t>
            </w:r>
          </w:p>
        </w:tc>
        <w:tc>
          <w:tcPr>
            <w:tcW w:w="2414" w:type="dxa"/>
            <w:vMerge w:val="continue"/>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45" w:hRule="atLeast"/>
          <w:jc w:val="center"/>
        </w:trPr>
        <w:tc>
          <w:tcPr>
            <w:tcW w:w="960" w:type="dxa"/>
            <w:vMerge w:val="continue"/>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kinsoku/>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8"/>
                <w:szCs w:val="28"/>
              </w:rPr>
            </w:pPr>
          </w:p>
        </w:tc>
        <w:tc>
          <w:tcPr>
            <w:tcW w:w="787"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9</w:t>
            </w:r>
          </w:p>
        </w:tc>
        <w:tc>
          <w:tcPr>
            <w:tcW w:w="1585"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临时安置补助</w:t>
            </w:r>
          </w:p>
        </w:tc>
        <w:tc>
          <w:tcPr>
            <w:tcW w:w="1379" w:type="dxa"/>
            <w:gridSpan w:val="2"/>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住宅</w:t>
            </w:r>
          </w:p>
        </w:tc>
        <w:tc>
          <w:tcPr>
            <w:tcW w:w="2483"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每户30元/平方米·月</w:t>
            </w:r>
          </w:p>
        </w:tc>
        <w:tc>
          <w:tcPr>
            <w:tcW w:w="2414" w:type="dxa"/>
            <w:tcBorders>
              <w:top w:val="nil"/>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300" w:lineRule="exact"/>
              <w:ind w:left="0" w:right="0" w:firstLine="42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选择产权调换补偿方式，且征收人未提供临时周转房屋的，被征收人按照被征收房屋面积，享受每户每月最高不超过30元/平方米的临时安置补助；2.各区县可以根据实际情况，制定单户单月的临时安置补助总金额的上限标准。</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firstLine="42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caps w:val="0"/>
          <w:color w:val="auto"/>
          <w:spacing w:val="0"/>
          <w:sz w:val="32"/>
          <w:szCs w:val="32"/>
          <w:shd w:val="clear" w:fill="FFFFFF"/>
        </w:rPr>
        <w:t>备注：1.除有特别说明外，本表格中的户系指被征收房屋的产权户；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firstLine="42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caps w:val="0"/>
          <w:color w:val="auto"/>
          <w:spacing w:val="0"/>
          <w:sz w:val="32"/>
          <w:szCs w:val="32"/>
          <w:shd w:val="clear" w:fill="FFFFFF"/>
        </w:rPr>
        <w:t>2.本表格中的被征收房屋面积系由房屋产权证载建筑面积和按规定享受最低住房保障政策补足部分面积组成；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firstLine="42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caps w:val="0"/>
          <w:color w:val="auto"/>
          <w:spacing w:val="0"/>
          <w:sz w:val="32"/>
          <w:szCs w:val="32"/>
          <w:shd w:val="clear" w:fill="FFFFFF"/>
        </w:rPr>
        <w:t>3.本表格中的被征收房屋评估价值系指被征收房屋产权证载建筑面积和按规定享受最低住房保障政策补足部分面积所对应的评估价值；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firstLine="42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caps w:val="0"/>
          <w:color w:val="auto"/>
          <w:spacing w:val="0"/>
          <w:sz w:val="32"/>
          <w:szCs w:val="32"/>
          <w:shd w:val="clear" w:fill="FFFFFF"/>
        </w:rPr>
        <w:t>4.区县人民政府不得在本表格规定之外增设补偿科目及其单项，但可以根据实际情况，调减本表格的补偿科目及其单项。</w:t>
      </w:r>
    </w:p>
    <w:p>
      <w:pPr>
        <w:keepNext w:val="0"/>
        <w:keepLines w:val="0"/>
        <w:pageBreakBefore w:val="0"/>
        <w:kinsoku/>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auto"/>
          <w:sz w:val="32"/>
          <w:szCs w:val="32"/>
        </w:rPr>
      </w:pPr>
    </w:p>
    <w:sectPr>
      <w:pgSz w:w="11906" w:h="16838"/>
      <w:pgMar w:top="1440" w:right="1689" w:bottom="1440"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yZjQ2NDY3NjgzMjM0ZDliNmE2M2M0ZDRhMzRjMTcifQ=="/>
  </w:docVars>
  <w:rsids>
    <w:rsidRoot w:val="5F041299"/>
    <w:rsid w:val="48D63910"/>
    <w:rsid w:val="5F041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潮州市直及下属单位</Company>
  <Pages>7</Pages>
  <Words>2796</Words>
  <Characters>2865</Characters>
  <Lines>0</Lines>
  <Paragraphs>0</Paragraphs>
  <TotalTime>12</TotalTime>
  <ScaleCrop>false</ScaleCrop>
  <LinksUpToDate>false</LinksUpToDate>
  <CharactersWithSpaces>2865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2023-01-12T09:44:00Z</dcterms:created>
  <dc:creator>A丽 </dc:creator>
  <cp:lastModifiedBy>Administrator</cp:lastModifiedBy>
  <dcterms:modified xsi:type="dcterms:W3CDTF">2023-01-12T10:05:22Z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A23CD4B487FE482791501EC1AA143EE2</vt:lpwstr>
  </property>
</Properties>
</file>