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黑体" w:hAnsi="黑体" w:eastAsia="黑体"/>
          <w:snapToGrid w:val="0"/>
          <w:sz w:val="30"/>
          <w:szCs w:val="30"/>
        </w:rPr>
      </w:pPr>
      <w:r>
        <w:rPr>
          <w:rFonts w:hint="eastAsia" w:ascii="黑体" w:hAnsi="黑体" w:eastAsia="黑体"/>
          <w:snapToGrid w:val="0"/>
          <w:sz w:val="30"/>
          <w:szCs w:val="30"/>
          <w:lang w:eastAsia="zh-CN"/>
        </w:rPr>
        <w:drawing>
          <wp:inline distT="0" distB="0" distL="114300" distR="114300">
            <wp:extent cx="6022975" cy="8517255"/>
            <wp:effectExtent l="0" t="0" r="15875" b="17145"/>
            <wp:docPr id="50" name="图片 50" descr="同意公示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同意公示说明_00"/>
                    <pic:cNvPicPr>
                      <a:picLocks noChangeAspect="1"/>
                    </pic:cNvPicPr>
                  </pic:nvPicPr>
                  <pic:blipFill>
                    <a:blip r:embed="rId19"/>
                    <a:stretch>
                      <a:fillRect/>
                    </a:stretch>
                  </pic:blipFill>
                  <pic:spPr>
                    <a:xfrm>
                      <a:off x="0" y="0"/>
                      <a:ext cx="6022975" cy="8517255"/>
                    </a:xfrm>
                    <a:prstGeom prst="rect">
                      <a:avLst/>
                    </a:prstGeom>
                  </pic:spPr>
                </pic:pic>
              </a:graphicData>
            </a:graphic>
          </wp:inline>
        </w:drawing>
      </w:r>
      <w:bookmarkStart w:id="8" w:name="_GoBack"/>
      <w:r>
        <w:rPr>
          <w:rFonts w:hint="eastAsia" w:ascii="黑体" w:hAnsi="黑体" w:eastAsia="黑体"/>
          <w:snapToGrid w:val="0"/>
          <w:sz w:val="30"/>
          <w:szCs w:val="30"/>
        </w:rPr>
        <w:drawing>
          <wp:inline distT="0" distB="0" distL="114300" distR="114300">
            <wp:extent cx="5854065" cy="8279765"/>
            <wp:effectExtent l="0" t="0" r="13335" b="6985"/>
            <wp:docPr id="51" name="图片 51" descr="公开信息确认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公开信息确认表_00"/>
                    <pic:cNvPicPr>
                      <a:picLocks noChangeAspect="1"/>
                    </pic:cNvPicPr>
                  </pic:nvPicPr>
                  <pic:blipFill>
                    <a:blip r:embed="rId20"/>
                    <a:stretch>
                      <a:fillRect/>
                    </a:stretch>
                  </pic:blipFill>
                  <pic:spPr>
                    <a:xfrm>
                      <a:off x="0" y="0"/>
                      <a:ext cx="5854065" cy="8279765"/>
                    </a:xfrm>
                    <a:prstGeom prst="rect">
                      <a:avLst/>
                    </a:prstGeom>
                  </pic:spPr>
                </pic:pic>
              </a:graphicData>
            </a:graphic>
          </wp:inline>
        </w:drawing>
      </w:r>
      <w:bookmarkEnd w:id="8"/>
    </w:p>
    <w:p>
      <w:pPr>
        <w:ind w:firstLine="600"/>
        <w:jc w:val="center"/>
        <w:outlineLvl w:val="0"/>
      </w:pPr>
      <w:r>
        <w:rPr>
          <w:rFonts w:hint="eastAsia" w:ascii="黑体" w:hAnsi="黑体" w:eastAsia="黑体"/>
          <w:snapToGrid w:val="0"/>
          <w:sz w:val="30"/>
          <w:szCs w:val="30"/>
        </w:rPr>
        <w:t>一、建设项目基本情况</w:t>
      </w:r>
    </w:p>
    <w:tbl>
      <w:tblPr>
        <w:tblStyle w:val="18"/>
        <w:tblW w:w="9323" w:type="dxa"/>
        <w:tblInd w:w="-26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4"/>
        <w:gridCol w:w="2709"/>
        <w:gridCol w:w="1865"/>
        <w:gridCol w:w="2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建设项目名称</w:t>
            </w:r>
          </w:p>
        </w:tc>
        <w:tc>
          <w:tcPr>
            <w:tcW w:w="7479" w:type="dxa"/>
            <w:gridSpan w:val="3"/>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合深9井钻井工程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项目代码</w:t>
            </w:r>
          </w:p>
        </w:tc>
        <w:tc>
          <w:tcPr>
            <w:tcW w:w="7479" w:type="dxa"/>
            <w:gridSpan w:val="3"/>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2302-500151-04-01-136331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建设单位联系人</w:t>
            </w:r>
          </w:p>
        </w:tc>
        <w:tc>
          <w:tcPr>
            <w:tcW w:w="2709"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黄明洋</w:t>
            </w:r>
          </w:p>
        </w:tc>
        <w:tc>
          <w:tcPr>
            <w:tcW w:w="186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w:t>
            </w:r>
          </w:p>
        </w:tc>
        <w:tc>
          <w:tcPr>
            <w:tcW w:w="2905" w:type="dxa"/>
            <w:vAlign w:val="center"/>
          </w:tcPr>
          <w:p>
            <w:pPr>
              <w:pStyle w:val="15"/>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180</w:t>
            </w:r>
            <w:r>
              <w:rPr>
                <w:rFonts w:hint="eastAsia"/>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建设地点</w:t>
            </w:r>
          </w:p>
        </w:tc>
        <w:tc>
          <w:tcPr>
            <w:tcW w:w="7479" w:type="dxa"/>
            <w:gridSpan w:val="3"/>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重庆市铜梁区维新镇槐树村6组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地理坐标</w:t>
            </w:r>
          </w:p>
        </w:tc>
        <w:tc>
          <w:tcPr>
            <w:tcW w:w="7479" w:type="dxa"/>
            <w:gridSpan w:val="3"/>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106</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度</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04</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分</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秒，</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29</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度</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38</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分</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u w:val="single"/>
                <w14:textFill>
                  <w14:solidFill>
                    <w14:schemeClr w14:val="tx1"/>
                  </w14:solidFill>
                </w14:textFill>
              </w:rPr>
              <w:t>**</w:t>
            </w:r>
            <w:r>
              <w:rPr>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行业类别</w:t>
            </w:r>
          </w:p>
        </w:tc>
        <w:tc>
          <w:tcPr>
            <w:tcW w:w="2709"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四十六 99 陆地矿产资源地质勘查（含油气资源勘探）</w:t>
            </w:r>
          </w:p>
        </w:tc>
        <w:tc>
          <w:tcPr>
            <w:tcW w:w="186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用地（用海）面积（</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长度（</w:t>
            </w:r>
            <w:r>
              <w:rPr>
                <w:color w:val="000000" w:themeColor="text1"/>
                <w:sz w:val="24"/>
                <w:szCs w:val="24"/>
                <w14:textFill>
                  <w14:solidFill>
                    <w14:schemeClr w14:val="tx1"/>
                  </w14:solidFill>
                </w14:textFill>
              </w:rPr>
              <w:t>km</w:t>
            </w:r>
            <w:r>
              <w:rPr>
                <w:rFonts w:hint="eastAsia"/>
                <w:color w:val="000000" w:themeColor="text1"/>
                <w:sz w:val="24"/>
                <w:szCs w:val="24"/>
                <w14:textFill>
                  <w14:solidFill>
                    <w14:schemeClr w14:val="tx1"/>
                  </w14:solidFill>
                </w14:textFill>
              </w:rPr>
              <w:t>）</w:t>
            </w:r>
          </w:p>
        </w:tc>
        <w:tc>
          <w:tcPr>
            <w:tcW w:w="290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23298.0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3"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建设性质</w:t>
            </w:r>
          </w:p>
        </w:tc>
        <w:tc>
          <w:tcPr>
            <w:tcW w:w="2709" w:type="dxa"/>
            <w:vAlign w:val="center"/>
          </w:tcPr>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sym w:font="Wingdings 2" w:char="0052"/>
            </w:r>
            <w:r>
              <w:rPr>
                <w:rFonts w:hint="eastAsia"/>
                <w:color w:val="000000" w:themeColor="text1"/>
                <w:sz w:val="24"/>
                <w:szCs w:val="24"/>
                <w14:textFill>
                  <w14:solidFill>
                    <w14:schemeClr w14:val="tx1"/>
                  </w14:solidFill>
                </w14:textFill>
              </w:rPr>
              <w:t>新建（迁建）</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□改建</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□扩建</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□技术改造</w:t>
            </w:r>
          </w:p>
        </w:tc>
        <w:tc>
          <w:tcPr>
            <w:tcW w:w="186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申报情形</w:t>
            </w:r>
          </w:p>
        </w:tc>
        <w:tc>
          <w:tcPr>
            <w:tcW w:w="2905" w:type="dxa"/>
            <w:vAlign w:val="center"/>
          </w:tcPr>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sym w:font="Wingdings 2" w:char="0052"/>
            </w:r>
            <w:r>
              <w:rPr>
                <w:rFonts w:hint="eastAsia"/>
                <w:color w:val="000000" w:themeColor="text1"/>
                <w:sz w:val="24"/>
                <w:szCs w:val="24"/>
                <w14:textFill>
                  <w14:solidFill>
                    <w14:schemeClr w14:val="tx1"/>
                  </w14:solidFill>
                </w14:textFill>
              </w:rPr>
              <w:t>首次申报项目</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□不予批准后再次申报项目</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□超五年重新审核项目</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项目审批（核准</w:t>
            </w:r>
            <w:r>
              <w:rPr>
                <w:color w:val="000000" w:themeColor="text1"/>
                <w:sz w:val="24"/>
                <w:szCs w:val="24"/>
                <w14:textFill>
                  <w14:solidFill>
                    <w14:schemeClr w14:val="tx1"/>
                  </w14:solidFill>
                </w14:textFill>
              </w:rPr>
              <w:t>/</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备案）部门（选填）</w:t>
            </w:r>
          </w:p>
        </w:tc>
        <w:tc>
          <w:tcPr>
            <w:tcW w:w="2709"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86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项目审批（核准</w:t>
            </w:r>
            <w:r>
              <w:rPr>
                <w:color w:val="000000" w:themeColor="text1"/>
                <w:sz w:val="24"/>
                <w:szCs w:val="24"/>
                <w14:textFill>
                  <w14:solidFill>
                    <w14:schemeClr w14:val="tx1"/>
                  </w14:solidFill>
                </w14:textFill>
              </w:rPr>
              <w:t>/</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备案）文号（选填）</w:t>
            </w:r>
          </w:p>
        </w:tc>
        <w:tc>
          <w:tcPr>
            <w:tcW w:w="290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总投资（万元）</w:t>
            </w:r>
          </w:p>
        </w:tc>
        <w:tc>
          <w:tcPr>
            <w:tcW w:w="2709"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7000</w:t>
            </w:r>
          </w:p>
        </w:tc>
        <w:tc>
          <w:tcPr>
            <w:tcW w:w="1865"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环保投资（万元）</w:t>
            </w:r>
          </w:p>
        </w:tc>
        <w:tc>
          <w:tcPr>
            <w:tcW w:w="290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环保投资占比（</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tc>
        <w:tc>
          <w:tcPr>
            <w:tcW w:w="2709"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4.0</w:t>
            </w:r>
          </w:p>
        </w:tc>
        <w:tc>
          <w:tcPr>
            <w:tcW w:w="1865"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施工工期</w:t>
            </w:r>
          </w:p>
        </w:tc>
        <w:tc>
          <w:tcPr>
            <w:tcW w:w="2905"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4"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是否开工建设</w:t>
            </w:r>
          </w:p>
        </w:tc>
        <w:tc>
          <w:tcPr>
            <w:tcW w:w="7479" w:type="dxa"/>
            <w:gridSpan w:val="3"/>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52"/>
            </w:r>
            <w:r>
              <w:rPr>
                <w:rFonts w:hint="eastAsia"/>
                <w:color w:val="000000" w:themeColor="text1"/>
                <w14:textFill>
                  <w14:solidFill>
                    <w14:schemeClr w14:val="tx1"/>
                  </w14:solidFill>
                </w14:textFill>
              </w:rPr>
              <w:t>否</w:t>
            </w:r>
          </w:p>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□是：</w:t>
            </w:r>
            <w:r>
              <w:rPr>
                <w:color w:val="000000" w:themeColor="text1"/>
                <w:u w:val="single"/>
                <w14:textFill>
                  <w14:solidFill>
                    <w14:schemeClr w14:val="tx1"/>
                  </w14:solidFill>
                </w14:textFill>
              </w:rPr>
              <w:t xml:space="preserve"> </w:t>
            </w:r>
            <w:r>
              <w:rPr>
                <w:rFonts w:hint="eastAsia"/>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26" w:hRule="atLeast"/>
        </w:trPr>
        <w:tc>
          <w:tcPr>
            <w:tcW w:w="1844" w:type="dxa"/>
            <w:tcMar>
              <w:top w:w="16" w:type="dxa"/>
              <w:left w:w="16" w:type="dxa"/>
              <w:right w:w="16" w:type="dxa"/>
            </w:tcMar>
            <w:vAlign w:val="center"/>
          </w:tcPr>
          <w:p>
            <w:pPr>
              <w:pStyle w:val="1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专项评价设置</w:t>
            </w:r>
          </w:p>
          <w:p>
            <w:pPr>
              <w:pStyle w:val="15"/>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情况</w:t>
            </w:r>
          </w:p>
        </w:tc>
        <w:tc>
          <w:tcPr>
            <w:tcW w:w="7479" w:type="dxa"/>
            <w:gridSpan w:val="3"/>
            <w:tcMar>
              <w:top w:w="16" w:type="dxa"/>
              <w:left w:w="16" w:type="dxa"/>
              <w:right w:w="16" w:type="dxa"/>
            </w:tcMar>
            <w:vAlign w:val="center"/>
          </w:tcPr>
          <w:p>
            <w:pPr>
              <w:pStyle w:val="15"/>
              <w:spacing w:line="360" w:lineRule="auto"/>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根据《国民经济行业分类》（GB/T4754-2017），本项目属于“M7471 能源矿产地质勘查”，不属于“建设项目环境影响报告表编制技术指南</w:t>
            </w:r>
          </w:p>
          <w:p>
            <w:pPr>
              <w:pStyle w:val="15"/>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（生态影响类）（试行）”表1中需设置专项评价的项目类别。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97" w:hRule="atLeast"/>
        </w:trPr>
        <w:tc>
          <w:tcPr>
            <w:tcW w:w="1844" w:type="dxa"/>
            <w:tcMar>
              <w:top w:w="16" w:type="dxa"/>
              <w:left w:w="16" w:type="dxa"/>
              <w:right w:w="16" w:type="dxa"/>
            </w:tcMar>
            <w:vAlign w:val="center"/>
          </w:tcPr>
          <w:p>
            <w:pPr>
              <w:pStyle w:val="15"/>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规划情况</w:t>
            </w:r>
          </w:p>
        </w:tc>
        <w:tc>
          <w:tcPr>
            <w:tcW w:w="7479" w:type="dxa"/>
            <w:gridSpan w:val="3"/>
            <w:tcMar>
              <w:top w:w="16" w:type="dxa"/>
              <w:left w:w="16" w:type="dxa"/>
              <w:right w:w="16" w:type="dxa"/>
            </w:tcMar>
            <w:vAlign w:val="center"/>
          </w:tcPr>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规划名称：《重庆市矿产资源总体规划（2021-2025年）》；</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审批机关：/；</w:t>
            </w:r>
          </w:p>
          <w:p>
            <w:pPr>
              <w:pStyle w:val="15"/>
              <w:jc w:val="left"/>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审批文件及文号：/。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26" w:hRule="atLeast"/>
        </w:trPr>
        <w:tc>
          <w:tcPr>
            <w:tcW w:w="1844" w:type="dxa"/>
            <w:tcMar>
              <w:top w:w="16" w:type="dxa"/>
              <w:left w:w="16" w:type="dxa"/>
              <w:right w:w="16"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规划环境影响</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评价情况</w:t>
            </w:r>
          </w:p>
        </w:tc>
        <w:tc>
          <w:tcPr>
            <w:tcW w:w="7479" w:type="dxa"/>
            <w:gridSpan w:val="3"/>
            <w:tcMar>
              <w:top w:w="16" w:type="dxa"/>
              <w:left w:w="16" w:type="dxa"/>
              <w:right w:w="16" w:type="dxa"/>
            </w:tcMar>
            <w:vAlign w:val="center"/>
          </w:tcPr>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规划环评名称：《重庆市矿产资源总体规划(2021-2025年）环境影响报告书》；</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规划环评审批机关：中华人民共和国生态环境部；</w:t>
            </w:r>
          </w:p>
          <w:p>
            <w:pPr>
              <w:pStyle w:val="15"/>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审批文件：关于《重庆市矿产资源总体规划(2021-2025年）环境影响报告书》的审查意见；</w:t>
            </w:r>
          </w:p>
          <w:p>
            <w:pPr>
              <w:pStyle w:val="15"/>
              <w:jc w:val="left"/>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审批文号：环审〔2022〕64号。</w:t>
            </w:r>
          </w:p>
        </w:tc>
      </w:tr>
    </w:tbl>
    <w:p>
      <w:pPr>
        <w:ind w:firstLine="480"/>
        <w:jc w:val="center"/>
        <w:rPr>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规划及规划环境影响评价符合性分析</w:t>
            </w:r>
          </w:p>
        </w:tc>
        <w:tc>
          <w:tcPr>
            <w:tcW w:w="7806" w:type="dxa"/>
          </w:tcPr>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与现行矿产资源规划及规划环评符合性分析</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（1）与《重庆市矿产资源总体规划（2021-2025年）》符合性分析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矿产资源总体规划（2021-2025年）》提出“禁止勘查开发汞、砖瓦用粘土及其他对生态环境可能产生严重破坏且难以恢复的矿产。限制勘查开发耐火粘土、高岭石粘土、硫铁矿、煤、锰等矿产。重点勘查开发天然气、页岩气、煤层气、地热、铝土矿、锶、萤石、重晶石、毒重石、岩盐等矿产”，本项目属于规划提出的重点勘查及开采的矿种（页岩气），符合重庆市矿产资源总体规划（2021-2025年）。</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（2）与《重庆市矿产资源总体规划（2021-2025年）环境影响报告书》及其审查意见（环审〔2022〕64号）符合性分析</w:t>
            </w:r>
          </w:p>
          <w:p>
            <w:pPr>
              <w:spacing w:line="440" w:lineRule="exact"/>
              <w:ind w:firstLine="480" w:firstLineChars="200"/>
              <w:rPr>
                <w:color w:val="000000" w:themeColor="text1"/>
                <w:szCs w:val="24"/>
                <w14:textFill>
                  <w14:solidFill>
                    <w14:schemeClr w14:val="tx1"/>
                  </w14:solidFill>
                </w14:textFill>
              </w:rPr>
            </w:pPr>
            <w:r>
              <w:rPr>
                <w:rFonts w:hint="eastAsia"/>
                <w:color w:val="000000" w:themeColor="text1"/>
                <w14:textFill>
                  <w14:solidFill>
                    <w14:schemeClr w14:val="tx1"/>
                  </w14:solidFill>
                </w14:textFill>
              </w:rPr>
              <w:t>根据《重庆市矿产资源总体规划（</w:t>
            </w:r>
            <w:r>
              <w:rPr>
                <w:rFonts w:hint="eastAsia"/>
                <w:color w:val="000000" w:themeColor="text1"/>
                <w:szCs w:val="24"/>
                <w14:textFill>
                  <w14:solidFill>
                    <w14:schemeClr w14:val="tx1"/>
                  </w14:solidFill>
                </w14:textFill>
              </w:rPr>
              <w:t>2021-2025年</w:t>
            </w:r>
            <w:r>
              <w:rPr>
                <w:rFonts w:hint="eastAsia"/>
                <w:color w:val="000000" w:themeColor="text1"/>
                <w14:textFill>
                  <w14:solidFill>
                    <w14:schemeClr w14:val="tx1"/>
                  </w14:solidFill>
                </w14:textFill>
              </w:rPr>
              <w:t>）环境影响报告书》及其审查意见函</w:t>
            </w:r>
            <w:r>
              <w:rPr>
                <w:rFonts w:hint="eastAsia"/>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环审〔2022〕64号</w:t>
            </w:r>
            <w:r>
              <w:rPr>
                <w:rFonts w:hint="eastAsia"/>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中环境准入条件相关要求有：</w:t>
            </w:r>
            <w:r>
              <w:rPr>
                <w:color w:val="000000" w:themeColor="text1"/>
                <w:szCs w:val="24"/>
                <w14:textFill>
                  <w14:solidFill>
                    <w14:schemeClr w14:val="tx1"/>
                  </w14:solidFill>
                </w14:textFill>
              </w:rPr>
              <w:t>将生态保护红线作为保障和维护区域生态安全的底线，按照生态优先的原则，依法实施强制性保护；生态保护红线内，自然保护地核心保护区原则上禁止人为活动，其他区域严格禁止开发性、生产性建设活动，在符合现行法律法规前提下，除国家重大战略项目外，仅允许对生态功能不造成破坏的有限人为活动，包括因国家重大能源资源安全需要开展的战略性能源资源勘查，公益性自然资源调查和地质勘查。禁止在依法划定的自然保护区、风景名胜区、森林公园、地质公园、湿地公园、世界文化和自然遗产地、永久基本农田、饮用水水源保护区、城镇开发边界等重要生态保护地以及其他法律法规规定的禁采区域内采矿</w:t>
            </w:r>
            <w:r>
              <w:rPr>
                <w:rFonts w:hint="eastAsia"/>
                <w:color w:val="000000" w:themeColor="text1"/>
                <w14:textFill>
                  <w14:solidFill>
                    <w14:schemeClr w14:val="tx1"/>
                  </w14:solidFill>
                </w14:textFill>
              </w:rPr>
              <w:t>；</w:t>
            </w:r>
            <w:r>
              <w:rPr>
                <w:color w:val="000000" w:themeColor="text1"/>
                <w:szCs w:val="24"/>
                <w14:textFill>
                  <w14:solidFill>
                    <w14:schemeClr w14:val="tx1"/>
                  </w14:solidFill>
                </w14:textFill>
              </w:rPr>
              <w:t>严格控制涉及生物多样性保护优先区域、国家重点生态功能区、国家重要生态功能区、水土流失重点防治区等区域矿产开采活动，并采取相应保护措施，防止对区域生物多样性维护、水土保持等生态功能区产生不良环境影响</w:t>
            </w:r>
            <w:r>
              <w:rPr>
                <w:rFonts w:hint="eastAsia"/>
                <w:color w:val="000000" w:themeColor="text1"/>
                <w:szCs w:val="24"/>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拟建项目所在区域不涉及自然保护区、风景名胜区、生态红线等生态敏感区，不会对生态环境产生不可恢复利用的、破坏性的影响。因此，本项目建设符合《重庆市矿产资源总体规划</w:t>
            </w:r>
            <w:r>
              <w:rPr>
                <w:rFonts w:hint="eastAsia"/>
                <w:bCs/>
                <w:color w:val="000000" w:themeColor="text1"/>
                <w14:textFill>
                  <w14:solidFill>
                    <w14:schemeClr w14:val="tx1"/>
                  </w14:solidFill>
                </w14:textFill>
              </w:rPr>
              <w:t>（2021-2025年）</w:t>
            </w:r>
            <w:r>
              <w:rPr>
                <w:rFonts w:hint="eastAsia"/>
                <w:color w:val="000000" w:themeColor="text1"/>
                <w14:textFill>
                  <w14:solidFill>
                    <w14:schemeClr w14:val="tx1"/>
                  </w14:solidFill>
                </w14:textFill>
              </w:rPr>
              <w:t>环境影响报告书》及其审查意见函的相关要求。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其他符合性分析</w:t>
            </w:r>
          </w:p>
        </w:tc>
        <w:tc>
          <w:tcPr>
            <w:tcW w:w="7806" w:type="dxa"/>
          </w:tcPr>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1.1产业政策符合性分析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本项目属于天然气的勘探项目，属于《产业结构调整指导目录（2019年本）》（国家发改委2019年第29号令）中第一类“鼓励类” 第七条 “石油类、天然气”第一款（常规石油、天然气勘探与开采）。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因此，本项目符合国家产业政策。</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1.2与《重庆市产业投资准入工作手册》符合性分析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根据手册划分，本项目位于“其他区县”，无限制性要求，本次勘探作业满足《重庆市产业投资准入工作手册》准入布局要求。</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1.3与《重庆市生态功能区划》（修编）符合性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本项目不涉及自然保护区、森林公园、地质公园和风景名胜区。项目不在《重庆市生态功能区划》（修编）中明确的禁止开发区内，项目建设与重庆市生态功能区划的相关要求无冲突。</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1.4与“三线一单”的符合性</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（1）与《重庆市人民政府关于落实生态保护红线、环境质量底线、资源利用上线制定生态环境准入清单实施生态环境分区管控的实施意见》（渝府发〔2020〕11号）符合性分析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根据http://222.177.117.35:10042/#/login（重庆市“三线一单”智检服务平台）中查询获取的《三线一单检测分析报告》（2021.9.29）可知，本项目位于“铜梁区一般管控单元-琼江中和铜梁段”（环境管控单元 编号ZH50015130003），执行“一般管控单元近郊区（主城西）总体管控方向，铜梁区总体管控要求，”。项目建设用地不在当地城镇建设及规划用地范围内，项目占地不涉及铜梁区生态保护红线范围。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综上，本项目建设符合重庆市“三线一单”总体管控要求。</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pStyle w:val="26"/>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614420" cy="2260600"/>
                  <wp:effectExtent l="0" t="0" r="5080" b="6350"/>
                  <wp:docPr id="2" name="图片 2" descr="C:\Users\Administrator\Desktop\viewPdfByLog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viewPdfByLog_页面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30378" cy="2270184"/>
                          </a:xfrm>
                          <a:prstGeom prst="rect">
                            <a:avLst/>
                          </a:prstGeom>
                          <a:noFill/>
                          <a:ln>
                            <a:noFill/>
                          </a:ln>
                        </pic:spPr>
                      </pic:pic>
                    </a:graphicData>
                  </a:graphic>
                </wp:inline>
              </w:drawing>
            </w:r>
          </w:p>
          <w:p>
            <w:pPr>
              <w:pStyle w:val="26"/>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图1 项目所在管控单元示例图</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2）与《重庆市铜梁区人民政府关于落实生态保护红线、环境质量底线、资源利用上线制定生态环境准入清单实施生态环境分区管控的实施意见》（铜府发〔2020〕8号）、《长江经济带战略环境评价重庆市铜梁区“三线一单”研究报告》符合性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环境管控单元划分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铜梁区人民政府关于落实生态保护红线、环境质量底线、资源利用上线制定生态环境准入清单实施生态环境分区管控的实施意见》（铜府发〔2020〕8号），将环境管控单元包括优先保护单元、重点管控单元、一般管控单元三类。</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根据《长江经济带战略环境评价重庆市铜梁区“三线一单”研究报告》划定成果，并查询重庆“三线一单”智检服务系统，本项目所在区域属于“铜梁区一般管控单元-琼江中和铜梁段”（环境管控单元 编号ZH50015130003），评价区域不涉及生态保护红线等优先保护单元、一般生态空间。</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总体管控要求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根据《重庆市铜梁区人民政府关于落实生态保护红线、环境质量底线、资源利用上线制定生态环境准入清单实施生态环境分区管控的实施意见》（铜府发〔2020〕8号），实施生态环境分区管控。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施差异化管理，保护好巴岳山、毓青山等自然生态环境，形成以生态功能区为支撑，国家禁止开发区域为重要组成部分的生态空间体系。强化污染物排放控制和环境风险防控，持续改善水环境质量，严控用水总量，全方位建设节水型社会；持续改善大气环境质量，建立区域污染联防联控长效机制；优化产业结构布局，强化布局约束，优化人居环境。</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本项目位于重庆市铜梁区维新镇槐树村6组，属于生态影响类建设项目，位于一般管控单元，项目与“三线一单”总体管控要求符合性见表1.4-1。</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headerReference r:id="rId7" w:type="default"/>
          <w:pgSz w:w="11906" w:h="16838"/>
          <w:pgMar w:top="1440" w:right="1800" w:bottom="1440" w:left="1800"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其他符合性分析</w:t>
            </w:r>
          </w:p>
        </w:tc>
        <w:tc>
          <w:tcPr>
            <w:tcW w:w="13357" w:type="dxa"/>
          </w:tcPr>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表1.4-1   项目与“三线一单”符合性分析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1560"/>
              <w:gridCol w:w="5811"/>
              <w:gridCol w:w="2694"/>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环境管控单元编码</w:t>
                  </w:r>
                </w:p>
              </w:tc>
              <w:tc>
                <w:tcPr>
                  <w:tcW w:w="7371" w:type="dxa"/>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环境管控单元名称</w:t>
                  </w:r>
                </w:p>
              </w:tc>
              <w:tc>
                <w:tcPr>
                  <w:tcW w:w="3742" w:type="dxa"/>
                  <w:gridSpan w:val="2"/>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ZH50015130003</w:t>
                  </w:r>
                </w:p>
              </w:tc>
              <w:tc>
                <w:tcPr>
                  <w:tcW w:w="7371" w:type="dxa"/>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铜梁区一般管控单元-琼江中和铜梁段</w:t>
                  </w:r>
                </w:p>
              </w:tc>
              <w:tc>
                <w:tcPr>
                  <w:tcW w:w="3742" w:type="dxa"/>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管控要求层级</w:t>
                  </w:r>
                </w:p>
              </w:tc>
              <w:tc>
                <w:tcPr>
                  <w:tcW w:w="15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管控类型</w:t>
                  </w:r>
                </w:p>
              </w:tc>
              <w:tc>
                <w:tcPr>
                  <w:tcW w:w="581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管控要求</w:t>
                  </w:r>
                </w:p>
              </w:tc>
              <w:tc>
                <w:tcPr>
                  <w:tcW w:w="26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建设项目相关情况</w:t>
                  </w:r>
                </w:p>
              </w:tc>
              <w:tc>
                <w:tcPr>
                  <w:tcW w:w="104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全市总体管控要求</w:t>
                  </w: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5811" w:type="dxa"/>
                  <w:vAlign w:val="center"/>
                </w:tcPr>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p>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4.严格执行相关行业企业布局选址要求，优化环境防护距离设置，按要求设置生态隔离带，防范工业园区（工业集聚区）涉生态环境“邻避”问题，将环境防护距离优化控制在园区边界或用地红线以内。</w:t>
                  </w:r>
                </w:p>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5.加快布局分散的企业向园区集中，鼓励现有工业项目、化工项目分别搬入工业集聚区、化工产业集聚区。</w:t>
                  </w:r>
                </w:p>
                <w:p>
                  <w:pPr>
                    <w:pStyle w:val="3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天然气的勘探项目，属于《产业结构调整指导目录（2019年本）》中鼓励类项目。不属于重化工、纺织、造纸等存在污染风险的工业项目。项目不排放重点重金属（铬、镉、汞、砷、铅等五类重金属）、剧毒物质和持久性有机污染物。本项目不设置环境防护距离，不设置生态隔离带</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5811" w:type="dxa"/>
                  <w:vAlign w:val="center"/>
                </w:tcPr>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7.未达到国家环境质量标准的重点区域、流域的有关地方人民政府，应当制定限期达标规划，并采取措施按期达标。</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8.巩固“十一小”（不符合国家产业政策的小型造纸、制革、印染、染料、炼 焦、炼硫、炼砷、炼油、电镀、农药、涉磷生产和使用等企业）取缔成果，防止死灰复燃。巩固“十一大”（造纸、焦化、氮肥、有色金属、印染、农副产品及食品加工、原料药制造(生化制药)、制革、农药、电镀以及涉磷产品 等）企业污染整治成果。</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9.主城区及江津区、合川区、璧山区、铜梁区二氧化硫、氮氧化物、颗粒物、挥发性有机物严格执行大气污染物特别排放限值，并逐步将执行范围扩大到重点控制区重点行业。</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10.新建、改建、扩建涉VOCs排放的项目，加强源头控制，使用低（无）VOCs含量的原辅料，加强废气收集，安装高效治理设施。有条件的工业集聚区建设集中喷涂中心，配备高效治污设施，替代企业独立喷涂工序。</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11.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6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铜梁区2021年属于环境空气质量</w:t>
                  </w:r>
                  <w:r>
                    <w:rPr>
                      <w:rFonts w:hint="eastAsia"/>
                      <w:color w:val="000000" w:themeColor="text1"/>
                      <w14:textFill>
                        <w14:solidFill>
                          <w14:schemeClr w14:val="tx1"/>
                        </w14:solidFill>
                      </w14:textFill>
                    </w:rPr>
                    <w:t>不达标区，已制定《重庆市铜梁区环境空气质量限期达标规划（2017-2025年）》。</w:t>
                  </w:r>
                  <w:r>
                    <w:rPr>
                      <w:rFonts w:hint="eastAsia"/>
                      <w:color w:val="000000" w:themeColor="text1"/>
                      <w14:textFill>
                        <w14:solidFill>
                          <w14:schemeClr w14:val="tx1"/>
                        </w14:solidFill>
                      </w14:textFill>
                    </w:rPr>
                    <w:cr/>
                  </w:r>
                  <w:r>
                    <w:rPr>
                      <w:color w:val="000000" w:themeColor="text1"/>
                      <w14:textFill>
                        <w14:solidFill>
                          <w14:schemeClr w14:val="tx1"/>
                        </w14:solidFill>
                      </w14:textFill>
                    </w:rPr>
                    <w:t>本项目为</w:t>
                  </w:r>
                  <w:r>
                    <w:rPr>
                      <w:rFonts w:hint="eastAsia"/>
                      <w:color w:val="000000" w:themeColor="text1"/>
                      <w14:textFill>
                        <w14:solidFill>
                          <w14:schemeClr w14:val="tx1"/>
                        </w14:solidFill>
                      </w14:textFill>
                    </w:rPr>
                    <w:t>天然气的勘探项目</w:t>
                  </w:r>
                  <w:r>
                    <w:rPr>
                      <w:color w:val="000000" w:themeColor="text1"/>
                      <w14:textFill>
                        <w14:solidFill>
                          <w14:schemeClr w14:val="tx1"/>
                        </w14:solidFill>
                      </w14:textFill>
                    </w:rPr>
                    <w:t>，不属于“十一小”、“十一大”项目。</w:t>
                  </w:r>
                  <w:r>
                    <w:rPr>
                      <w:rFonts w:hint="eastAsia"/>
                      <w:color w:val="000000" w:themeColor="text1"/>
                      <w14:textFill>
                        <w14:solidFill>
                          <w14:schemeClr w14:val="tx1"/>
                        </w14:solidFill>
                      </w14:textFill>
                    </w:rPr>
                    <w:t>本项目运行期无</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排放。</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本项目钻井废水优先经预处理后回用，不能回用部分拉运至附近稳定运行的污水处理厂处理达标后排放</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5811" w:type="dxa"/>
                  <w:vAlign w:val="center"/>
                </w:tcPr>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12.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13.禁止建设存在重大环境安全隐患的工业项目。严禁工艺技术落后、环境风险高的化工企业向我市转移。</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项目实施过程中严格按照行业环境风险管控要求落实环境风险防范、应急和管理措施。不存在重大环境安全隐患，不属于工艺技术落后、环境风险高的化工企业。</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资源利用效率</w:t>
                  </w:r>
                </w:p>
              </w:tc>
              <w:tc>
                <w:tcPr>
                  <w:tcW w:w="5811" w:type="dxa"/>
                  <w:vAlign w:val="center"/>
                </w:tcPr>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14.加强资源节约集约利用。实行能源、水资源、建设用地总量和强度双控行动，推进节能、节水、节地、节材等节约自然资源行动，从源头减少污染物排放。</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15.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16.电力、钢铁、纺织、造纸、石油石化、化工、食品发酵等高耗水行业达到先进定额标准。</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17.重点控制区域新建高耗能项目单位产品（产值）能耗要达到国际先进水平。</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18.水利水电工程应保证合理的生态流量，具备条件的都应实施生态流量监测监控。</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本项目运行期无</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排放。本项目钻井废水优先经预处理后回用，不能回用部分拉运至附近稳定运行的污水处理厂处理达标后排放。本项目不属于电力、钢</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铁、纺织、造纸、石油石化、化工、食品发酵、水利水电行业，不位于重点控制区域</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近郊区（主城西）管控要求</w:t>
                  </w: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总体管控要求</w:t>
                  </w:r>
                </w:p>
              </w:tc>
              <w:tc>
                <w:tcPr>
                  <w:tcW w:w="5811" w:type="dxa"/>
                  <w:vAlign w:val="center"/>
                </w:tcPr>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1.工业化、城镇化与生态环境保护相协调，严格产业准入，基于水环境承载力，优化区域发展。</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2.加强污染排放管控，着力解决濑溪河、小安溪河、临江河等次级河流水环境污染问题。</w:t>
                  </w:r>
                </w:p>
                <w:p>
                  <w:pPr>
                    <w:pStyle w:val="30"/>
                    <w:jc w:val="both"/>
                    <w:rPr>
                      <w:color w:val="000000" w:themeColor="text1"/>
                      <w14:textFill>
                        <w14:solidFill>
                          <w14:schemeClr w14:val="tx1"/>
                        </w14:solidFill>
                      </w14:textFill>
                    </w:rPr>
                  </w:pPr>
                  <w:r>
                    <w:rPr>
                      <w:color w:val="000000" w:themeColor="text1"/>
                      <w14:textFill>
                        <w14:solidFill>
                          <w14:schemeClr w14:val="tx1"/>
                        </w14:solidFill>
                      </w14:textFill>
                    </w:rPr>
                    <w:t>3.加快供水工程建设，优化水资源配置，解决工程性缺水短板；严格水资源管理，提升利用水平。</w:t>
                  </w:r>
                </w:p>
              </w:tc>
              <w:tc>
                <w:tcPr>
                  <w:tcW w:w="26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本项目符合相关产业政策，在环境承载范围内，在严格采取本报告提出的环境保护措施后，</w:t>
                  </w:r>
                  <w:r>
                    <w:rPr>
                      <w:rFonts w:hint="eastAsia"/>
                      <w:color w:val="000000" w:themeColor="text1"/>
                      <w14:textFill>
                        <w14:solidFill>
                          <w14:schemeClr w14:val="tx1"/>
                        </w14:solidFill>
                      </w14:textFill>
                    </w:rPr>
                    <w:t>项目不能回用部分废水拉运至附近稳定运行的污水处理厂处理达标后排放</w:t>
                  </w:r>
                  <w:r>
                    <w:rPr>
                      <w:color w:val="000000" w:themeColor="text1"/>
                      <w14:textFill>
                        <w14:solidFill>
                          <w14:schemeClr w14:val="tx1"/>
                        </w14:solidFill>
                      </w14:textFill>
                    </w:rPr>
                    <w:t>，可降低项目对环境的影响，不会加重区域水环境污染问题。</w:t>
                  </w:r>
                  <w:r>
                    <w:rPr>
                      <w:rFonts w:hint="eastAsia"/>
                      <w:color w:val="000000" w:themeColor="text1"/>
                      <w14:textFill>
                        <w14:solidFill>
                          <w14:schemeClr w14:val="tx1"/>
                        </w14:solidFill>
                      </w14:textFill>
                    </w:rPr>
                    <w:t>本项目钻井废水经预处理后可回用</w:t>
                  </w:r>
                  <w:r>
                    <w:rPr>
                      <w:color w:val="000000" w:themeColor="text1"/>
                      <w14:textFill>
                        <w14:solidFill>
                          <w14:schemeClr w14:val="tx1"/>
                        </w14:solidFill>
                      </w14:textFill>
                    </w:rPr>
                    <w:t>，不会对区域水资源利用造成较大压力</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铜梁区总体管控要求</w:t>
                  </w: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第一条 保护好巴岳山、毓青山等自然生态环境，形成以生态功能区为支撑，国家禁止开发区域为重要组成部分的生态空间体系</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项目所在地不涉及巴岳山、毓青山等自然生态环境区域</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第三条 城市生活污水处理厂全面达到《城镇污水处理厂污染物排放标准》（GB18919-2002）一级A排放标准</w:t>
                  </w:r>
                </w:p>
              </w:tc>
              <w:tc>
                <w:tcPr>
                  <w:tcW w:w="269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104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Merge w:val="continue"/>
                  <w:vAlign w:val="center"/>
                </w:tcPr>
                <w:p>
                  <w:pPr>
                    <w:pStyle w:val="30"/>
                    <w:rPr>
                      <w:color w:val="000000" w:themeColor="text1"/>
                      <w14:textFill>
                        <w14:solidFill>
                          <w14:schemeClr w14:val="tx1"/>
                        </w14:solidFill>
                      </w14:textFill>
                    </w:rPr>
                  </w:pP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第四条 持续推进企业大气污染防治。二氧化硫、氮氧化物、颗粒物、VOCs严格执行大气污染物特别排放限值，鼓励辖区内水泥、烧结砖瓦窑企业错峰生产</w:t>
                  </w:r>
                </w:p>
              </w:tc>
              <w:tc>
                <w:tcPr>
                  <w:tcW w:w="269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104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013" w:type="dxa"/>
                  <w:vMerge w:val="continue"/>
                  <w:vAlign w:val="center"/>
                </w:tcPr>
                <w:p>
                  <w:pPr>
                    <w:pStyle w:val="30"/>
                    <w:rPr>
                      <w:color w:val="000000" w:themeColor="text1"/>
                      <w14:textFill>
                        <w14:solidFill>
                          <w14:schemeClr w14:val="tx1"/>
                        </w14:solidFill>
                      </w14:textFill>
                    </w:rPr>
                  </w:pPr>
                </w:p>
              </w:tc>
              <w:tc>
                <w:tcPr>
                  <w:tcW w:w="1560" w:type="dxa"/>
                  <w:vMerge w:val="continue"/>
                  <w:vAlign w:val="center"/>
                </w:tcPr>
                <w:p>
                  <w:pPr>
                    <w:pStyle w:val="30"/>
                    <w:rPr>
                      <w:color w:val="000000" w:themeColor="text1"/>
                      <w14:textFill>
                        <w14:solidFill>
                          <w14:schemeClr w14:val="tx1"/>
                        </w14:solidFill>
                      </w14:textFill>
                    </w:rPr>
                  </w:pP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第五条 新建、改建、扩建涉 VOCs的项目，要加强源头控制，使用低（无）VOCs含量的原辅料，加强废气收集，安装高效治理设施</w:t>
                  </w:r>
                </w:p>
              </w:tc>
              <w:tc>
                <w:tcPr>
                  <w:tcW w:w="269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104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Merge w:val="continue"/>
                  <w:vAlign w:val="center"/>
                </w:tcPr>
                <w:p>
                  <w:pPr>
                    <w:pStyle w:val="30"/>
                    <w:rPr>
                      <w:color w:val="000000" w:themeColor="text1"/>
                      <w14:textFill>
                        <w14:solidFill>
                          <w14:schemeClr w14:val="tx1"/>
                        </w14:solidFill>
                      </w14:textFill>
                    </w:rPr>
                  </w:pP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第六条 持续推进小安溪综合整治，加强农业面源污染防治；加快农村分散污水有效处理，推进农村生活垃圾进行集中收集并转运统一处置</w:t>
                  </w:r>
                </w:p>
              </w:tc>
              <w:tc>
                <w:tcPr>
                  <w:tcW w:w="269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104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Merge w:val="continue"/>
                  <w:vAlign w:val="center"/>
                </w:tcPr>
                <w:p>
                  <w:pPr>
                    <w:pStyle w:val="30"/>
                    <w:rPr>
                      <w:color w:val="000000" w:themeColor="text1"/>
                      <w14:textFill>
                        <w14:solidFill>
                          <w14:schemeClr w14:val="tx1"/>
                        </w14:solidFill>
                      </w14:textFill>
                    </w:rPr>
                  </w:pP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第七条 严格落实畜禽养殖规划，取缔或搬迁流小安溪流域禁养区畜禽养殖场</w:t>
                  </w:r>
                </w:p>
              </w:tc>
              <w:tc>
                <w:tcPr>
                  <w:tcW w:w="269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104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第八条  生产、存储危险化学品及产生大量废水的企业，应配套有效措施，防止因渗漏污染地下水、土壤，以及因事故废水直排污染地表水体</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钻井废水优先经预处理后回用，不能回用部分拉运至附近污水处理厂处理达标后排放</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资源利用效率</w:t>
                  </w: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第八条 推行节水措施和中水回用提高水资源回用率，鼓励工业企业提高中水回用率</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钻井废水经预处理后优先回用，实在无法回用部分拉运至附近污水处理厂处理达标后排放</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铜梁区一般管控单元-琼江中和铜梁段</w:t>
                  </w: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空间布局约束</w:t>
                  </w:r>
                </w:p>
              </w:tc>
              <w:tc>
                <w:tcPr>
                  <w:tcW w:w="581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5811" w:type="dxa"/>
                  <w:vAlign w:val="center"/>
                </w:tcPr>
                <w:p>
                  <w:pPr>
                    <w:pStyle w:val="3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1.完善污水管网建设，提高污水收集处理率。</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钻井废水优先经预处理后回用，实在无法回用部分拉运至附近污水处理厂处理达标后排放</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581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vAlign w:val="center"/>
                </w:tcPr>
                <w:p>
                  <w:pPr>
                    <w:pStyle w:val="30"/>
                    <w:rPr>
                      <w:color w:val="000000" w:themeColor="text1"/>
                      <w14:textFill>
                        <w14:solidFill>
                          <w14:schemeClr w14:val="tx1"/>
                        </w14:solidFill>
                      </w14:textFill>
                    </w:rPr>
                  </w:pPr>
                </w:p>
              </w:tc>
              <w:tc>
                <w:tcPr>
                  <w:tcW w:w="15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资源开发效率要求</w:t>
                  </w:r>
                </w:p>
              </w:tc>
              <w:tc>
                <w:tcPr>
                  <w:tcW w:w="581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1.推行节水措施和中水回用提高水资源回用率。</w:t>
                  </w:r>
                  <w:r>
                    <w:rPr>
                      <w:color w:val="000000" w:themeColor="text1"/>
                      <w14:textFill>
                        <w14:solidFill>
                          <w14:schemeClr w14:val="tx1"/>
                        </w14:solidFill>
                      </w14:textFill>
                    </w:rPr>
                    <w:t>鼓励工业企业实施中水回用，推进造纸、化工等重点行业工业水循环利用。</w:t>
                  </w:r>
                </w:p>
              </w:tc>
              <w:tc>
                <w:tcPr>
                  <w:tcW w:w="26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废水全部收集，除综合利用外，不可回用部分全部依托附近污水处理厂处理，现场不外排</w:t>
                  </w:r>
                </w:p>
              </w:tc>
              <w:tc>
                <w:tcPr>
                  <w:tcW w:w="104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pgSz w:w="16838" w:h="11906" w:orient="landscape"/>
          <w:pgMar w:top="1797" w:right="1440" w:bottom="1797" w:left="1440"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其他符合性分析</w:t>
            </w:r>
          </w:p>
        </w:tc>
        <w:tc>
          <w:tcPr>
            <w:tcW w:w="7711" w:type="dxa"/>
          </w:tcPr>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1.5与《重庆市长江经济带发展负面清单实施细则（试行）》符合性分析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本项目与《重庆市长江经济带发展负面清单实施细则（试行）》符合性分析详见表1.5-1。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表1.5-1   符合性分析（摘录部分）</w:t>
            </w:r>
          </w:p>
          <w:tbl>
            <w:tblPr>
              <w:tblStyle w:val="19"/>
              <w:tblW w:w="7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24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52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负面清单内容</w:t>
                  </w:r>
                </w:p>
              </w:tc>
              <w:tc>
                <w:tcPr>
                  <w:tcW w:w="164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52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64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项目所在地不涉及自然保护区、风景名胜区等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52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64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项目所在地不涉及饮用水源保护区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六</w:t>
                  </w:r>
                </w:p>
              </w:tc>
              <w:tc>
                <w:tcPr>
                  <w:tcW w:w="52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64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项目属于天然气勘探项目，钻井过程中占用的基本农田已按相关要求完善手续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九</w:t>
                  </w:r>
                </w:p>
              </w:tc>
              <w:tc>
                <w:tcPr>
                  <w:tcW w:w="52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禁止新建、扩建法律法规和相关政策命令禁止的落后产能项目</w:t>
                  </w:r>
                </w:p>
              </w:tc>
              <w:tc>
                <w:tcPr>
                  <w:tcW w:w="164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项目属于《产业结构调整指导目录（2019年本）》中的鼓励类建设项目</w:t>
                  </w:r>
                </w:p>
              </w:tc>
            </w:tr>
          </w:tbl>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1.6与当地城镇规划符合性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拟建的合深9井钻井工程项目位于重庆市铜梁区维新镇槐树村6组，所在地为农村地区，主要发展农业，距离重庆市铜梁区维新镇直线距离约2.0km。本工程位于农村生态环境，用地类型为农业用地，井场周边没有其它工业污染源，井场选址不涉及集中式饮用水水源保护区、自然保护区、风景名胜区等环境敏感区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根据重庆市铜梁区规划和自然资源局确认（见附件3），项目选址不在维新镇场镇规划及相关规划范围内，与当地城镇规划相符。</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1.7与行业相关环境保护政策符合性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（1）与《石油天然气开采业污染防治技术政策》（国家环保部公告2012年第18号）符合性</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表1.7-1   与《石油天然气开采业污染防治技术政策》对比分析表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402"/>
              <w:gridCol w:w="142"/>
              <w:gridCol w:w="2409"/>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技术政策要求</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6884"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清洁生产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油气田建设应总体规划，优化布局，整体开发，减少占地和油气损失，实现油气和废物的集中收集、处理处置</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项目属于气田的勘探，占地较少，废水集中收集后优先回用，废物收集后集中进行处置</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油气田开发不得使用含有国际公约禁用化学物质的油气田化学剂，逐步淘汰微毒及以上油气田化学剂，鼓励使用无毒油气田化学剂</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项目采用无毒油气田化学剂</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在油气勘探过程中，宜使用环保型炸药和可控震源，应采取防渗等措施预防燃料泄漏对环境的污染</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项目无需炸药，油罐区采取地面硬化防渗并设置集油池</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在钻井过程中，鼓励采用环境友好的钻井液体系；配备完善的固控设备，钻井液循环率达到95%以上；钻井过程产生的废水应回用</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项目采用无毒钻井液体系，表层采用清水钻井液，固控设备完善，钻井液循环率可达到95%以上，钻井废水处理后回用</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项目酸化液集中配置，酸化作业运输到现场，通过放喷分离器分离后全部收集在集酸池内，并采取了防漏、防溢措施，全部外运处理</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6884"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40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在开发过程中，伴生气应回收利用，减少温室气体排放，不具备回收利用条件的，应充分燃烧，伴生气回收利用率应达到80%以上；站场放空天然气应充分燃烧。燃烧放空设施应避开鸟类迁徙通道</w:t>
                  </w:r>
                </w:p>
              </w:tc>
              <w:tc>
                <w:tcPr>
                  <w:tcW w:w="2551"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属于勘探井，不涉及开发；测试放喷在燃烧池进行充分燃烧。燃烧池不位于鸟类迁徙通道上</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6884"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污染治理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钻井过程中产生的废水经过处理后尽量重复利用。项目不能利用的废水收集后，采用罐车拉运至附近污水处理厂处理达标后排放</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固体废物收集、贮存、处理处置设施应按照标准要求采取防渗措施。试油（气）后应立即封闭废弃钻井液贮池</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项目固废临时堆放区采取防渗措施，废水基钻井岩屑及泥浆采取资源化利用，危险废物交资质单位处理。钻井液随钻处理后回用。完钻后对清洁化操作平台、应急池清理后复垦</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项目不涉及原油，本工程在井口及易产生油污的生产设施底部进行防渗处理，收集可能产生的废油，完钻后统一收集交有资质单位处置</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对受到油污染的土壤宜采取生物或物化方法进行修复</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项目不涉及原油，废油较少，通过采取防渗措施，总体不会造成土壤的油污染</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四</w:t>
                  </w:r>
                </w:p>
              </w:tc>
              <w:tc>
                <w:tcPr>
                  <w:tcW w:w="6884"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运行风险和环境管理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油气田企业应制定环境保护管理规定，建立并运行健康、安全与环境管理体系</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建设单位制定有完善的环境保护管理规定，并建立运行健康、安全与环境管理体系</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加强油气田建设、开发过程的环境监督管理。油气田建设过程应开展工程环境监理</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项目属于气田的勘探，勘探过程中建设单位制定有完善的环境保护管理规定</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在开发过程中，企业应加强油气井套管的检测和维护，防止油气泄漏污染地下水</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项目制定有完善的套管监测维护计划和制度，防止天然气泄露污染地下水</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油气田企业应建立环境保护人员培训制度，环境监测人员、统计人员、污染治理设施操作人员应经培训合格后上岗</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建设单位设置有专门的环境管理部门，并制定有完善的环境管理制度和培训制度</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544"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40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建设单位对钻井工程设置有突发环境事件应急预案，并定期举行演练。在井场周边设置有事故监测点，实时监测危险因子</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根据表1.7-1，本项目建设符合《石油天然气开采业污染防治技术政策》要求。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（2）与《关于进一步加强石油天然气行业环境影响评价管理的通知》（环办环评函〔2019〕910号）符合性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本项目属于新建常规天然气勘探井项目，区域勘探开发权隶属中国石油天然气股份公司所有，不属于新区块、新开发和滚动开发项目，因此可以以单井形式开展环评。</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表1.7-2   与“环办环评函〔2019〕910号”符合性分析</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4111"/>
              <w:gridCol w:w="1842"/>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技术政策要求</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项目情况</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7"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深化项目环评“放管服”改革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本项目符合《重庆市矿产资源总体规划（2016-2020）》等要求</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7"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强化生态环境保护措施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涉及向地表水体排放污染物的陆地油气开采项目，应当符合国家和地方污染物排放标准，满足重点污染物排放总量控制要求</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项目钻井废水处理后回用，最终不能回用的废水拉运至附近污水处理厂处理达标排放</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涉及废水回注的，应当论证回注的环境可行性，采取切实可行的地下水污染防治和监控措施，不得回注与油气开采无关的废水，严禁造成地下水污染</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不涉及钻井废水回注</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项目钻井不涉及使用油基泥浆，钻井产生的废油（设备保养、维修等产生）交由危废资质单位处置</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项目无挥发性有机物排放源，本次环评对钻井期间环境风险提出了防范措施</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项目施工布置要求减少施工占地、缩短施工时间、选择合理施工方式等，钻井设备采用轻质环保型柴油成品；选用低噪声设备，并提出避免噪声扰民方案；提出施工结束后落实环评提出的生态保护措施方案</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7" w:type="dxa"/>
                  <w:gridSpan w:val="4"/>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加强事中事后监管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建设单位建立有完善的生态环境保护管理体系和制度，规范钻井过程中各项工程的环境保护责任和措施</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11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油气企业应按照企事业单位环境信息公开办法、环境影响评价公众参与办法等有关要求，主动公开油气开采项目环境信息，保障公众的知情权、参与权、表达权和监督权</w:t>
                  </w:r>
                </w:p>
              </w:tc>
              <w:tc>
                <w:tcPr>
                  <w:tcW w:w="1842"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建设单位在钻井期间会按照要求进行环境影响评价及环境信息公开事宜</w:t>
                  </w:r>
                </w:p>
              </w:tc>
              <w:tc>
                <w:tcPr>
                  <w:tcW w:w="931"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根据表1.7-2，本项目建设符合《关于进一步加强石油天然气行业环境影响评价管理的通知》（环办环评函〔2019〕910号）相关要求。</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1.8与基本农田相关政策的符合性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基本农田保护条例（2011年修订）》（国务院令第588号）中第十五条：基本农田保护区经依法划定后，任何单位和个人不得改变或者占用。国家能源、交通、水利、军事设施等重点建设项目选址确实无法避开基本农田保护区，需要占用基本农田，涉及农用地转用或者征收土地的，必须经国务院批准。……占用基本农田的单位应当按照县级以上地方人民政府的要求，将所占用基本农田耕作层的土壤用于新开垦耕地、劣质地或者其他耕地的土壤改良；自然资源部印发《关于做好占用永久基本农田重大建设项目用地预审的通知》（自然资规（2018）3号）相关规定明确以下六类项目经批准可以占用永久基本农田中：“其他能源项目，包括国家级规划明确的且符合国家产业政策的能源开采、油气管线、水电、核电项目”；以及《自然资源部农业农村部关于加强和改进永久保护农田保护工作的通知》（自然资规[2019]1号）第八条规定：矿业权申请人依法申请战略性矿产探矿权，开展地质勘查需临时用地的，应依法办理临时用地审批手续。石油、天然气、页岩气、煤层气等油气战略性矿产的地质勘查，经批准可临时占用永久基本农田布设探井。</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天然气勘探井工程，项目占地主要为临时占地，建设单位对临时占地除了在施工中采取措施减少基本农田破坏外，在施工结束后，对开挖破坏段耕地质量的恢复，除补偿因临时占地对农田产量的直接损失外，还将考虑施工结束后因土壤结构破坏、养分流失而造成的影响，对农作物产量的间接损失以及土壤恢复进行补偿，以用于耕作层土恢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本项目已取得重庆市铜梁区规划和自然资源局下发的《关于大庆油田有限责任公司勘探事业部铜梁区合深9井钻前工程临时占用永久基本农田踏勘论证的论证意见》（铜规资函[2022]233号）（详见附件8）。</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综上所述，本项目符合相关政策要求。</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sectPr>
          <w:pgSz w:w="11906" w:h="16838"/>
          <w:pgMar w:top="1440" w:right="1797" w:bottom="1440" w:left="1797" w:header="851" w:footer="992" w:gutter="0"/>
          <w:cols w:space="425" w:num="1"/>
          <w:docGrid w:type="lines" w:linePitch="312" w:charSpace="0"/>
        </w:sectPr>
      </w:pPr>
    </w:p>
    <w:tbl>
      <w:tblPr>
        <w:tblStyle w:val="18"/>
        <w:tblW w:w="9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gridCol w:w="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43" w:type="dxa"/>
          <w:trHeight w:val="549" w:hRule="atLeast"/>
          <w:jc w:val="center"/>
        </w:trPr>
        <w:tc>
          <w:tcPr>
            <w:tcW w:w="71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地理位置</w:t>
            </w:r>
          </w:p>
        </w:tc>
        <w:tc>
          <w:tcPr>
            <w:tcW w:w="8380" w:type="dxa"/>
            <w:vAlign w:val="center"/>
          </w:tcPr>
          <w:p>
            <w:pPr>
              <w:adjustRightInd w:val="0"/>
              <w:snapToGrid w:val="0"/>
              <w:ind w:firstLine="48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重庆市铜梁区维新镇槐树村6组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43" w:type="dxa"/>
          <w:trHeight w:val="3119"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项目组成及规模</w:t>
            </w:r>
          </w:p>
        </w:tc>
        <w:tc>
          <w:tcPr>
            <w:tcW w:w="8380" w:type="dxa"/>
          </w:tcPr>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2.1建设内容与规模</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2.1.1工程概况</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项目名称：合深9井钻井工程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建设单位：大庆油田有限责任公司四川分公司</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建设性质：新建</w:t>
            </w:r>
          </w:p>
          <w:p>
            <w:pPr>
              <w:ind w:firstLine="480" w:firstLineChars="200"/>
              <w:rPr>
                <w:rFonts w:ascii="宋体" w:hAnsi="宋体"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建设地点：重庆市铜梁区维新镇槐树村6组</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井深：</w:t>
            </w:r>
            <w:r>
              <w:rPr>
                <w:bCs/>
                <w:color w:val="000000" w:themeColor="text1"/>
                <w:szCs w:val="18"/>
                <w14:textFill>
                  <w14:solidFill>
                    <w14:schemeClr w14:val="tx1"/>
                  </w14:solidFill>
                </w14:textFill>
              </w:rPr>
              <w:t>设计</w:t>
            </w:r>
            <w:r>
              <w:rPr>
                <w:rFonts w:hint="eastAsia"/>
                <w:bCs/>
                <w:color w:val="000000" w:themeColor="text1"/>
                <w:szCs w:val="18"/>
                <w14:textFill>
                  <w14:solidFill>
                    <w14:schemeClr w14:val="tx1"/>
                  </w14:solidFill>
                </w14:textFill>
              </w:rPr>
              <w:t>完钻垂</w:t>
            </w:r>
            <w:r>
              <w:rPr>
                <w:bCs/>
                <w:color w:val="000000" w:themeColor="text1"/>
                <w:szCs w:val="18"/>
                <w14:textFill>
                  <w14:solidFill>
                    <w14:schemeClr w14:val="tx1"/>
                  </w14:solidFill>
                </w14:textFill>
              </w:rPr>
              <w:t>深</w:t>
            </w:r>
            <w:r>
              <w:rPr>
                <w:rFonts w:hint="eastAsia"/>
                <w:bCs/>
                <w:color w:val="000000" w:themeColor="text1"/>
                <w:szCs w:val="18"/>
                <w14:textFill>
                  <w14:solidFill>
                    <w14:schemeClr w14:val="tx1"/>
                  </w14:solidFill>
                </w14:textFill>
              </w:rPr>
              <w:t>****</w:t>
            </w:r>
            <w:r>
              <w:rPr>
                <w:bCs/>
                <w:color w:val="000000" w:themeColor="text1"/>
                <w:szCs w:val="18"/>
                <w14:textFill>
                  <w14:solidFill>
                    <w14:schemeClr w14:val="tx1"/>
                  </w14:solidFill>
                </w14:textFill>
              </w:rPr>
              <w:t>m</w:t>
            </w:r>
            <w:r>
              <w:rPr>
                <w:rFonts w:hint="eastAsia"/>
                <w:bCs/>
                <w:color w:val="000000" w:themeColor="text1"/>
                <w:szCs w:val="18"/>
                <w14:textFill>
                  <w14:solidFill>
                    <w14:schemeClr w14:val="tx1"/>
                  </w14:solidFill>
                </w14:textFill>
              </w:rPr>
              <w:t>，斜深****m</w:t>
            </w:r>
            <w:r>
              <w:rPr>
                <w:rFonts w:hint="eastAsia" w:ascii="宋体" w:hAnsi="宋体" w:cs="宋体"/>
                <w:color w:val="000000" w:themeColor="text1"/>
                <w:kern w:val="0"/>
                <w14:textFill>
                  <w14:solidFill>
                    <w14:schemeClr w14:val="tx1"/>
                  </w14:solidFill>
                </w14:textFill>
              </w:rPr>
              <w:t>；</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井别：预探井；</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井型：定向井；</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构造位置：四川盆地川中古隆起灯影组顶部构造斜坡带中部；</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目的层：主探</w:t>
            </w:r>
            <w:r>
              <w:rPr>
                <w:rFonts w:hint="eastAsia"/>
                <w:bCs/>
                <w:color w:val="000000" w:themeColor="text1"/>
                <w:szCs w:val="18"/>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，兼探</w:t>
            </w:r>
            <w:r>
              <w:rPr>
                <w:rFonts w:hint="eastAsia"/>
                <w:bCs/>
                <w:color w:val="000000" w:themeColor="text1"/>
                <w:szCs w:val="18"/>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完钻原则：</w:t>
            </w:r>
            <w:r>
              <w:rPr>
                <w:rFonts w:hint="eastAsia"/>
                <w:color w:val="000000" w:themeColor="text1"/>
                <w14:textFill>
                  <w14:solidFill>
                    <w14:schemeClr w14:val="tx1"/>
                  </w14:solidFill>
                </w14:textFill>
              </w:rPr>
              <w:t>进入</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顶部100m，无油气显示完钻；</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完钻层位：</w:t>
            </w:r>
            <w:r>
              <w:rPr>
                <w:rFonts w:hint="eastAsia"/>
                <w:bCs/>
                <w:color w:val="000000" w:themeColor="text1"/>
                <w:szCs w:val="18"/>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完井方式：套管完井；</w:t>
            </w:r>
          </w:p>
          <w:p>
            <w:pPr>
              <w:ind w:firstLine="480" w:firstLineChars="20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钻井液体系：</w:t>
            </w:r>
            <w:r>
              <w:rPr>
                <w:bCs/>
                <w:color w:val="000000" w:themeColor="text1"/>
                <w:szCs w:val="18"/>
                <w14:textFill>
                  <w14:solidFill>
                    <w14:schemeClr w14:val="tx1"/>
                  </w14:solidFill>
                </w14:textFill>
              </w:rPr>
              <w:t>导管段</w:t>
            </w:r>
            <w:r>
              <w:rPr>
                <w:rFonts w:hint="eastAsia"/>
                <w:bCs/>
                <w:color w:val="000000" w:themeColor="text1"/>
                <w:szCs w:val="18"/>
                <w14:textFill>
                  <w14:solidFill>
                    <w14:schemeClr w14:val="tx1"/>
                  </w14:solidFill>
                </w14:textFill>
              </w:rPr>
              <w:t>（0~40m）采用膨润土钻井液，一开（40~502m）、二</w:t>
            </w:r>
            <w:r>
              <w:rPr>
                <w:bCs/>
                <w:color w:val="000000" w:themeColor="text1"/>
                <w:szCs w:val="18"/>
                <w14:textFill>
                  <w14:solidFill>
                    <w14:schemeClr w14:val="tx1"/>
                  </w14:solidFill>
                </w14:textFill>
              </w:rPr>
              <w:t>开（</w:t>
            </w:r>
            <w:r>
              <w:rPr>
                <w:rFonts w:hint="eastAsia"/>
                <w:bCs/>
                <w:color w:val="000000" w:themeColor="text1"/>
                <w:szCs w:val="18"/>
                <w14:textFill>
                  <w14:solidFill>
                    <w14:schemeClr w14:val="tx1"/>
                  </w14:solidFill>
                </w14:textFill>
              </w:rPr>
              <w:t>****</w:t>
            </w:r>
            <w:r>
              <w:rPr>
                <w:bCs/>
                <w:color w:val="000000" w:themeColor="text1"/>
                <w:szCs w:val="18"/>
                <w14:textFill>
                  <w14:solidFill>
                    <w14:schemeClr w14:val="tx1"/>
                  </w14:solidFill>
                </w14:textFill>
              </w:rPr>
              <w:t>）采用</w:t>
            </w:r>
            <w:r>
              <w:rPr>
                <w:rFonts w:hint="eastAsia"/>
                <w:bCs/>
                <w:color w:val="000000" w:themeColor="text1"/>
                <w:szCs w:val="18"/>
                <w14:textFill>
                  <w14:solidFill>
                    <w14:schemeClr w14:val="tx1"/>
                  </w14:solidFill>
                </w14:textFill>
              </w:rPr>
              <w:t>聚合物水基</w:t>
            </w:r>
            <w:r>
              <w:rPr>
                <w:bCs/>
                <w:color w:val="000000" w:themeColor="text1"/>
                <w:szCs w:val="18"/>
                <w14:textFill>
                  <w14:solidFill>
                    <w14:schemeClr w14:val="tx1"/>
                  </w14:solidFill>
                </w14:textFill>
              </w:rPr>
              <w:t>钻井液，</w:t>
            </w:r>
            <w:r>
              <w:rPr>
                <w:rFonts w:hint="eastAsia"/>
                <w:bCs/>
                <w:color w:val="000000" w:themeColor="text1"/>
                <w:szCs w:val="18"/>
                <w14:textFill>
                  <w14:solidFill>
                    <w14:schemeClr w14:val="tx1"/>
                  </w14:solidFill>
                </w14:textFill>
              </w:rPr>
              <w:t>三</w:t>
            </w:r>
            <w:r>
              <w:rPr>
                <w:bCs/>
                <w:color w:val="000000" w:themeColor="text1"/>
                <w:szCs w:val="18"/>
                <w14:textFill>
                  <w14:solidFill>
                    <w14:schemeClr w14:val="tx1"/>
                  </w14:solidFill>
                </w14:textFill>
              </w:rPr>
              <w:t>开（</w:t>
            </w:r>
            <w:r>
              <w:rPr>
                <w:rFonts w:hint="eastAsia"/>
                <w:bCs/>
                <w:color w:val="000000" w:themeColor="text1"/>
                <w:szCs w:val="18"/>
                <w14:textFill>
                  <w14:solidFill>
                    <w14:schemeClr w14:val="tx1"/>
                  </w14:solidFill>
                </w14:textFill>
              </w:rPr>
              <w:t>****</w:t>
            </w:r>
            <w:r>
              <w:rPr>
                <w:bCs/>
                <w:color w:val="000000" w:themeColor="text1"/>
                <w:szCs w:val="18"/>
                <w14:textFill>
                  <w14:solidFill>
                    <w14:schemeClr w14:val="tx1"/>
                  </w14:solidFill>
                </w14:textFill>
              </w:rPr>
              <w:t>）</w:t>
            </w:r>
            <w:r>
              <w:rPr>
                <w:rFonts w:hint="eastAsia"/>
                <w:bCs/>
                <w:color w:val="000000" w:themeColor="text1"/>
                <w:szCs w:val="18"/>
                <w14:textFill>
                  <w14:solidFill>
                    <w14:schemeClr w14:val="tx1"/>
                  </w14:solidFill>
                </w14:textFill>
              </w:rPr>
              <w:t>、四开（****）</w:t>
            </w:r>
            <w:r>
              <w:rPr>
                <w:bCs/>
                <w:color w:val="000000" w:themeColor="text1"/>
                <w:szCs w:val="18"/>
                <w14:textFill>
                  <w14:solidFill>
                    <w14:schemeClr w14:val="tx1"/>
                  </w14:solidFill>
                </w14:textFill>
              </w:rPr>
              <w:t>采用氯化钾聚合物水基钻井液</w:t>
            </w:r>
            <w:r>
              <w:rPr>
                <w:rFonts w:hint="eastAsia"/>
                <w:bCs/>
                <w:color w:val="000000" w:themeColor="text1"/>
                <w:szCs w:val="18"/>
                <w14:textFill>
                  <w14:solidFill>
                    <w14:schemeClr w14:val="tx1"/>
                  </w14:solidFill>
                </w14:textFill>
              </w:rPr>
              <w:t>。整个钻井过程均使用水基钻井液，不涉及使用油基钻井液。</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2.1.2技术经济指标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本项目井型为定向井，井别为预探井，设计井深</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m，完钻层位为</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，目的层位为</w:t>
            </w:r>
            <w:r>
              <w:rPr>
                <w:rFonts w:hint="eastAsia" w:ascii="宋体" w:hAnsi="宋体" w:cs="宋体"/>
                <w:color w:val="000000" w:themeColor="text1"/>
                <w:kern w:val="0"/>
                <w14:textFill>
                  <w14:solidFill>
                    <w14:schemeClr w14:val="tx1"/>
                  </w14:solidFill>
                </w14:textFill>
              </w:rPr>
              <w:t>主探</w:t>
            </w:r>
            <w:r>
              <w:rPr>
                <w:rFonts w:hint="eastAsia"/>
                <w:bCs/>
                <w:color w:val="000000" w:themeColor="text1"/>
                <w:szCs w:val="18"/>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，兼探</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，完钻后进行天然气放喷测试。</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表2.1-1   主要技术经济指标表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60"/>
              <w:gridCol w:w="708"/>
              <w:gridCol w:w="304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项目指标</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井场面积</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5500</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100m（长）×55m（宽）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用地面积</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23298.0</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均为临时用地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设计井深</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m</w:t>
                  </w:r>
                </w:p>
              </w:tc>
              <w:tc>
                <w:tcPr>
                  <w:tcW w:w="3049" w:type="dxa"/>
                  <w:vAlign w:val="center"/>
                </w:tcPr>
                <w:p>
                  <w:pPr>
                    <w:pStyle w:val="15"/>
                    <w:rPr>
                      <w:color w:val="000000" w:themeColor="text1"/>
                      <w14:textFill>
                        <w14:solidFill>
                          <w14:schemeClr w14:val="tx1"/>
                        </w14:solidFill>
                      </w14:textFill>
                    </w:rPr>
                  </w:pPr>
                  <w:r>
                    <w:rPr>
                      <w:rFonts w:hint="eastAsia"/>
                      <w:bCs w:val="0"/>
                      <w:color w:val="000000" w:themeColor="text1"/>
                      <w:szCs w:val="18"/>
                      <w14:textFill>
                        <w14:solidFill>
                          <w14:schemeClr w14:val="tx1"/>
                        </w14:solidFill>
                      </w14:textFill>
                    </w:rPr>
                    <w:t>****</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井别</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预探井</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1"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项目组成及规模</w:t>
            </w:r>
          </w:p>
        </w:tc>
        <w:tc>
          <w:tcPr>
            <w:tcW w:w="8523" w:type="dxa"/>
            <w:gridSpan w:val="2"/>
          </w:tcPr>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续表2.1-1   主要技术经济指标表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60"/>
              <w:gridCol w:w="708"/>
              <w:gridCol w:w="304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项目指标</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井型</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直井</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开钻次数</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开</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导管+四开</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560"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目的层位</w:t>
                  </w:r>
                </w:p>
              </w:tc>
              <w:tc>
                <w:tcPr>
                  <w:tcW w:w="70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4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主探</w:t>
                  </w:r>
                  <w:r>
                    <w:rPr>
                      <w:rFonts w:hint="eastAsia"/>
                      <w:bCs w:val="0"/>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，兼探</w:t>
                  </w:r>
                  <w:r>
                    <w:rPr>
                      <w:rFonts w:hint="eastAsia"/>
                      <w:bCs w:val="0"/>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组</w:t>
                  </w:r>
                </w:p>
              </w:tc>
              <w:tc>
                <w:tcPr>
                  <w:tcW w:w="2129"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预计为含硫天然气井</w:t>
                  </w:r>
                </w:p>
              </w:tc>
            </w:tr>
          </w:tbl>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2.1.3气质组成</w:t>
            </w:r>
          </w:p>
          <w:p>
            <w:pPr>
              <w:ind w:firstLine="480" w:firstLineChars="200"/>
              <w:rPr>
                <w:rFonts w:ascii="宋体" w:hAnsi="宋体"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本工程为预探井，目的层位为主探</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，兼探</w:t>
            </w:r>
            <w:r>
              <w:rPr>
                <w:rFonts w:hint="eastAsia"/>
                <w:bCs/>
                <w:color w:val="000000" w:themeColor="text1"/>
                <w:szCs w:val="18"/>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（1）目的层灯影组四段产气成份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本项目位于重庆市铜梁区维新镇槐树村6组，高石16井位于重庆市合川区三庙镇凤山村2组，其目的层位均为</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，完钻层位为</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，与本项目区域属于同一层位，故本次评价目的层位****气质组成和测试流量可参照高石16井气质分析数据，具有可比性。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根据《合深9井钻井地质设计》，结合目前区域高石16井测试结果，灯影组四段测试产气10.54×10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/d，成份以甲烷为主，H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S含量4.43g/m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，无油产生。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（2）兼探下</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主要成分及流量</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根据《合深9井钻井地质设计》可知，在各层的测试分析情况预测见表2.1-2。</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表2.1-2   钻井钻遇各地层天然气中H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S含量及流量预测表</w:t>
            </w:r>
          </w:p>
          <w:tbl>
            <w:tblPr>
              <w:tblStyle w:val="18"/>
              <w:tblW w:w="497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92"/>
              <w:gridCol w:w="1701"/>
              <w:gridCol w:w="1418"/>
              <w:gridCol w:w="1239"/>
              <w:gridCol w:w="20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92"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预测主要气层</w:t>
                  </w:r>
                </w:p>
              </w:tc>
              <w:tc>
                <w:tcPr>
                  <w:tcW w:w="170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预测H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S含量g/m</w:t>
                  </w:r>
                  <w:r>
                    <w:rPr>
                      <w:rFonts w:hint="eastAsia"/>
                      <w:color w:val="000000" w:themeColor="text1"/>
                      <w:vertAlign w:val="superscript"/>
                      <w14:textFill>
                        <w14:solidFill>
                          <w14:schemeClr w14:val="tx1"/>
                        </w14:solidFill>
                      </w14:textFill>
                    </w:rPr>
                    <w:t>3</w:t>
                  </w:r>
                </w:p>
              </w:tc>
              <w:tc>
                <w:tcPr>
                  <w:tcW w:w="1418" w:type="dxa"/>
                  <w:tcBorders>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测试流量10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tc>
              <w:tc>
                <w:tcPr>
                  <w:tcW w:w="1239" w:type="dxa"/>
                  <w:tcBorders>
                    <w:lef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测试产油m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tc>
              <w:tc>
                <w:tcPr>
                  <w:tcW w:w="2012"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92" w:type="dxa"/>
                  <w:vAlign w:val="center"/>
                </w:tcPr>
                <w:p>
                  <w:pPr>
                    <w:pStyle w:val="30"/>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tc>
              <w:tc>
                <w:tcPr>
                  <w:tcW w:w="170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18" w:type="dxa"/>
                  <w:tcBorders>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5.47</w:t>
                  </w:r>
                </w:p>
              </w:tc>
              <w:tc>
                <w:tcPr>
                  <w:tcW w:w="1239" w:type="dxa"/>
                  <w:tcBorders>
                    <w:lef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12"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高石</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4" w:hRule="atLeast"/>
                <w:jc w:val="center"/>
              </w:trPr>
              <w:tc>
                <w:tcPr>
                  <w:tcW w:w="1892" w:type="dxa"/>
                  <w:vAlign w:val="center"/>
                </w:tcPr>
                <w:p>
                  <w:pPr>
                    <w:pStyle w:val="30"/>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tc>
              <w:tc>
                <w:tcPr>
                  <w:tcW w:w="170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40.84</w:t>
                  </w:r>
                </w:p>
              </w:tc>
              <w:tc>
                <w:tcPr>
                  <w:tcW w:w="1418" w:type="dxa"/>
                  <w:tcBorders>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20.44</w:t>
                  </w:r>
                </w:p>
              </w:tc>
              <w:tc>
                <w:tcPr>
                  <w:tcW w:w="1239" w:type="dxa"/>
                  <w:tcBorders>
                    <w:lef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1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92" w:type="dxa"/>
                  <w:vAlign w:val="center"/>
                </w:tcPr>
                <w:p>
                  <w:pPr>
                    <w:pStyle w:val="30"/>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tc>
              <w:tc>
                <w:tcPr>
                  <w:tcW w:w="170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4.43</w:t>
                  </w:r>
                </w:p>
              </w:tc>
              <w:tc>
                <w:tcPr>
                  <w:tcW w:w="1418" w:type="dxa"/>
                  <w:tcBorders>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10.54</w:t>
                  </w:r>
                </w:p>
              </w:tc>
              <w:tc>
                <w:tcPr>
                  <w:tcW w:w="1239" w:type="dxa"/>
                  <w:tcBorders>
                    <w:lef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2012" w:type="dxa"/>
                  <w:vMerge w:val="continue"/>
                  <w:vAlign w:val="center"/>
                </w:tcPr>
                <w:p>
                  <w:pPr>
                    <w:pStyle w:val="30"/>
                    <w:rPr>
                      <w:color w:val="000000" w:themeColor="text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雷口坡组及以下地层防H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S，邻区磨溪构造嘉二段H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S含量0.016～0.652mg/m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；磨溪1井飞仙关H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S含量0.047g/m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。磨溪1井长兴组H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S含量0.23g/m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，宝龙1井长兴组H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S含量0.015mg/m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，洗象池组H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S含量14.2g/m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。本区高石16井洗象池组H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S含量29.8g/m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S含量40.84g/m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bCs/>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S含量为4.43g/m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；高石18井龙王庙组CO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含量114.82g/m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，灯影组CO2含量为131.57g/m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。本井应充分考虑防H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2.2项目组成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本项目主要由主体工程、配套工程、储运工程、公用工程、环保工程等组成，其中主体工程含钻前工程和钻井工程两部分。项目组成详见表2.2-1。</w:t>
            </w:r>
          </w:p>
          <w:p>
            <w:pPr>
              <w:pStyle w:val="13"/>
              <w:rPr>
                <w:color w:val="000000" w:themeColor="text1"/>
                <w14:textFill>
                  <w14:solidFill>
                    <w14:schemeClr w14:val="tx1"/>
                  </w14:solidFill>
                </w14:textFill>
              </w:rPr>
            </w:pPr>
            <w:r>
              <w:rPr>
                <w:rFonts w:hint="eastAsia"/>
                <w:color w:val="000000" w:themeColor="text1"/>
                <w14:textFill>
                  <w14:solidFill>
                    <w14:schemeClr w14:val="tx1"/>
                  </w14:solidFill>
                </w14:textFill>
              </w:rPr>
              <w:t>表2.2-1    项目组成一览表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709"/>
              <w:gridCol w:w="214"/>
              <w:gridCol w:w="992"/>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552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主体</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工程</w:t>
                  </w:r>
                </w:p>
              </w:tc>
              <w:tc>
                <w:tcPr>
                  <w:tcW w:w="709"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钻前工程</w:t>
                  </w: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井场</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井场1座，平面尺寸100m×55m，面积约5500m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，用于布置井口及钻井设备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井口方井</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位于井场中部，占地面积约30m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，钻机设备安装基础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井架基础</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井架基础以强风化泥岩为持力层，上方为片石混凝土层+30cm厚C25混凝土层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进场道路</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道路工程总长2.2km，其中维修道路2.0km，新修公路0.2km，路基宽度4.5m（错车道路段6.5m）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w:t>
                  </w: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钻井设备安装、钻进</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采用ZJ70D型钻机，设备搬运、安装、调试、钻进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钻机作业</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井深</w:t>
                  </w:r>
                  <w:r>
                    <w:rPr>
                      <w:rFonts w:hint="eastAsia"/>
                      <w:bCs w:val="0"/>
                      <w:color w:val="000000" w:themeColor="text1"/>
                      <w:szCs w:val="18"/>
                      <w14:textFill>
                        <w14:solidFill>
                          <w14:schemeClr w14:val="tx1"/>
                        </w14:solidFill>
                      </w14:textFill>
                    </w:rPr>
                    <w:t>****</w:t>
                  </w:r>
                  <w:r>
                    <w:rPr>
                      <w:rFonts w:hint="eastAsia"/>
                      <w:color w:val="000000" w:themeColor="text1"/>
                      <w14:textFill>
                        <w14:solidFill>
                          <w14:schemeClr w14:val="tx1"/>
                        </w14:solidFill>
                      </w14:textFill>
                    </w:rPr>
                    <w:t>m，采用“</w:t>
                  </w:r>
                  <w:r>
                    <w:rPr>
                      <w:rFonts w:hint="eastAsia" w:ascii="宋体" w:hAnsi="宋体" w:cs="宋体"/>
                      <w:color w:val="000000" w:themeColor="text1"/>
                      <w:kern w:val="0"/>
                      <w14:textFill>
                        <w14:solidFill>
                          <w14:schemeClr w14:val="tx1"/>
                        </w14:solidFill>
                      </w14:textFill>
                    </w:rPr>
                    <w:t>导管+四开”钻井工艺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固井作业</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全井段实施套管保护+水泥固井施工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井控系统</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1套，自动化控制系统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钻井参数电测测定系统</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1套，对钻压、扭矩、转速、泵压、泵冲、悬重、泥浆体积等参数测定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钻井监</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控系统</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1套，节流阀组独立控制井控装置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709" w:type="dxa"/>
                  <w:vMerge w:val="continue"/>
                  <w:vAlign w:val="center"/>
                </w:tcPr>
                <w:p>
                  <w:pPr>
                    <w:pStyle w:val="15"/>
                    <w:rPr>
                      <w:color w:val="000000" w:themeColor="text1"/>
                      <w14:textFill>
                        <w14:solidFill>
                          <w14:schemeClr w14:val="tx1"/>
                        </w14:solidFill>
                      </w14:textFill>
                    </w:rPr>
                  </w:pPr>
                </w:p>
              </w:tc>
              <w:tc>
                <w:tcPr>
                  <w:tcW w:w="1206" w:type="dxa"/>
                  <w:gridSpan w:val="2"/>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完井测试</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包括洗井、射孔、酸化、测试放喷等过程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燃烧池及集酸池</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设置A类燃烧池2个（13.8m×8.2m）、集酸池2个及配套排酸沟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泥浆循环系统</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1套，由泥浆循环罐（10个，40m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/个）、振动筛、离心机等设备设施组成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应急池</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1个，有效容积为500m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，位于井场前场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钻井泥浆储备罐</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位于井场后场，泥浆储备罐10个，单个40m</w:t>
                  </w:r>
                  <w:r>
                    <w:rPr>
                      <w:rFonts w:hint="eastAsia"/>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放喷点火系统</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2套，自动、手动和电子点火装置各1套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发电房</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（备用电源）</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用地面积约150m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，供钻井期间停电时的备用发电机组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储运</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工程</w:t>
                  </w: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耕植土堆放场</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于井场左侧设1处耕植土堆放场，占地面积约4000m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，暂存井场建设剥离的表层耕植土，用于完井阶段临时占地的覆土用土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泥浆储备罐</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拟设1处，位于井场后场，泥浆储备罐10个，单个40m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，用于存储压井重泥浆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油、水罐</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位于井场前场右侧，设置柴油罐2个，单个容积40m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；油罐区设混凝土围堰，并采取四防措施。设90m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高架水罐1个，用于井队生活用水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洗井用酸储罐</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井场内设2个60m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的玻璃钢罐临时存放酸化液（浓度20%的稀盐酸），现场最大暂存量为100m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（罐装系数0.85）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给水</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①生产用水：采用清洁化生产处理水作为生产用水，不足部分由水罐供给，采用运水车从当地场镇车载至场地，在水罐储存；</w:t>
                  </w:r>
                </w:p>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②生活用水：车辆拉运桶装水至场地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排水</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场内设40cm×30cm的排水沟，总长约240m，场内地面水汇入排水沟，汇入场内四角设置的隔油池，经沉砂隔油后进入污水罐中收集，回用于生产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continue"/>
                  <w:vAlign w:val="center"/>
                </w:tcPr>
                <w:p>
                  <w:pPr>
                    <w:pStyle w:val="15"/>
                    <w:rPr>
                      <w:color w:val="000000" w:themeColor="text1"/>
                      <w14:textFill>
                        <w14:solidFill>
                          <w14:schemeClr w14:val="tx1"/>
                        </w14:solidFill>
                      </w14:textFill>
                    </w:rPr>
                  </w:pP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井场主要设备基础周边设有环状污水沟和集水坑（0.3m×0.3m×0.3m/个），集水坑内的污水收集进入清洁生产设置的污废水收集罐内，处理后回用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continue"/>
                  <w:vAlign w:val="center"/>
                </w:tcPr>
                <w:p>
                  <w:pPr>
                    <w:pStyle w:val="15"/>
                    <w:rPr>
                      <w:color w:val="000000" w:themeColor="text1"/>
                      <w14:textFill>
                        <w14:solidFill>
                          <w14:schemeClr w14:val="tx1"/>
                        </w14:solidFill>
                      </w14:textFill>
                    </w:rPr>
                  </w:pP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井场外四周设边沟，用于排泄井场外的雨水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continue"/>
                  <w:vAlign w:val="center"/>
                </w:tcPr>
                <w:p>
                  <w:pPr>
                    <w:pStyle w:val="15"/>
                    <w:rPr>
                      <w:color w:val="000000" w:themeColor="text1"/>
                      <w14:textFill>
                        <w14:solidFill>
                          <w14:schemeClr w14:val="tx1"/>
                        </w14:solidFill>
                      </w14:textFill>
                    </w:rPr>
                  </w:pP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生活污水经旱厕收集后用作农肥，其中厨房、浴室各设1座隔油池，经隔油后进入旱厕收集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continue"/>
                  <w:vAlign w:val="center"/>
                </w:tcPr>
                <w:p>
                  <w:pPr>
                    <w:pStyle w:val="15"/>
                    <w:rPr>
                      <w:color w:val="000000" w:themeColor="text1"/>
                      <w14:textFill>
                        <w14:solidFill>
                          <w14:schemeClr w14:val="tx1"/>
                        </w14:solidFill>
                      </w14:textFill>
                    </w:rPr>
                  </w:pP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不可再回用的生产废水拉运至附近污水处理厂作达标处理后排放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Merge w:val="continue"/>
                  <w:vAlign w:val="center"/>
                </w:tcPr>
                <w:p>
                  <w:pPr>
                    <w:pStyle w:val="15"/>
                    <w:rPr>
                      <w:color w:val="000000" w:themeColor="text1"/>
                      <w14:textFill>
                        <w14:solidFill>
                          <w14:schemeClr w14:val="tx1"/>
                        </w14:solidFill>
                      </w14:textFill>
                    </w:rPr>
                  </w:pP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方井内设有1个集水坑（0.5m×0.5m×0.5m），用于收集方井内雨水和污水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项目主要使用网电，场内布设380V电力线至各用电设备处；另设置2组备用柴油发电机，置于发电机房内，作为停电时的备用电源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生活区</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设置1处，采用活动板房，现场吊装，占地面积约2573.33m</w:t>
                  </w:r>
                  <w:r>
                    <w:rPr>
                      <w:rFonts w:hint="eastAsia"/>
                      <w:color w:val="000000" w:themeColor="text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综合室、值班室</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井场内，根据需要布置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清洁化操作平台</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主要包括废水及岩屑收集转运区。其中含40m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废水罐4个（位于废水处理区，分为1个隔油罐、2个沉淀罐、1个污水收集罐），40m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清水暂存罐1个。岩屑存放区150m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，用于堆放一般钻井岩屑，3m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岩屑收集罐12个（位于转运罐区）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restart"/>
                  <w:tcBorders>
                    <w:righ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水污染防治工程</w:t>
                  </w: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钻井废水及酸化洗井废水</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钻中钻井废水全部回用于钻井补充泥浆的配置，完钻阶段钻井废水暂存在清洁生产操作平台的污水罐内，采用罐车拉运至附近污水处理厂处理达标后排放，项目现场不外排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场地</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雨水</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井场外四周设雨水边沟，将井场外雨水直接导排至地表水体；井场场内四周修建场内雨水沟，并在四周边角（各节点）处设置隔油沉砂池（共4组，单组容积约4m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），用于收集处理各区域雨水，收集雨水经隔油沉淀处理后采用泵提升进入清洁生产操作平台内配置的污水罐中暂存，进入废水循环利用系统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（地下水）分区</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防渗</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对井场基础设备区域、应急池、清洁化操作平台区域、油罐区、泥浆储备罐基础、燃烧池和集酸池等采取分区防渗处理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生活</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污水</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旱厕收集污水由当地农民用作农肥，不外排，完井后对厕所进行回填，不外排。若遇连续降雨无法作农肥使用时，采用罐车外运至附近污水处理厂处理达标后排放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restart"/>
                  <w:tcBorders>
                    <w:righ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大气污染防治工程</w:t>
                  </w: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柴油发电机废气</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现场使用轻质柴油为燃料，使用符合环保要求的柴油发电机和辅助发电机，使用设备自带的排气设备排放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测试放喷废气</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测试放喷燃烧筒一般为高度1m的地面火炬，放喷坑内点火放喷，放喷坑设有耐火砖挡墙减轻热，设有耐火砖挡墙减轻热辐射影响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restart"/>
                  <w:tcBorders>
                    <w:righ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固体废物处置工程</w:t>
                  </w: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水基岩屑及废泥浆</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水基岩屑和废泥浆均由清洁化工艺处理后，定期外运至具有相关环保手续的可接收砖厂或水泥厂资源化利用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废油</w:t>
                  </w:r>
                </w:p>
              </w:tc>
              <w:tc>
                <w:tcPr>
                  <w:tcW w:w="5528" w:type="dxa"/>
                  <w:vAlign w:val="center"/>
                </w:tcPr>
                <w:p>
                  <w:pPr>
                    <w:pStyle w:val="1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设置1处危废暂存点（采取“防风、防雨、防晒、防渗漏”措施，四周设置围堰），废油经废油桶集中收集后暂存于危废暂存点，完钻后由建设单位交有资质单位处置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923" w:type="dxa"/>
                  <w:gridSpan w:val="2"/>
                  <w:vMerge w:val="continue"/>
                  <w:tcBorders>
                    <w:right w:val="single" w:color="auto" w:sz="6" w:space="0"/>
                  </w:tcBorders>
                  <w:vAlign w:val="center"/>
                </w:tcPr>
                <w:p>
                  <w:pPr>
                    <w:pStyle w:val="15"/>
                    <w:rPr>
                      <w:color w:val="000000" w:themeColor="text1"/>
                      <w14:textFill>
                        <w14:solidFill>
                          <w14:schemeClr w14:val="tx1"/>
                        </w14:solidFill>
                      </w14:textFill>
                    </w:rPr>
                  </w:pPr>
                </w:p>
              </w:tc>
              <w:tc>
                <w:tcPr>
                  <w:tcW w:w="992" w:type="dxa"/>
                  <w:tcBorders>
                    <w:left w:val="single" w:color="auto" w:sz="6" w:space="0"/>
                  </w:tcBorders>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生活</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垃圾</w:t>
                  </w:r>
                </w:p>
              </w:tc>
              <w:tc>
                <w:tcPr>
                  <w:tcW w:w="5528"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在井场旁和生活区各设2个垃圾箱，生活垃圾收集后交由当地环卫部门统一处理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5528" w:type="dxa"/>
                  <w:vAlign w:val="center"/>
                </w:tcPr>
                <w:p>
                  <w:pPr>
                    <w:pStyle w:val="15"/>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噪声设备设置基础减震，同时备用发机组、空气压缩机、泥浆泵设置在房屋内隔声降噪；对噪声影响超标的农户在通过合理补偿、加强沟通协调等方式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pPr>
                    <w:pStyle w:val="15"/>
                    <w:rPr>
                      <w:color w:val="000000" w:themeColor="text1"/>
                      <w14:textFill>
                        <w14:solidFill>
                          <w14:schemeClr w14:val="tx1"/>
                        </w14:solidFill>
                      </w14:textFill>
                    </w:rPr>
                  </w:pPr>
                </w:p>
              </w:tc>
              <w:tc>
                <w:tcPr>
                  <w:tcW w:w="1915" w:type="dxa"/>
                  <w:gridSpan w:val="3"/>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生态措施</w:t>
                  </w:r>
                </w:p>
              </w:tc>
              <w:tc>
                <w:tcPr>
                  <w:tcW w:w="5528" w:type="dxa"/>
                  <w:vAlign w:val="center"/>
                </w:tcPr>
                <w:p>
                  <w:pPr>
                    <w:pStyle w:val="15"/>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井场内四周修建临时清水沟，井场外周围临时排水沟，耕植土堆放区临近水田的边缘设挡土墙</w:t>
                  </w:r>
                </w:p>
              </w:tc>
            </w:tr>
          </w:tbl>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2.3钻井工程设备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钻井作业主要包括钻井设备、救生及消防装置等。工程所用设备见表2.3-1。</w:t>
            </w:r>
          </w:p>
          <w:p>
            <w:pPr>
              <w:pStyle w:val="13"/>
              <w:rPr>
                <w:color w:val="000000" w:themeColor="text1"/>
                <w14:textFill>
                  <w14:solidFill>
                    <w14:schemeClr w14:val="tx1"/>
                  </w14:solidFill>
                </w14:textFill>
              </w:rPr>
            </w:pPr>
            <w:r>
              <w:rPr>
                <w:rFonts w:hint="eastAsia"/>
                <w:color w:val="000000" w:themeColor="text1"/>
                <w14:textFill>
                  <w14:solidFill>
                    <w14:schemeClr w14:val="tx1"/>
                  </w14:solidFill>
                </w14:textFill>
              </w:rPr>
              <w:t>表2.3-1   主要生产设备一览表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410"/>
              <w:gridCol w:w="1985"/>
              <w:gridCol w:w="992"/>
              <w:gridCol w:w="748"/>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41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设备或部件名称</w:t>
                  </w:r>
                </w:p>
              </w:tc>
              <w:tc>
                <w:tcPr>
                  <w:tcW w:w="198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规格型号</w:t>
                  </w:r>
                </w:p>
              </w:tc>
              <w:tc>
                <w:tcPr>
                  <w:tcW w:w="992"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主参数</w:t>
                  </w:r>
                </w:p>
              </w:tc>
              <w:tc>
                <w:tcPr>
                  <w:tcW w:w="74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382"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一</w:t>
                  </w:r>
                </w:p>
              </w:tc>
              <w:tc>
                <w:tcPr>
                  <w:tcW w:w="2410" w:type="dxa"/>
                  <w:vAlign w:val="center"/>
                </w:tcPr>
                <w:p>
                  <w:pPr>
                    <w:widowControl/>
                    <w:spacing w:line="240" w:lineRule="auto"/>
                    <w:jc w:val="center"/>
                    <w:rPr>
                      <w:rFonts w:cs="Arial"/>
                      <w:bCs/>
                      <w:color w:val="000000" w:themeColor="text1"/>
                      <w:kern w:val="0"/>
                      <w:sz w:val="21"/>
                      <w14:textFill>
                        <w14:solidFill>
                          <w14:schemeClr w14:val="tx1"/>
                        </w14:solidFill>
                      </w14:textFill>
                    </w:rPr>
                  </w:pPr>
                  <w:r>
                    <w:rPr>
                      <w:rFonts w:cs="Arial"/>
                      <w:bCs/>
                      <w:color w:val="000000" w:themeColor="text1"/>
                      <w:kern w:val="0"/>
                      <w:sz w:val="21"/>
                      <w14:textFill>
                        <w14:solidFill>
                          <w14:schemeClr w14:val="tx1"/>
                        </w14:solidFill>
                      </w14:textFill>
                    </w:rPr>
                    <w:t>钻机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井架</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底座</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3</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绞车</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kW</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4</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天车</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5</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游车/大钩</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6</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水龙头</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7</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转盘</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kN</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8</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柴油机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kW</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2</w:t>
                  </w:r>
                  <w:r>
                    <w:rPr>
                      <w:rFonts w:cs="Arial"/>
                      <w:color w:val="000000" w:themeColor="text1"/>
                      <w:kern w:val="0"/>
                      <w:sz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9</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发电机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kW</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10</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SCR或VFD控制系统</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11</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机械传动装置</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12</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钻井泵</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HP</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13</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循环罐</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14</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振动筛</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r>
                    <w:rPr>
                      <w:rFonts w:cs="Arial"/>
                      <w:color w:val="000000" w:themeColor="text1"/>
                      <w:kern w:val="0"/>
                      <w:sz w:val="21"/>
                      <w14:textFill>
                        <w14:solidFill>
                          <w14:schemeClr w14:val="tx1"/>
                        </w14:solidFill>
                      </w14:textFill>
                    </w:rPr>
                    <w:t>/h</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4</w:t>
                  </w:r>
                  <w:r>
                    <w:rPr>
                      <w:rFonts w:cs="Arial"/>
                      <w:color w:val="000000" w:themeColor="text1"/>
                      <w:kern w:val="0"/>
                      <w:sz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15</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除气器</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r>
                    <w:rPr>
                      <w:rFonts w:cs="Arial"/>
                      <w:color w:val="000000" w:themeColor="text1"/>
                      <w:kern w:val="0"/>
                      <w:sz w:val="21"/>
                      <w14:textFill>
                        <w14:solidFill>
                          <w14:schemeClr w14:val="tx1"/>
                        </w14:solidFill>
                      </w14:textFill>
                    </w:rPr>
                    <w:t>/h</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16</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除砂器</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r>
                    <w:rPr>
                      <w:rFonts w:cs="Arial"/>
                      <w:color w:val="000000" w:themeColor="text1"/>
                      <w:kern w:val="0"/>
                      <w:sz w:val="21"/>
                      <w14:textFill>
                        <w14:solidFill>
                          <w14:schemeClr w14:val="tx1"/>
                        </w14:solidFill>
                      </w14:textFill>
                    </w:rPr>
                    <w:t>/h</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17</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除泥器</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L/s</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18</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离心机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r>
                    <w:rPr>
                      <w:rFonts w:cs="Arial"/>
                      <w:color w:val="000000" w:themeColor="text1"/>
                      <w:kern w:val="0"/>
                      <w:sz w:val="21"/>
                      <w14:textFill>
                        <w14:solidFill>
                          <w14:schemeClr w14:val="tx1"/>
                        </w14:solidFill>
                      </w14:textFill>
                    </w:rPr>
                    <w:t>/h</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19</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离心机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w:t>
                  </w:r>
                  <w:r>
                    <w:rPr>
                      <w:rFonts w:cs="Arial"/>
                      <w:color w:val="000000" w:themeColor="text1"/>
                      <w:kern w:val="0"/>
                      <w:sz w:val="21"/>
                      <w:vertAlign w:val="superscript"/>
                      <w14:textFill>
                        <w14:solidFill>
                          <w14:schemeClr w14:val="tx1"/>
                        </w14:solidFill>
                      </w14:textFill>
                    </w:rPr>
                    <w:t>3</w:t>
                  </w:r>
                  <w:r>
                    <w:rPr>
                      <w:rFonts w:cs="Arial"/>
                      <w:color w:val="000000" w:themeColor="text1"/>
                      <w:kern w:val="0"/>
                      <w:sz w:val="21"/>
                      <w14:textFill>
                        <w14:solidFill>
                          <w14:schemeClr w14:val="tx1"/>
                        </w14:solidFill>
                      </w14:textFill>
                    </w:rPr>
                    <w:t>/h</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20</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加重泵、混合漏斗</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kW</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21</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液气分离器</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MPa</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22</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电动压风机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MPa</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23</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钻井参数仪</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二</w:t>
                  </w:r>
                </w:p>
              </w:tc>
              <w:tc>
                <w:tcPr>
                  <w:tcW w:w="2410" w:type="dxa"/>
                  <w:vAlign w:val="center"/>
                </w:tcPr>
                <w:p>
                  <w:pPr>
                    <w:widowControl/>
                    <w:spacing w:line="240" w:lineRule="auto"/>
                    <w:jc w:val="center"/>
                    <w:rPr>
                      <w:rFonts w:cs="Arial"/>
                      <w:bCs/>
                      <w:color w:val="000000" w:themeColor="text1"/>
                      <w:kern w:val="0"/>
                      <w:sz w:val="21"/>
                      <w14:textFill>
                        <w14:solidFill>
                          <w14:schemeClr w14:val="tx1"/>
                        </w14:solidFill>
                      </w14:textFill>
                    </w:rPr>
                  </w:pPr>
                  <w:r>
                    <w:rPr>
                      <w:rFonts w:cs="Arial"/>
                      <w:bCs/>
                      <w:color w:val="000000" w:themeColor="text1"/>
                      <w:kern w:val="0"/>
                      <w:sz w:val="21"/>
                      <w14:textFill>
                        <w14:solidFill>
                          <w14:schemeClr w14:val="tx1"/>
                        </w14:solidFill>
                      </w14:textFill>
                    </w:rPr>
                    <w:t>救生及消防</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消防房及消防工具</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二层台逃生装置</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3</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钻台紧急滑道</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4</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四合一可燃气体监测仪</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三</w:t>
                  </w:r>
                </w:p>
              </w:tc>
              <w:tc>
                <w:tcPr>
                  <w:tcW w:w="2410" w:type="dxa"/>
                  <w:vAlign w:val="center"/>
                </w:tcPr>
                <w:p>
                  <w:pPr>
                    <w:widowControl/>
                    <w:spacing w:line="240" w:lineRule="auto"/>
                    <w:jc w:val="center"/>
                    <w:rPr>
                      <w:rFonts w:cs="Arial"/>
                      <w:bCs/>
                      <w:color w:val="000000" w:themeColor="text1"/>
                      <w:kern w:val="0"/>
                      <w:sz w:val="21"/>
                      <w14:textFill>
                        <w14:solidFill>
                          <w14:schemeClr w14:val="tx1"/>
                        </w14:solidFill>
                      </w14:textFill>
                    </w:rPr>
                  </w:pPr>
                  <w:r>
                    <w:rPr>
                      <w:rFonts w:cs="Arial"/>
                      <w:bCs/>
                      <w:color w:val="000000" w:themeColor="text1"/>
                      <w:kern w:val="0"/>
                      <w:sz w:val="21"/>
                      <w14:textFill>
                        <w14:solidFill>
                          <w14:schemeClr w14:val="tx1"/>
                        </w14:solidFill>
                      </w14:textFill>
                    </w:rPr>
                    <w:t>硫化氢防护设备</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固定式H</w:t>
                  </w:r>
                  <w:r>
                    <w:rPr>
                      <w:rFonts w:cs="Arial"/>
                      <w:color w:val="000000" w:themeColor="text1"/>
                      <w:kern w:val="0"/>
                      <w:sz w:val="21"/>
                      <w:vertAlign w:val="subscript"/>
                      <w14:textFill>
                        <w14:solidFill>
                          <w14:schemeClr w14:val="tx1"/>
                        </w14:solidFill>
                      </w14:textFill>
                    </w:rPr>
                    <w:t>2</w:t>
                  </w:r>
                  <w:r>
                    <w:rPr>
                      <w:rFonts w:cs="Arial"/>
                      <w:color w:val="000000" w:themeColor="text1"/>
                      <w:kern w:val="0"/>
                      <w:sz w:val="21"/>
                      <w14:textFill>
                        <w14:solidFill>
                          <w14:schemeClr w14:val="tx1"/>
                        </w14:solidFill>
                      </w14:textFill>
                    </w:rPr>
                    <w:t>S监测仪</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2</w:t>
                  </w:r>
                </w:p>
              </w:tc>
              <w:tc>
                <w:tcPr>
                  <w:tcW w:w="2410" w:type="dxa"/>
                  <w:vMerge w:val="restart"/>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便携式H</w:t>
                  </w:r>
                  <w:r>
                    <w:rPr>
                      <w:rFonts w:cs="Arial"/>
                      <w:color w:val="000000" w:themeColor="text1"/>
                      <w:kern w:val="0"/>
                      <w:sz w:val="21"/>
                      <w:vertAlign w:val="subscript"/>
                      <w14:textFill>
                        <w14:solidFill>
                          <w14:schemeClr w14:val="tx1"/>
                        </w14:solidFill>
                      </w14:textFill>
                    </w:rPr>
                    <w:t>2</w:t>
                  </w:r>
                  <w:r>
                    <w:rPr>
                      <w:rFonts w:cs="Arial"/>
                      <w:color w:val="000000" w:themeColor="text1"/>
                      <w:kern w:val="0"/>
                      <w:sz w:val="21"/>
                      <w14:textFill>
                        <w14:solidFill>
                          <w14:schemeClr w14:val="tx1"/>
                        </w14:solidFill>
                      </w14:textFill>
                    </w:rPr>
                    <w:t>S监测仪</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tcPr>
                <w:p>
                  <w:pPr>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2410" w:type="dxa"/>
                  <w:vMerge w:val="continue"/>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tcPr>
                <w:p>
                  <w:pPr>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2410" w:type="dxa"/>
                  <w:vMerge w:val="continue"/>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tcPr>
                <w:p>
                  <w:pPr>
                    <w:spacing w:line="240" w:lineRule="auto"/>
                    <w:jc w:val="center"/>
                    <w:rPr>
                      <w:rFonts w:cs="Arial"/>
                      <w:color w:val="000000" w:themeColor="text1"/>
                      <w:sz w:val="21"/>
                      <w14:textFill>
                        <w14:solidFill>
                          <w14:schemeClr w14:val="tx1"/>
                        </w14:solidFill>
                      </w14:textFill>
                    </w:rPr>
                  </w:pPr>
                  <w:r>
                    <w:rPr>
                      <w:rFonts w:cs="Arial"/>
                      <w:color w:val="000000" w:themeColor="text1"/>
                      <w:kern w:val="0"/>
                      <w:sz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3</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气瓶</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sz w:val="21"/>
                      <w14:textFill>
                        <w14:solidFill>
                          <w14:schemeClr w14:val="tx1"/>
                        </w14:solidFill>
                      </w14:textFill>
                    </w:rPr>
                    <w:t>个</w:t>
                  </w:r>
                </w:p>
              </w:tc>
              <w:tc>
                <w:tcPr>
                  <w:tcW w:w="1382" w:type="dxa"/>
                </w:tcPr>
                <w:p>
                  <w:pPr>
                    <w:spacing w:line="240" w:lineRule="auto"/>
                    <w:jc w:val="center"/>
                    <w:rPr>
                      <w:rFonts w:cs="Arial"/>
                      <w:color w:val="000000" w:themeColor="text1"/>
                      <w:sz w:val="21"/>
                      <w14:textFill>
                        <w14:solidFill>
                          <w14:schemeClr w14:val="tx1"/>
                        </w14:solidFill>
                      </w14:textFill>
                    </w:rPr>
                  </w:pPr>
                  <w:r>
                    <w:rPr>
                      <w:rFonts w:cs="Arial"/>
                      <w:color w:val="000000" w:themeColor="text1"/>
                      <w:sz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4</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空气呼吸器</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套</w:t>
                  </w:r>
                </w:p>
              </w:tc>
              <w:tc>
                <w:tcPr>
                  <w:tcW w:w="1382" w:type="dxa"/>
                  <w:vAlign w:val="center"/>
                </w:tcPr>
                <w:p>
                  <w:pPr>
                    <w:spacing w:line="240" w:lineRule="auto"/>
                    <w:jc w:val="center"/>
                    <w:rPr>
                      <w:rFonts w:cs="Arial"/>
                      <w:color w:val="000000" w:themeColor="text1"/>
                      <w:kern w:val="0"/>
                      <w:sz w:val="21"/>
                      <w14:textFill>
                        <w14:solidFill>
                          <w14:schemeClr w14:val="tx1"/>
                        </w14:solidFill>
                      </w14:textFill>
                    </w:rPr>
                  </w:pPr>
                  <w:r>
                    <w:rPr>
                      <w:rFonts w:cs="Arial"/>
                      <w:color w:val="000000" w:themeColor="text1"/>
                      <w:sz w:val="21"/>
                      <w14:textFill>
                        <w14:solidFill>
                          <w14:schemeClr w14:val="tx1"/>
                        </w14:solidFill>
                      </w14:textFill>
                    </w:rPr>
                    <w:t>15-20套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widowControl/>
                    <w:spacing w:line="240" w:lineRule="auto"/>
                    <w:jc w:val="center"/>
                    <w:rPr>
                      <w:rFonts w:cs="Arial"/>
                      <w:color w:val="000000" w:themeColor="text1"/>
                      <w:kern w:val="0"/>
                      <w:sz w:val="21"/>
                      <w14:textFill>
                        <w14:solidFill>
                          <w14:schemeClr w14:val="tx1"/>
                        </w14:solidFill>
                      </w14:textFill>
                    </w:rPr>
                  </w:pPr>
                </w:p>
              </w:tc>
              <w:tc>
                <w:tcPr>
                  <w:tcW w:w="7517" w:type="dxa"/>
                  <w:gridSpan w:val="5"/>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空气呼吸器现场实际配备：按</w:t>
                  </w:r>
                  <w:r>
                    <w:rPr>
                      <w:rFonts w:cs="Arial"/>
                      <w:color w:val="000000" w:themeColor="text1"/>
                      <w:sz w:val="21"/>
                      <w14:textFill>
                        <w14:solidFill>
                          <w14:schemeClr w14:val="tx1"/>
                        </w14:solidFill>
                      </w14:textFill>
                    </w:rPr>
                    <w:t>作业现场按生产班组每人配备1套，另按钻井队人数的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5</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空气压缩机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6</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大功率防爆排风扇</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7</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点火装置</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8</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小型汽油发电机</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9</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移动式点火装置(钻开油气层前配备)</w:t>
                  </w:r>
                </w:p>
              </w:tc>
              <w:tc>
                <w:tcPr>
                  <w:tcW w:w="198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99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hint="eastAsia" w:cs="Arial"/>
                      <w:color w:val="000000" w:themeColor="text1"/>
                      <w:kern w:val="0"/>
                      <w:sz w:val="21"/>
                      <w14:textFill>
                        <w14:solidFill>
                          <w14:schemeClr w14:val="tx1"/>
                        </w14:solidFill>
                      </w14:textFill>
                    </w:rPr>
                    <w:t>/</w:t>
                  </w:r>
                </w:p>
              </w:tc>
              <w:tc>
                <w:tcPr>
                  <w:tcW w:w="748"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台</w:t>
                  </w:r>
                </w:p>
              </w:tc>
              <w:tc>
                <w:tcPr>
                  <w:tcW w:w="1382"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四</w:t>
                  </w:r>
                </w:p>
              </w:tc>
              <w:tc>
                <w:tcPr>
                  <w:tcW w:w="2410" w:type="dxa"/>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kern w:val="0"/>
                      <w:sz w:val="21"/>
                      <w14:textFill>
                        <w14:solidFill>
                          <w14:schemeClr w14:val="tx1"/>
                        </w14:solidFill>
                      </w14:textFill>
                    </w:rPr>
                    <w:t>顶驱</w:t>
                  </w:r>
                </w:p>
              </w:tc>
              <w:tc>
                <w:tcPr>
                  <w:tcW w:w="5107" w:type="dxa"/>
                  <w:gridSpan w:val="4"/>
                  <w:vAlign w:val="center"/>
                </w:tcPr>
                <w:p>
                  <w:pPr>
                    <w:widowControl/>
                    <w:spacing w:line="240" w:lineRule="auto"/>
                    <w:jc w:val="center"/>
                    <w:rPr>
                      <w:rFonts w:cs="Arial"/>
                      <w:color w:val="000000" w:themeColor="text1"/>
                      <w:kern w:val="0"/>
                      <w:sz w:val="21"/>
                      <w14:textFill>
                        <w14:solidFill>
                          <w14:schemeClr w14:val="tx1"/>
                        </w14:solidFill>
                      </w14:textFill>
                    </w:rPr>
                  </w:pPr>
                  <w:r>
                    <w:rPr>
                      <w:rFonts w:cs="Arial"/>
                      <w:color w:val="000000" w:themeColor="text1"/>
                      <w:sz w:val="21"/>
                      <w14:textFill>
                        <w14:solidFill>
                          <w14:schemeClr w14:val="tx1"/>
                        </w14:solidFill>
                      </w14:textFill>
                    </w:rPr>
                    <w:t>配备5000kN顶部驱动装置。</w:t>
                  </w:r>
                </w:p>
              </w:tc>
            </w:tr>
          </w:tbl>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2.4主要原辅材料及能源消耗情况</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（1）钻井材料消耗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采用常规钻井工艺进行钻井，电源为网电，备用柴油发电机组使用时间少，约120h，预计柴油用量约70t。主要的原辅材料是钻井和固井作业用的水泥、基础材料以及各种外加剂等。酸化用酸（20%盐酸）使用前一天根据预算的需求量利用专用的玻璃钢罐车拉运至现场，用于第二天的酸化工序，采取按需购买的方式，厂区内不贮存。项目主要原辅材料消耗情况见表2.4-1。</w:t>
            </w:r>
          </w:p>
          <w:p>
            <w:pPr>
              <w:pStyle w:val="13"/>
              <w:rPr>
                <w:color w:val="000000" w:themeColor="text1"/>
                <w14:textFill>
                  <w14:solidFill>
                    <w14:schemeClr w14:val="tx1"/>
                  </w14:solidFill>
                </w14:textFill>
              </w:rPr>
            </w:pPr>
            <w:r>
              <w:rPr>
                <w:rFonts w:hint="eastAsia"/>
                <w:color w:val="000000" w:themeColor="text1"/>
                <w14:textFill>
                  <w14:solidFill>
                    <w14:schemeClr w14:val="tx1"/>
                  </w14:solidFill>
                </w14:textFill>
              </w:rPr>
              <w:t>表2.4-1  主要原辅材料及能源消耗情况</w:t>
            </w:r>
          </w:p>
          <w:p>
            <w:pPr>
              <w:jc w:val="center"/>
            </w:pPr>
            <w:r>
              <w:rPr>
                <w:rFonts w:hint="eastAsia"/>
                <w:bCs/>
                <w:color w:val="000000" w:themeColor="text1"/>
                <w:szCs w:val="18"/>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本项目采用常规钻井工艺进行钻井。钻井液初期在场地内配备并储存于钻井泥浆罐中循环使用，调配钻井液原料（如膨润土等），分区分类贮存于井场内，贮存区上部设雨篷遮挡。</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（2）钻井液体系</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拟建项目采用常规钻井工艺，常规水基钻井液，钻井液体系及成分详见下表2.4-2。</w:t>
            </w:r>
          </w:p>
          <w:p>
            <w:pPr>
              <w:widowControl/>
              <w:spacing w:line="440" w:lineRule="exact"/>
              <w:ind w:firstLine="482" w:firstLineChars="200"/>
              <w:jc w:val="center"/>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表2.4-2   拟建项目钻井液体系及成分表</w:t>
            </w:r>
          </w:p>
          <w:p>
            <w:pPr>
              <w:ind w:firstLine="480" w:firstLineChars="200"/>
              <w:jc w:val="center"/>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（3）钻井液主要成分的物理化学特性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本项目所用钻井泥浆主要材料物理化学特性见下表。</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表2.4-2   钻井液主要材料物理化学特性</w:t>
            </w:r>
          </w:p>
          <w:p>
            <w:pPr>
              <w:jc w:val="center"/>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总平面及现场布置</w:t>
            </w:r>
          </w:p>
        </w:tc>
        <w:tc>
          <w:tcPr>
            <w:tcW w:w="8523" w:type="dxa"/>
            <w:gridSpan w:val="2"/>
            <w:vAlign w:val="center"/>
          </w:tcPr>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2.5总平面布置及合理性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平面布置按照《钻前工程及井场布置技术要求》（SY/T5466-2013）、《石油与天然气钻井、开发、储运防火防爆安全生产管理规定》（SY5225-2012）等石油和天然气行业标准的要求进行。钻井井场主要包括井控台、泥浆循环辅助系统、泥浆泵、值班室、办公室、油罐区等。井场外设置有放喷池、应急池、活动板房等，井场办公室用房为活动板房，完钻后随钻井队搬迁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（1）总平面布置简介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井场沿西南-东北方向布置，采用标准化井场，尺寸为100×55m，南侧为前场，北侧为后场，井控台和泥浆循环辅助系统布设于井场中部，主要设备有振动筛、离心机等。清洁生产操作平台位于井场前场，应急池设在井场前场方向，油/水罐基础位于井场前场左侧方向，泥浆储备罐基础位于井场后场方向，主燃烧池设置在井场西南方向距井口150m外旱地中，副燃烧池设置于左后场方向距离井口100m的旱地中，耕植土堆放场位于后场方向深沟中。生活区位于距井口100m以外的旱地中。</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总体上井场布置按照《钻前工程及井场布置技术要求》（SY/T5466-2013）、《石油与天然气钻井、开发、储运防火防爆安全生产管理规定》（SY5225-2012）等石油和天然气行业标准的要求进行。</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（2）总平面布置合理性分析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①油罐区布置合理性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根据总平面布置可见，该油罐区布置在井场外东南侧，符合《钻前工程及井场布置技术要求》（SY/T5466-2013）中的相关规定。根据《石油天然气钻井、开发、储运防火防爆安全生产技术规程（SY5225-2012）》中第3.1.3 条规定：油罐区距井口应不小于30m。油罐区距井口约50m，满足要求。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②噪声源布置合理性分析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工程拟使用钻机为电动钻机，根据《钻前工程及井场布置技术要求》（SY/T5466-2013）中的第4.3.2 条规定：电动钻机发电机组和电控房应布置并排置于井场的后方。本项目柴油发电机布置于井口后场，符合《钻前工程及井场布置技术要求》中的第4.3.2 条规定。另外根据周边人居分布情况，井口周围散居农户主要分布在井口西面和南面，主要位于乡村公路两侧，与噪声源保持了一定的噪声衰减距离，最大限度的降低钻井噪声对敏感点的影响，噪声源布局合理。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③放喷池布置合理性分析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根据《钻井井控技术规程》（SY/T6426-2005）中的第4.1.2.3 条规定：放喷管线应接至距井口75m以上的安全地带，距各种设施不小于50m。《石油天然气钻井、开发、储运防火防爆安全生产技术规程》（SY5225-2012）第3.1.4 规定：放喷管线出口距井口应不小于75m；《陆上石油天然气生产环境保护推荐作法》（SY/T6628-2005）中第5.3.1 条规定：放喷池和火炬应限于安全地点，尽可能考虑选择井场主导风向的下风向放喷或点燃火炬，还应使排入大气的气体完全燃烧。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共设置2座放喷池，由本项目井场平面布置可知，主燃烧池设置在井场西南方向距井口150m外旱地中，副燃烧池设置于左后场方向距离井口100m的旱地中，均位于井场侧风向。根据调查，放喷池周围50m范围内无各类设施和民房。由此可见，放喷池设置满足相关规定，布置合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④应急池设置合理性分析</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选址合理性：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本项目拟建的应急池布置在井场南面，建设用地为水田，地势较为平坦，池体采用地陷式构造，不在填方土堆上修建，尽可能的降低了池体垮塌的风险。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从井口周围农户分布看，井场周围农户较少，另外井场建设地地形较水池高，有利于井场区域污水自流进入水池，保证了有效的收集井场污水。项目在修建应急池时，池体采用地陷式构造，并对池子进行防渗漏处理，在其周围修建围堰、雨水导流沟和截污沟。在采取以上措施后，项目对事故溢流出的废水能够做到可控范围，防止废水污染下游地表水体，因此应急池选址合理。</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容积设置合理性：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根据项目平面布置，井场内需收集处理雨水的区域约200m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，铜梁区日降雨量按照1071mm计算，项目最大日收集雨水量约为215m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，应急池有效容积为500m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，因此，应急池有效容积设置合理。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综上所述，本项目平面布置符合相关规范要求，从环保角度分析合理可行。</w:t>
            </w:r>
          </w:p>
          <w:p>
            <w:pPr>
              <w:ind w:firstLine="480" w:firstLineChars="200"/>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headerReference r:id="rId8" w:type="default"/>
          <w:pgSz w:w="11906" w:h="16838"/>
          <w:pgMar w:top="1440" w:right="1800" w:bottom="1440" w:left="1800"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34"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施工方案</w:t>
            </w:r>
          </w:p>
        </w:tc>
        <w:tc>
          <w:tcPr>
            <w:tcW w:w="7988" w:type="dxa"/>
          </w:tcPr>
          <w:p>
            <w:pPr>
              <w:pStyle w:val="3"/>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2.6施工方案</w:t>
            </w:r>
          </w:p>
          <w:p>
            <w:pPr>
              <w:pStyle w:val="4"/>
              <w:spacing w:before="0" w:after="0"/>
              <w:rPr>
                <w:color w:val="000000" w:themeColor="text1"/>
                <w14:textFill>
                  <w14:solidFill>
                    <w14:schemeClr w14:val="tx1"/>
                  </w14:solidFill>
                </w14:textFill>
              </w:rPr>
            </w:pPr>
            <w:r>
              <w:rPr>
                <w:rFonts w:hint="eastAsia"/>
                <w:color w:val="000000" w:themeColor="text1"/>
                <w14:textFill>
                  <w14:solidFill>
                    <w14:schemeClr w14:val="tx1"/>
                  </w14:solidFill>
                </w14:textFill>
              </w:rPr>
              <w:t>2.6.1钻前工程</w:t>
            </w:r>
          </w:p>
          <w:p>
            <w:pPr>
              <w:widowControl/>
              <w:adjustRightInd w:val="0"/>
              <w:snapToGrid w:val="0"/>
              <w:ind w:firstLine="480" w:firstLineChars="20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钻前工程内容包括新建井场、道路、清洁化操作平台、应急池、燃烧池及临时活动板房、设备基础、给排水、供配电等工程。施工流程为新建井场道路</w:t>
            </w:r>
            <w:r>
              <w:rPr>
                <w:color w:val="000000" w:themeColor="text1"/>
                <w:lang w:bidi="ar"/>
                <w14:textFill>
                  <w14:solidFill>
                    <w14:schemeClr w14:val="tx1"/>
                  </w14:solidFill>
                </w14:textFill>
              </w:rPr>
              <w:t>—</w:t>
            </w:r>
            <w:r>
              <w:rPr>
                <w:rFonts w:hint="eastAsia"/>
                <w:color w:val="000000" w:themeColor="text1"/>
                <w:lang w:bidi="ar"/>
                <w14:textFill>
                  <w14:solidFill>
                    <w14:schemeClr w14:val="tx1"/>
                  </w14:solidFill>
                </w14:textFill>
              </w:rPr>
              <w:t>井场平整</w:t>
            </w:r>
            <w:r>
              <w:rPr>
                <w:color w:val="000000" w:themeColor="text1"/>
                <w:lang w:bidi="ar"/>
                <w14:textFill>
                  <w14:solidFill>
                    <w14:schemeClr w14:val="tx1"/>
                  </w14:solidFill>
                </w14:textFill>
              </w:rPr>
              <w:t>—新建</w:t>
            </w:r>
            <w:r>
              <w:rPr>
                <w:rFonts w:hint="eastAsia"/>
                <w:color w:val="000000" w:themeColor="text1"/>
                <w:lang w:bidi="ar"/>
                <w14:textFill>
                  <w14:solidFill>
                    <w14:schemeClr w14:val="tx1"/>
                  </w14:solidFill>
                </w14:textFill>
              </w:rPr>
              <w:t>燃烧池等池体</w:t>
            </w:r>
            <w:r>
              <w:rPr>
                <w:color w:val="000000" w:themeColor="text1"/>
                <w:lang w:bidi="ar"/>
                <w14:textFill>
                  <w14:solidFill>
                    <w14:schemeClr w14:val="tx1"/>
                  </w14:solidFill>
                </w14:textFill>
              </w:rPr>
              <w:t>—</w:t>
            </w:r>
            <w:r>
              <w:rPr>
                <w:rFonts w:hint="eastAsia"/>
                <w:color w:val="000000" w:themeColor="text1"/>
                <w:lang w:bidi="ar"/>
                <w14:textFill>
                  <w14:solidFill>
                    <w14:schemeClr w14:val="tx1"/>
                  </w14:solidFill>
                </w14:textFill>
              </w:rPr>
              <w:t>井场硬化</w:t>
            </w:r>
            <w:r>
              <w:rPr>
                <w:color w:val="000000" w:themeColor="text1"/>
                <w:lang w:bidi="ar"/>
                <w14:textFill>
                  <w14:solidFill>
                    <w14:schemeClr w14:val="tx1"/>
                  </w14:solidFill>
                </w14:textFill>
              </w:rPr>
              <w:t>—</w:t>
            </w:r>
            <w:r>
              <w:rPr>
                <w:rFonts w:hint="eastAsia"/>
                <w:color w:val="000000" w:themeColor="text1"/>
                <w:lang w:bidi="ar"/>
                <w14:textFill>
                  <w14:solidFill>
                    <w14:schemeClr w14:val="tx1"/>
                  </w14:solidFill>
                </w14:textFill>
              </w:rPr>
              <w:t>设备基础防渗</w:t>
            </w:r>
            <w:r>
              <w:rPr>
                <w:color w:val="000000" w:themeColor="text1"/>
                <w:lang w:bidi="ar"/>
                <w14:textFill>
                  <w14:solidFill>
                    <w14:schemeClr w14:val="tx1"/>
                  </w14:solidFill>
                </w14:textFill>
              </w:rPr>
              <w:t>—</w:t>
            </w:r>
            <w:r>
              <w:rPr>
                <w:rFonts w:hint="eastAsia"/>
                <w:color w:val="000000" w:themeColor="text1"/>
                <w:lang w:bidi="ar"/>
                <w14:textFill>
                  <w14:solidFill>
                    <w14:schemeClr w14:val="tx1"/>
                  </w14:solidFill>
                </w14:textFill>
              </w:rPr>
              <w:t>移交钻井队。</w:t>
            </w:r>
            <w:r>
              <w:rPr>
                <w:rFonts w:hint="eastAsia"/>
                <w:color w:val="000000" w:themeColor="text1"/>
                <w14:textFill>
                  <w14:solidFill>
                    <w14:schemeClr w14:val="tx1"/>
                  </w14:solidFill>
                </w14:textFill>
              </w:rPr>
              <w:t>钻前工艺流程见图2.6-1：</w:t>
            </w:r>
          </w:p>
          <w:p>
            <w:pPr>
              <w:spacing w:line="360" w:lineRule="auto"/>
              <w:ind w:firstLine="482"/>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1985010</wp:posOffset>
                      </wp:positionH>
                      <wp:positionV relativeFrom="paragraph">
                        <wp:posOffset>146050</wp:posOffset>
                      </wp:positionV>
                      <wp:extent cx="1689100" cy="484505"/>
                      <wp:effectExtent l="0" t="0" r="25400" b="163195"/>
                      <wp:wrapNone/>
                      <wp:docPr id="9" name="矩形标注 9"/>
                      <wp:cNvGraphicFramePr/>
                      <a:graphic xmlns:a="http://schemas.openxmlformats.org/drawingml/2006/main">
                        <a:graphicData uri="http://schemas.microsoft.com/office/word/2010/wordprocessingShape">
                          <wps:wsp>
                            <wps:cNvSpPr>
                              <a:spLocks noChangeArrowheads="1"/>
                            </wps:cNvSpPr>
                            <wps:spPr bwMode="auto">
                              <a:xfrm>
                                <a:off x="0" y="0"/>
                                <a:ext cx="1689100" cy="484505"/>
                              </a:xfrm>
                              <a:prstGeom prst="wedgeRectCallout">
                                <a:avLst>
                                  <a:gd name="adj1" fmla="val -6912"/>
                                  <a:gd name="adj2" fmla="val 80014"/>
                                </a:avLst>
                              </a:prstGeom>
                              <a:solidFill>
                                <a:srgbClr val="FFFFFF"/>
                              </a:solidFill>
                              <a:ln w="9525" cmpd="sng">
                                <a:solidFill>
                                  <a:srgbClr val="FF0000"/>
                                </a:solidFill>
                                <a:prstDash val="dash"/>
                                <a:miter lim="800000"/>
                              </a:ln>
                              <a:effectLst/>
                            </wps:spPr>
                            <wps:txbx>
                              <w:txbxContent>
                                <w:p>
                                  <w:pPr>
                                    <w:spacing w:line="240" w:lineRule="auto"/>
                                    <w:jc w:val="center"/>
                                  </w:pPr>
                                  <w:r>
                                    <w:rPr>
                                      <w:rFonts w:hint="eastAsia"/>
                                    </w:rPr>
                                    <w:t>临时占地、破坏植被、施工噪声、施工废渣等</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56.3pt;margin-top:11.5pt;height:38.15pt;width:133pt;z-index:251666432;mso-width-relative:page;mso-height-relative:page;" fillcolor="#FFFFFF" filled="t" stroked="t" coordsize="21600,21600" o:gfxdata="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ItTVtoAAAAJAQAADwAAAAAA&#10;AAABACAAAAAiAAAAZHJzL2Rvd25yZXYueG1sUEsBAhQAFAAAAAgAh07iQOAiLYyDAgAADgUAAA4A&#10;AAAAAAAAAQAgAAAAKQEAAGRycy9lMm9Eb2MueG1sUEsFBgAAAAAGAAYAWQEAAB4GAAAAAA==&#10;" adj="9307,28083">
                      <v:fill on="t" focussize="0,0"/>
                      <v:stroke color="#FF0000" miterlimit="8" joinstyle="miter" dashstyle="dash"/>
                      <v:imagedata o:title=""/>
                      <o:lock v:ext="edit" aspectratio="f"/>
                      <v:textbox>
                        <w:txbxContent>
                          <w:p>
                            <w:pPr>
                              <w:spacing w:line="240" w:lineRule="auto"/>
                              <w:jc w:val="center"/>
                            </w:pPr>
                            <w:r>
                              <w:rPr>
                                <w:rFonts w:hint="eastAsia"/>
                              </w:rPr>
                              <w:t>临时占地、破坏植被、施工噪声、施工废渣等</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3743325</wp:posOffset>
                      </wp:positionH>
                      <wp:positionV relativeFrom="paragraph">
                        <wp:posOffset>101600</wp:posOffset>
                      </wp:positionV>
                      <wp:extent cx="1225550" cy="484505"/>
                      <wp:effectExtent l="0" t="0" r="12700" b="201295"/>
                      <wp:wrapNone/>
                      <wp:docPr id="10" name="矩形标注 10"/>
                      <wp:cNvGraphicFramePr/>
                      <a:graphic xmlns:a="http://schemas.openxmlformats.org/drawingml/2006/main">
                        <a:graphicData uri="http://schemas.microsoft.com/office/word/2010/wordprocessingShape">
                          <wps:wsp>
                            <wps:cNvSpPr>
                              <a:spLocks noChangeArrowheads="1"/>
                            </wps:cNvSpPr>
                            <wps:spPr bwMode="auto">
                              <a:xfrm>
                                <a:off x="0" y="0"/>
                                <a:ext cx="1225550" cy="484505"/>
                              </a:xfrm>
                              <a:prstGeom prst="wedgeRectCallout">
                                <a:avLst>
                                  <a:gd name="adj1" fmla="val 4662"/>
                                  <a:gd name="adj2" fmla="val 86306"/>
                                </a:avLst>
                              </a:prstGeom>
                              <a:solidFill>
                                <a:srgbClr val="FFFFFF"/>
                              </a:solidFill>
                              <a:ln w="9525" cmpd="sng">
                                <a:solidFill>
                                  <a:srgbClr val="FF0000"/>
                                </a:solidFill>
                                <a:prstDash val="dash"/>
                                <a:miter lim="800000"/>
                              </a:ln>
                              <a:effectLst/>
                            </wps:spPr>
                            <wps:txbx>
                              <w:txbxContent>
                                <w:p>
                                  <w:pPr>
                                    <w:spacing w:line="240" w:lineRule="auto"/>
                                  </w:pPr>
                                  <w:r>
                                    <w:rPr>
                                      <w:rFonts w:hint="eastAsia"/>
                                    </w:rPr>
                                    <w:t>施工噪声、废包装材料等</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94.75pt;margin-top:8pt;height:38.15pt;width:96.5pt;z-index:251667456;mso-width-relative:page;mso-height-relative:page;" fillcolor="#FFFFFF" filled="t" stroked="t" coordsize="21600,21600" o:gfxdata="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jiiED2AAAAAkBAAAPAAAAAAAA&#10;AAEAIAAAACIAAABkcnMvZG93bnJldi54bWxQSwECFAAUAAAACACHTuJAbQxnuoQCAAAPBQAADgAA&#10;AAAAAAABACAAAAAnAQAAZHJzL2Uyb0RvYy54bWxQSwUGAAAAAAYABgBZAQAAHQYAAAAA&#10;" adj="11807,29442">
                      <v:fill on="t" focussize="0,0"/>
                      <v:stroke color="#FF0000" miterlimit="8" joinstyle="miter" dashstyle="dash"/>
                      <v:imagedata o:title=""/>
                      <o:lock v:ext="edit" aspectratio="f"/>
                      <v:textbox>
                        <w:txbxContent>
                          <w:p>
                            <w:pPr>
                              <w:spacing w:line="240" w:lineRule="auto"/>
                            </w:pPr>
                            <w:r>
                              <w:rPr>
                                <w:rFonts w:hint="eastAsia"/>
                              </w:rPr>
                              <w:t>施工噪声、废包装材料等</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45720</wp:posOffset>
                      </wp:positionH>
                      <wp:positionV relativeFrom="paragraph">
                        <wp:posOffset>92075</wp:posOffset>
                      </wp:positionV>
                      <wp:extent cx="1715135" cy="484505"/>
                      <wp:effectExtent l="0" t="0" r="18415" b="144145"/>
                      <wp:wrapNone/>
                      <wp:docPr id="11" name="矩形标注 11"/>
                      <wp:cNvGraphicFramePr/>
                      <a:graphic xmlns:a="http://schemas.openxmlformats.org/drawingml/2006/main">
                        <a:graphicData uri="http://schemas.microsoft.com/office/word/2010/wordprocessingShape">
                          <wps:wsp>
                            <wps:cNvSpPr>
                              <a:spLocks noChangeArrowheads="1"/>
                            </wps:cNvSpPr>
                            <wps:spPr bwMode="auto">
                              <a:xfrm>
                                <a:off x="0" y="0"/>
                                <a:ext cx="1715135" cy="484505"/>
                              </a:xfrm>
                              <a:prstGeom prst="wedgeRectCallout">
                                <a:avLst>
                                  <a:gd name="adj1" fmla="val -8301"/>
                                  <a:gd name="adj2" fmla="val 76606"/>
                                </a:avLst>
                              </a:prstGeom>
                              <a:solidFill>
                                <a:srgbClr val="FFFFFF"/>
                              </a:solidFill>
                              <a:ln w="9525" cmpd="sng">
                                <a:solidFill>
                                  <a:srgbClr val="FF0000"/>
                                </a:solidFill>
                                <a:prstDash val="dash"/>
                                <a:miter lim="800000"/>
                              </a:ln>
                              <a:effectLst/>
                            </wps:spPr>
                            <wps:txbx>
                              <w:txbxContent>
                                <w:p>
                                  <w:pPr>
                                    <w:spacing w:line="240" w:lineRule="auto"/>
                                    <w:rPr>
                                      <w:sz w:val="21"/>
                                    </w:rPr>
                                  </w:pPr>
                                  <w:r>
                                    <w:rPr>
                                      <w:rFonts w:hint="eastAsia"/>
                                      <w:sz w:val="21"/>
                                    </w:rPr>
                                    <w:t>水土流失、植被破坏、施工噪声、施工扬尘、施工废渣等</w:t>
                                  </w:r>
                                </w:p>
                                <w:p>
                                  <w:pPr>
                                    <w:spacing w:line="240" w:lineRule="auto"/>
                                    <w:rPr>
                                      <w:sz w:val="21"/>
                                    </w:rPr>
                                  </w:pPr>
                                </w:p>
                              </w:txbxContent>
                            </wps:txbx>
                            <wps:bodyPr rot="0" vert="horz" wrap="square" lIns="0" tIns="45720" rIns="0" bIns="45720" anchor="t" anchorCtr="0" upright="1">
                              <a:noAutofit/>
                            </wps:bodyPr>
                          </wps:wsp>
                        </a:graphicData>
                      </a:graphic>
                    </wp:anchor>
                  </w:drawing>
                </mc:Choice>
                <mc:Fallback>
                  <w:pict>
                    <v:shape id="_x0000_s1026" o:spid="_x0000_s1026" o:spt="61" type="#_x0000_t61" style="position:absolute;left:0pt;margin-left:3.6pt;margin-top:7.25pt;height:38.15pt;width:135.05pt;z-index:251665408;mso-width-relative:page;mso-height-relative:page;" fillcolor="#FFFFFF" filled="t" stroked="t" coordsize="21600,21600" o:gfxdata="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7+MRzWAAAABwEAAA8AAAAAAAAA&#10;AQAgAAAAIgAAAGRycy9kb3ducmV2LnhtbFBLAQIUABQAAAAIAIdO4kCKhFbOhQIAAAgFAAAOAAAA&#10;AAAAAAEAIAAAACUBAABkcnMvZTJvRG9jLnhtbFBLBQYAAAAABgAGAFkBAAAcBgAAAAA=&#10;" adj="9007,27347">
                      <v:fill on="t" focussize="0,0"/>
                      <v:stroke color="#FF0000" miterlimit="8" joinstyle="miter" dashstyle="dash"/>
                      <v:imagedata o:title=""/>
                      <o:lock v:ext="edit" aspectratio="f"/>
                      <v:textbox inset="0mm,1.27mm,0mm,1.27mm">
                        <w:txbxContent>
                          <w:p>
                            <w:pPr>
                              <w:spacing w:line="240" w:lineRule="auto"/>
                              <w:rPr>
                                <w:sz w:val="21"/>
                              </w:rPr>
                            </w:pPr>
                            <w:r>
                              <w:rPr>
                                <w:rFonts w:hint="eastAsia"/>
                                <w:sz w:val="21"/>
                              </w:rPr>
                              <w:t>水土流失、植被破坏、施工噪声、施工扬尘、施工废渣等</w:t>
                            </w:r>
                          </w:p>
                          <w:p>
                            <w:pPr>
                              <w:spacing w:line="240" w:lineRule="auto"/>
                              <w:rPr>
                                <w:sz w:val="21"/>
                              </w:rPr>
                            </w:pPr>
                          </w:p>
                        </w:txbxContent>
                      </v:textbox>
                    </v:shape>
                  </w:pict>
                </mc:Fallback>
              </mc:AlternateContent>
            </w:r>
          </w:p>
          <w:p>
            <w:pPr>
              <w:spacing w:line="360" w:lineRule="auto"/>
              <w:ind w:firstLine="482"/>
              <w:rPr>
                <w:rFonts w:ascii="宋体" w:hAnsi="宋体" w:cs="宋体"/>
                <w:bCs/>
                <w:color w:val="000000" w:themeColor="text1"/>
                <w14:textFill>
                  <w14:solidFill>
                    <w14:schemeClr w14:val="tx1"/>
                  </w14:solidFill>
                </w14:textFill>
              </w:rPr>
            </w:pPr>
          </w:p>
          <w:p>
            <w:pPr>
              <w:tabs>
                <w:tab w:val="left" w:pos="2321"/>
              </w:tabs>
              <w:overflowPunct w:val="0"/>
              <w:autoSpaceDE w:val="0"/>
              <w:spacing w:line="360" w:lineRule="auto"/>
              <w:rPr>
                <w:rFonts w:ascii="宋体" w:hAnsi="宋体" w:cs="宋体"/>
                <w:b/>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3918585</wp:posOffset>
                      </wp:positionH>
                      <wp:positionV relativeFrom="paragraph">
                        <wp:posOffset>170815</wp:posOffset>
                      </wp:positionV>
                      <wp:extent cx="1054100" cy="361950"/>
                      <wp:effectExtent l="0" t="0" r="12700" b="1905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1054100" cy="361950"/>
                              </a:xfrm>
                              <a:prstGeom prst="rect">
                                <a:avLst/>
                              </a:prstGeom>
                              <a:solidFill>
                                <a:srgbClr val="CCFFFF">
                                  <a:alpha val="0"/>
                                </a:srgbClr>
                              </a:solidFill>
                              <a:ln w="19050" cmpd="sng">
                                <a:solidFill>
                                  <a:srgbClr val="000000"/>
                                </a:solidFill>
                                <a:miter lim="800000"/>
                              </a:ln>
                              <a:effectLst/>
                            </wps:spPr>
                            <wps:txbx>
                              <w:txbxContent>
                                <w:p>
                                  <w:pPr>
                                    <w:pStyle w:val="14"/>
                                    <w:rPr>
                                      <w:color w:val="auto"/>
                                      <w:sz w:val="21"/>
                                      <w:szCs w:val="21"/>
                                    </w:rPr>
                                  </w:pPr>
                                  <w:r>
                                    <w:rPr>
                                      <w:rFonts w:hint="eastAsia"/>
                                      <w:color w:val="auto"/>
                                      <w:sz w:val="21"/>
                                      <w:szCs w:val="21"/>
                                    </w:rPr>
                                    <w:t>设备搬运安装</w:t>
                                  </w:r>
                                </w:p>
                              </w:txbxContent>
                            </wps:txbx>
                            <wps:bodyPr rot="0" vert="horz" wrap="square" lIns="91440" tIns="0" rIns="91440" bIns="0" anchor="t" anchorCtr="0" upright="1">
                              <a:noAutofit/>
                            </wps:bodyPr>
                          </wps:wsp>
                        </a:graphicData>
                      </a:graphic>
                    </wp:anchor>
                  </w:drawing>
                </mc:Choice>
                <mc:Fallback>
                  <w:pict>
                    <v:rect id="_x0000_s1026" o:spid="_x0000_s1026" o:spt="1" style="position:absolute;left:0pt;margin-left:308.55pt;margin-top:13.45pt;height:28.5pt;width:83pt;z-index:251660288;mso-width-relative:page;mso-height-relative:page;" fillcolor="#CCFFFF" filled="t" stroked="t" coordsize="21600,21600" o:gfxdata="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WptePZAAAACQEAAA8A&#10;AAAAAAAAAQAgAAAAIgAAAGRycy9kb3ducmV2LnhtbFBLAQIUABQAAAAIAIdO4kAIOifGTwIAAKkE&#10;AAAOAAAAAAAAAAEAIAAAACgBAABkcnMvZTJvRG9jLnhtbFBLBQYAAAAABgAGAFkBAADpBQAAAAA=&#10;">
                      <v:fill on="t" opacity="0f" focussize="0,0"/>
                      <v:stroke weight="1.5pt" color="#000000" miterlimit="8" joinstyle="miter"/>
                      <v:imagedata o:title=""/>
                      <o:lock v:ext="edit" aspectratio="f"/>
                      <v:textbox inset="2.54mm,0mm,2.54mm,0mm">
                        <w:txbxContent>
                          <w:p>
                            <w:pPr>
                              <w:pStyle w:val="14"/>
                              <w:rPr>
                                <w:color w:val="auto"/>
                                <w:sz w:val="21"/>
                                <w:szCs w:val="21"/>
                              </w:rPr>
                            </w:pPr>
                            <w:r>
                              <w:rPr>
                                <w:rFonts w:hint="eastAsia"/>
                                <w:color w:val="auto"/>
                                <w:sz w:val="21"/>
                                <w:szCs w:val="21"/>
                              </w:rPr>
                              <w:t>设备搬运安装</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132715</wp:posOffset>
                      </wp:positionV>
                      <wp:extent cx="1726565" cy="495300"/>
                      <wp:effectExtent l="0" t="0" r="26035" b="1905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726565" cy="495300"/>
                              </a:xfrm>
                              <a:prstGeom prst="rect">
                                <a:avLst/>
                              </a:prstGeom>
                              <a:solidFill>
                                <a:srgbClr val="CCFFFF">
                                  <a:alpha val="0"/>
                                </a:srgbClr>
                              </a:solidFill>
                              <a:ln w="19050" cmpd="sng">
                                <a:solidFill>
                                  <a:srgbClr val="000000"/>
                                </a:solidFill>
                                <a:miter lim="800000"/>
                              </a:ln>
                              <a:effectLst/>
                            </wps:spPr>
                            <wps:txbx>
                              <w:txbxContent>
                                <w:p>
                                  <w:pPr>
                                    <w:spacing w:line="240" w:lineRule="auto"/>
                                  </w:pPr>
                                  <w:r>
                                    <w:rPr>
                                      <w:rFonts w:hint="eastAsia"/>
                                      <w:bCs/>
                                      <w:spacing w:val="20"/>
                                    </w:rPr>
                                    <w:t>道路建设、井场平整、池类构筑物建设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5pt;margin-top:10.45pt;height:39pt;width:135.95pt;z-index:251661312;mso-width-relative:page;mso-height-relative:page;" fillcolor="#CCFFFF" filled="t" stroked="t" coordsize="21600,21600" o:gfxdata="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OSxXXXAAAACAEA&#10;AA8AAAAAAAAAAQAgAAAAIgAAAGRycy9kb3ducmV2LnhtbFBLAQIUABQAAAAIAIdO4kBO1P5YVAIA&#10;ALEEAAAOAAAAAAAAAAEAIAAAACYBAABkcnMvZTJvRG9jLnhtbFBLBQYAAAAABgAGAFkBAADsBQAA&#10;AAA=&#10;">
                      <v:fill on="t" opacity="0f" focussize="0,0"/>
                      <v:stroke weight="1.5pt" color="#000000" miterlimit="8" joinstyle="miter"/>
                      <v:imagedata o:title=""/>
                      <o:lock v:ext="edit" aspectratio="f"/>
                      <v:textbox>
                        <w:txbxContent>
                          <w:p>
                            <w:pPr>
                              <w:spacing w:line="240" w:lineRule="auto"/>
                            </w:pPr>
                            <w:r>
                              <w:rPr>
                                <w:rFonts w:hint="eastAsia"/>
                                <w:bCs/>
                                <w:spacing w:val="20"/>
                              </w:rPr>
                              <w:t>道路建设、井场平整、池类构筑物建设</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2032635</wp:posOffset>
                      </wp:positionH>
                      <wp:positionV relativeFrom="paragraph">
                        <wp:posOffset>213995</wp:posOffset>
                      </wp:positionV>
                      <wp:extent cx="1482090" cy="297180"/>
                      <wp:effectExtent l="17145" t="13970" r="15240" b="1270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482090" cy="297180"/>
                              </a:xfrm>
                              <a:prstGeom prst="rect">
                                <a:avLst/>
                              </a:prstGeom>
                              <a:solidFill>
                                <a:srgbClr val="CCFFFF">
                                  <a:alpha val="0"/>
                                </a:srgbClr>
                              </a:solidFill>
                              <a:ln w="19050" cmpd="sng">
                                <a:solidFill>
                                  <a:srgbClr val="000000"/>
                                </a:solidFill>
                                <a:miter lim="800000"/>
                              </a:ln>
                              <a:effectLst/>
                            </wps:spPr>
                            <wps:txbx>
                              <w:txbxContent>
                                <w:p>
                                  <w:pPr>
                                    <w:spacing w:line="240" w:lineRule="auto"/>
                                    <w:jc w:val="center"/>
                                  </w:pPr>
                                  <w:r>
                                    <w:rPr>
                                      <w:rFonts w:hint="eastAsia"/>
                                    </w:rPr>
                                    <w:t>设备、房屋基础</w:t>
                                  </w:r>
                                </w:p>
                              </w:txbxContent>
                            </wps:txbx>
                            <wps:bodyPr rot="0" vert="horz" wrap="square" lIns="0" tIns="45720" rIns="0" bIns="45720" anchor="t" anchorCtr="0" upright="1">
                              <a:noAutofit/>
                            </wps:bodyPr>
                          </wps:wsp>
                        </a:graphicData>
                      </a:graphic>
                    </wp:anchor>
                  </w:drawing>
                </mc:Choice>
                <mc:Fallback>
                  <w:pict>
                    <v:rect id="_x0000_s1026" o:spid="_x0000_s1026" o:spt="1" style="position:absolute;left:0pt;margin-left:160.05pt;margin-top:16.85pt;height:23.4pt;width:116.7pt;z-index:251662336;mso-width-relative:page;mso-height-relative:page;" fillcolor="#CCFFFF" filled="t" stroked="t" coordsize="21600,21600" o:gfxdata="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UO+9XYAAAACQEAAA8A&#10;AAAAAAAAAQAgAAAAIgAAAGRycy9kb3ducmV2LnhtbFBLAQIUABQAAAAIAIdO4kCHU5r+UAIAAKkE&#10;AAAOAAAAAAAAAAEAIAAAACcBAABkcnMvZTJvRG9jLnhtbFBLBQYAAAAABgAGAFkBAADpBQAAAAA=&#10;">
                      <v:fill on="t" opacity="0f" focussize="0,0"/>
                      <v:stroke weight="1.5pt" color="#000000" miterlimit="8" joinstyle="miter"/>
                      <v:imagedata o:title=""/>
                      <o:lock v:ext="edit" aspectratio="f"/>
                      <v:textbox inset="0mm,1.27mm,0mm,1.27mm">
                        <w:txbxContent>
                          <w:p>
                            <w:pPr>
                              <w:spacing w:line="240" w:lineRule="auto"/>
                              <w:jc w:val="center"/>
                            </w:pPr>
                            <w:r>
                              <w:rPr>
                                <w:rFonts w:hint="eastAsia"/>
                              </w:rPr>
                              <w:t>设备、房屋基础</w:t>
                            </w:r>
                          </w:p>
                        </w:txbxContent>
                      </v:textbox>
                    </v:rect>
                  </w:pict>
                </mc:Fallback>
              </mc:AlternateContent>
            </w:r>
          </w:p>
          <w:p>
            <w:pPr>
              <w:tabs>
                <w:tab w:val="left" w:pos="2321"/>
              </w:tabs>
              <w:overflowPunct w:val="0"/>
              <w:autoSpaceDE w:val="0"/>
              <w:spacing w:line="360" w:lineRule="auto"/>
              <w:rPr>
                <w:rFonts w:ascii="宋体" w:hAnsi="宋体" w:cs="宋体"/>
                <w:b/>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3528060</wp:posOffset>
                      </wp:positionH>
                      <wp:positionV relativeFrom="paragraph">
                        <wp:posOffset>54610</wp:posOffset>
                      </wp:positionV>
                      <wp:extent cx="390525" cy="0"/>
                      <wp:effectExtent l="0" t="76200" r="28575" b="952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277.8pt;margin-top:4.3pt;height:0pt;width:30.75pt;z-index:251663360;mso-width-relative:page;mso-height-relative:page;" filled="f" stroked="t" coordsize="21600,21600" o:gfxdata="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uxbMvUAAAABwEAAA8AAAAAAAAAAQAgAAAAIgAAAGRy&#10;cy9kb3ducmV2LnhtbFBLAQIUABQAAAAIAIdO4kD+aCRtCQIAAPEDAAAOAAAAAAAAAAEAIAAAACMB&#10;AABkcnMvZTJvRG9jLnhtbFBLBQYAAAAABgAGAFkBAACeBQAAAAA=&#10;">
                      <v:fill on="f" focussize="0,0"/>
                      <v:stroke weight="1.25pt"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1701165</wp:posOffset>
                      </wp:positionH>
                      <wp:positionV relativeFrom="paragraph">
                        <wp:posOffset>71755</wp:posOffset>
                      </wp:positionV>
                      <wp:extent cx="345440" cy="1905"/>
                      <wp:effectExtent l="9525" t="53975" r="26035" b="5842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345440" cy="1905"/>
                              </a:xfrm>
                              <a:prstGeom prst="line">
                                <a:avLst/>
                              </a:prstGeom>
                              <a:noFill/>
                              <a:ln w="15875" cmpd="sng">
                                <a:solidFill>
                                  <a:srgbClr val="000000"/>
                                </a:solidFill>
                                <a:round/>
                                <a:tailEnd type="triangle" w="med" len="med"/>
                              </a:ln>
                              <a:effectLst/>
                            </wps:spPr>
                            <wps:bodyPr/>
                          </wps:wsp>
                        </a:graphicData>
                      </a:graphic>
                    </wp:anchor>
                  </w:drawing>
                </mc:Choice>
                <mc:Fallback>
                  <w:pict>
                    <v:line id="_x0000_s1026" o:spid="_x0000_s1026" o:spt="20" style="position:absolute;left:0pt;margin-left:133.95pt;margin-top:5.65pt;height:0.15pt;width:27.2pt;z-index:251664384;mso-width-relative:page;mso-height-relative:page;" filled="f" stroked="t" coordsize="21600,21600" o:gfxdata="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WMud1wAAAAkBAAAPAAAAAAAAAAEAIAAA&#10;ACIAAABkcnMvZG93bnJldi54bWxQSwECFAAUAAAACACHTuJAuRNPzw0CAAD0AwAADgAAAAAAAAAB&#10;ACAAAAAmAQAAZHJzL2Uyb0RvYy54bWxQSwUGAAAAAAYABgBZAQAApQUAAAAA&#10;">
                      <v:fill on="f" focussize="0,0"/>
                      <v:stroke weight="1.25pt" color="#000000" joinstyle="round" endarrow="block"/>
                      <v:imagedata o:title=""/>
                      <o:lock v:ext="edit" aspectratio="f"/>
                    </v:line>
                  </w:pict>
                </mc:Fallback>
              </mc:AlternateContent>
            </w:r>
          </w:p>
          <w:p>
            <w:pPr>
              <w:pStyle w:val="26"/>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2.6-1  钻前工艺总流程图</w:t>
            </w:r>
          </w:p>
          <w:p>
            <w:pPr>
              <w:ind w:firstLine="482" w:firstLineChars="200"/>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（1）井场内布置</w:t>
            </w:r>
          </w:p>
          <w:p>
            <w:pPr>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井场是钻井、完井测试施工的主要场地，井场采用标准化方式建设，长宽为1</w:t>
            </w:r>
            <w:r>
              <w:rPr>
                <w:color w:val="000000" w:themeColor="text1"/>
                <w:lang w:bidi="ar"/>
                <w14:textFill>
                  <w14:solidFill>
                    <w14:schemeClr w14:val="tx1"/>
                  </w14:solidFill>
                </w14:textFill>
              </w:rPr>
              <w:t>0</w:t>
            </w:r>
            <w:r>
              <w:rPr>
                <w:rFonts w:hint="eastAsia"/>
                <w:color w:val="000000" w:themeColor="text1"/>
                <w:lang w:bidi="ar"/>
                <w14:textFill>
                  <w14:solidFill>
                    <w14:schemeClr w14:val="tx1"/>
                  </w14:solidFill>
                </w14:textFill>
              </w:rPr>
              <w:t>0m×55m，根据钻机型号、相关规范及要求，井场沿西南-东北方向摆放，单井口。</w:t>
            </w:r>
          </w:p>
          <w:p>
            <w:pPr>
              <w:ind w:firstLine="482" w:firstLineChars="200"/>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（2）井场外布置</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井场道路</w:t>
            </w:r>
            <w:r>
              <w:rPr>
                <w:rFonts w:hint="eastAsia"/>
                <w:color w:val="000000" w:themeColor="text1"/>
                <w:lang w:bidi="ar"/>
                <w14:textFill>
                  <w14:solidFill>
                    <w14:schemeClr w14:val="tx1"/>
                  </w14:solidFill>
                </w14:textFill>
              </w:rPr>
              <w:t>：道路总长2.2km。道路工程分为维修公路和改建公路；维修公路长度为2km，新建公路0.2km。道路路基宽均为4.5m（错车道路段6.5m），均采用20cm砂卵石基层+20cm混凝土面层。</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清洁化操作平台</w:t>
            </w:r>
            <w:r>
              <w:rPr>
                <w:rFonts w:hint="eastAsia"/>
                <w:color w:val="000000" w:themeColor="text1"/>
                <w:lang w:bidi="ar"/>
                <w14:textFill>
                  <w14:solidFill>
                    <w14:schemeClr w14:val="tx1"/>
                  </w14:solidFill>
                </w14:textFill>
              </w:rPr>
              <w:t>：清洁化生产平台位于井场前场，包括岩屑暂存区及转运罐区、废水预处理区及材料区。其中岩屑存放区占地约150m</w:t>
            </w:r>
            <w:r>
              <w:rPr>
                <w:rFonts w:hint="eastAsia"/>
                <w:color w:val="000000" w:themeColor="text1"/>
                <w:vertAlign w:val="superscript"/>
                <w:lang w:bidi="ar"/>
                <w14:textFill>
                  <w14:solidFill>
                    <w14:schemeClr w14:val="tx1"/>
                  </w14:solidFill>
                </w14:textFill>
              </w:rPr>
              <w:t>2</w:t>
            </w:r>
            <w:r>
              <w:rPr>
                <w:rFonts w:hint="eastAsia"/>
                <w:color w:val="000000" w:themeColor="text1"/>
                <w:lang w:bidi="ar"/>
                <w14:textFill>
                  <w14:solidFill>
                    <w14:schemeClr w14:val="tx1"/>
                  </w14:solidFill>
                </w14:textFill>
              </w:rPr>
              <w:t>，用于堆放一般钻井岩屑；3m</w:t>
            </w:r>
            <w:r>
              <w:rPr>
                <w:rFonts w:hint="eastAsia"/>
                <w:color w:val="000000" w:themeColor="text1"/>
                <w:vertAlign w:val="superscript"/>
                <w:lang w:bidi="ar"/>
                <w14:textFill>
                  <w14:solidFill>
                    <w14:schemeClr w14:val="tx1"/>
                  </w14:solidFill>
                </w14:textFill>
              </w:rPr>
              <w:t>3</w:t>
            </w:r>
            <w:r>
              <w:rPr>
                <w:rFonts w:hint="eastAsia"/>
                <w:color w:val="000000" w:themeColor="text1"/>
                <w:lang w:bidi="ar"/>
                <w14:textFill>
                  <w14:solidFill>
                    <w14:schemeClr w14:val="tx1"/>
                  </w14:solidFill>
                </w14:textFill>
              </w:rPr>
              <w:t>岩屑收集罐12个（位于转运罐区）。</w:t>
            </w:r>
            <w:r>
              <w:rPr>
                <w:bCs/>
                <w:color w:val="000000" w:themeColor="text1"/>
                <w14:textFill>
                  <w14:solidFill>
                    <w14:schemeClr w14:val="tx1"/>
                  </w14:solidFill>
                </w14:textFill>
              </w:rPr>
              <w:t>40m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废水罐4个（位于废水处理区，分为1个隔油罐、2个沉淀罐、1个</w:t>
            </w:r>
            <w:r>
              <w:rPr>
                <w:rFonts w:hint="eastAsia"/>
                <w:bCs/>
                <w:color w:val="000000" w:themeColor="text1"/>
                <w14:textFill>
                  <w14:solidFill>
                    <w14:schemeClr w14:val="tx1"/>
                  </w14:solidFill>
                </w14:textFill>
              </w:rPr>
              <w:t>污水</w:t>
            </w:r>
            <w:r>
              <w:rPr>
                <w:bCs/>
                <w:color w:val="000000" w:themeColor="text1"/>
                <w14:textFill>
                  <w14:solidFill>
                    <w14:schemeClr w14:val="tx1"/>
                  </w14:solidFill>
                </w14:textFill>
              </w:rPr>
              <w:t>收集罐），40m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清水暂存罐1个。材料区</w:t>
            </w:r>
            <w:r>
              <w:rPr>
                <w:rFonts w:hint="eastAsia"/>
                <w:bCs/>
                <w:color w:val="000000" w:themeColor="text1"/>
                <w14:textFill>
                  <w14:solidFill>
                    <w14:schemeClr w14:val="tx1"/>
                  </w14:solidFill>
                </w14:textFill>
              </w:rPr>
              <w:t>主要摆放固化材料、水处理药剂。</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应急池：</w:t>
            </w:r>
            <w:r>
              <w:rPr>
                <w:rFonts w:hint="eastAsia"/>
                <w:color w:val="000000" w:themeColor="text1"/>
                <w:lang w:bidi="ar"/>
                <w14:textFill>
                  <w14:solidFill>
                    <w14:schemeClr w14:val="tx1"/>
                  </w14:solidFill>
                </w14:textFill>
              </w:rPr>
              <w:t>在井场外南侧新建1座应急池，总有效容积约500m</w:t>
            </w:r>
            <w:r>
              <w:rPr>
                <w:rFonts w:hint="eastAsia"/>
                <w:color w:val="000000" w:themeColor="text1"/>
                <w:vertAlign w:val="superscript"/>
                <w:lang w:bidi="ar"/>
                <w14:textFill>
                  <w14:solidFill>
                    <w14:schemeClr w14:val="tx1"/>
                  </w14:solidFill>
                </w14:textFill>
              </w:rPr>
              <w:t>3</w:t>
            </w:r>
            <w:r>
              <w:rPr>
                <w:rFonts w:hint="eastAsia"/>
                <w:color w:val="000000" w:themeColor="text1"/>
                <w:lang w:bidi="ar"/>
                <w14:textFill>
                  <w14:solidFill>
                    <w14:schemeClr w14:val="tx1"/>
                  </w14:solidFill>
                </w14:textFill>
              </w:rPr>
              <w:t>，钢筋混凝土结构。</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燃烧池：</w:t>
            </w:r>
            <w:r>
              <w:rPr>
                <w:rFonts w:hint="eastAsia"/>
                <w:color w:val="000000" w:themeColor="text1"/>
                <w:lang w:bidi="ar"/>
                <w14:textFill>
                  <w14:solidFill>
                    <w14:schemeClr w14:val="tx1"/>
                  </w14:solidFill>
                </w14:textFill>
              </w:rPr>
              <w:t>在井场外东侧和西南侧各新建1座燃烧池，三面墙结构，采用耐火砖构筑，放喷坑（即燃烧池）旁修建20m</w:t>
            </w:r>
            <w:r>
              <w:rPr>
                <w:rFonts w:hint="eastAsia"/>
                <w:color w:val="000000" w:themeColor="text1"/>
                <w:vertAlign w:val="superscript"/>
                <w:lang w:bidi="ar"/>
                <w14:textFill>
                  <w14:solidFill>
                    <w14:schemeClr w14:val="tx1"/>
                  </w14:solidFill>
                </w14:textFill>
              </w:rPr>
              <w:t>3</w:t>
            </w:r>
            <w:r>
              <w:rPr>
                <w:rFonts w:hint="eastAsia"/>
                <w:color w:val="000000" w:themeColor="text1"/>
                <w:lang w:bidi="ar"/>
                <w14:textFill>
                  <w14:solidFill>
                    <w14:schemeClr w14:val="tx1"/>
                  </w14:solidFill>
                </w14:textFill>
              </w:rPr>
              <w:t>集酸坑用作测试放喷初期放喷气带来的少量返排液的收集。</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油罐、水罐、泥浆储备罐</w:t>
            </w:r>
            <w:r>
              <w:rPr>
                <w:rFonts w:hint="eastAsia"/>
                <w:color w:val="000000" w:themeColor="text1"/>
                <w:lang w:bidi="ar"/>
                <w14:textFill>
                  <w14:solidFill>
                    <w14:schemeClr w14:val="tx1"/>
                  </w14:solidFill>
                </w14:textFill>
              </w:rPr>
              <w:t>：油/水罐基础位于井场前场左侧，在井场外北侧设置1处泥浆储备罐区，用于放置泥浆储备罐，共计10个泥浆储备罐。</w:t>
            </w:r>
          </w:p>
          <w:p>
            <w:pPr>
              <w:ind w:firstLine="482" w:firstLineChars="200"/>
              <w:rPr>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耕植土堆放区：</w:t>
            </w:r>
            <w:r>
              <w:rPr>
                <w:rFonts w:hint="eastAsia"/>
                <w:color w:val="000000" w:themeColor="text1"/>
                <w:lang w:bidi="ar"/>
                <w14:textFill>
                  <w14:solidFill>
                    <w14:schemeClr w14:val="tx1"/>
                  </w14:solidFill>
                </w14:textFill>
              </w:rPr>
              <w:t>场地平整前应去除场地表层耕植土，以供钻井完成后复耕用。剥离厚度为0.3m，共计剥离1619m</w:t>
            </w:r>
            <w:r>
              <w:rPr>
                <w:rFonts w:hint="eastAsia"/>
                <w:color w:val="000000" w:themeColor="text1"/>
                <w:vertAlign w:val="superscript"/>
                <w:lang w:bidi="ar"/>
                <w14:textFill>
                  <w14:solidFill>
                    <w14:schemeClr w14:val="tx1"/>
                  </w14:solidFill>
                </w14:textFill>
              </w:rPr>
              <w:t>3</w:t>
            </w:r>
            <w:r>
              <w:rPr>
                <w:rFonts w:hint="eastAsia"/>
                <w:color w:val="000000" w:themeColor="text1"/>
                <w:lang w:bidi="ar"/>
                <w14:textFill>
                  <w14:solidFill>
                    <w14:schemeClr w14:val="tx1"/>
                  </w14:solidFill>
                </w14:textFill>
              </w:rPr>
              <w:t>。耕植土堆放区设置在井场外西侧，占地面积约4000m</w:t>
            </w:r>
            <w:r>
              <w:rPr>
                <w:rFonts w:hint="eastAsia"/>
                <w:color w:val="000000" w:themeColor="text1"/>
                <w:vertAlign w:val="superscript"/>
                <w:lang w:bidi="ar"/>
                <w14:textFill>
                  <w14:solidFill>
                    <w14:schemeClr w14:val="tx1"/>
                  </w14:solidFill>
                </w14:textFill>
              </w:rPr>
              <w:t>2</w:t>
            </w:r>
            <w:r>
              <w:rPr>
                <w:rFonts w:hint="eastAsia"/>
                <w:color w:val="000000" w:themeColor="text1"/>
                <w:lang w:bidi="ar"/>
                <w14:textFill>
                  <w14:solidFill>
                    <w14:schemeClr w14:val="tx1"/>
                  </w14:solidFill>
                </w14:textFill>
              </w:rPr>
              <w:t>。</w:t>
            </w:r>
          </w:p>
          <w:p>
            <w:pPr>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生活区：位于在井场外西南侧距井口135m以外的空地，生活区采用活动板房，井场外和生活区各修建1座厕所。</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2.6.2钻井及完井工程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根据项目钻井工程设计，钻井工程包括钻井设备安装、钻井作业、完井测试及完井后污染物治理和生态恢复等。</w:t>
            </w:r>
          </w:p>
          <w:p>
            <w:pPr>
              <w:ind w:firstLine="480" w:firstLineChars="20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项目钻井及完井作业流程及产污环节见图</w:t>
            </w:r>
            <w:r>
              <w:rPr>
                <w:rFonts w:hint="eastAsia" w:hAnsi="宋体"/>
                <w:color w:val="000000" w:themeColor="text1"/>
                <w14:textFill>
                  <w14:solidFill>
                    <w14:schemeClr w14:val="tx1"/>
                  </w14:solidFill>
                </w14:textFill>
              </w:rPr>
              <w:t>2.6-2</w:t>
            </w:r>
            <w:r>
              <w:rPr>
                <w:rFonts w:hAnsi="宋体"/>
                <w:color w:val="000000" w:themeColor="text1"/>
                <w14:textFill>
                  <w14:solidFill>
                    <w14:schemeClr w14:val="tx1"/>
                  </w14:solidFill>
                </w14:textFill>
              </w:rPr>
              <w:t>。</w:t>
            </w: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ind w:firstLine="480" w:firstLineChars="200"/>
              <w:rPr>
                <w:rFonts w:hAnsi="宋体"/>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491.25pt;width:323.25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p>
          <w:p>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图</w:t>
            </w:r>
            <w:r>
              <w:rPr>
                <w:rFonts w:hint="eastAsia"/>
                <w:b/>
                <w:bCs/>
                <w:color w:val="000000" w:themeColor="text1"/>
                <w:szCs w:val="24"/>
                <w14:textFill>
                  <w14:solidFill>
                    <w14:schemeClr w14:val="tx1"/>
                  </w14:solidFill>
                </w14:textFill>
              </w:rPr>
              <w:t>2.6-2  项目钻井及完井作业流程及产污环节图</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（1）井身结构及钻井方式</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本工程设计为四开四完井身结构。井身结构设计情况见表2.11-1，井身结构示意图见图2.6-3。</w:t>
            </w:r>
          </w:p>
          <w:p>
            <w:pPr>
              <w:spacing w:line="360" w:lineRule="auto"/>
              <w:jc w:val="center"/>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图2.6-3    井身结构示意图</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表2.6-1   井身结构设计表</w:t>
            </w:r>
          </w:p>
          <w:p>
            <w:pPr>
              <w:widowControl/>
              <w:adjustRightInd w:val="0"/>
              <w:snapToGrid w:val="0"/>
              <w:ind w:firstLine="480" w:firstLineChars="200"/>
              <w:jc w:val="center"/>
              <w:rPr>
                <w:color w:val="000000" w:themeColor="text1"/>
                <w:kern w:val="0"/>
                <w:lang w:bidi="ar"/>
                <w14:textFill>
                  <w14:solidFill>
                    <w14:schemeClr w14:val="tx1"/>
                  </w14:solidFill>
                </w14:textFill>
              </w:rPr>
            </w:pPr>
            <w:r>
              <w:rPr>
                <w:rFonts w:hint="eastAsia"/>
                <w:bCs/>
                <w:color w:val="000000" w:themeColor="text1"/>
                <w:szCs w:val="18"/>
                <w14:textFill>
                  <w14:solidFill>
                    <w14:schemeClr w14:val="tx1"/>
                  </w14:solidFill>
                </w14:textFill>
              </w:rPr>
              <w:t>****</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采用泥浆钻井工艺，泥浆常规钻井工艺属过平衡钻井技术，作用于井底的压力大于该处地层孔隙压力情况下的钻井作业：通过网电驱动电动钻机、转盘带动钻杆切削地层，同时由钻井泥浆泵经钻杆向井内注入高压钻井泥浆，冲刷井底，将切削下的岩屑不断地带至地面，整个过程循环进行，使井不断加深，直至目的井深。钻井中途会停钻，以便起下钻具更换钻头、下套管、测井和后续井身固井作业。</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钻井作业为24h连续作业，钻井期间主要的环境影响因素是备用柴油发电机运行时产生废气，钻进、起下钻和固井作业等产生的废水，机械设备运转时产生的噪声，以及钻井岩屑、废弃泥浆等固体废物。</w:t>
            </w:r>
          </w:p>
          <w:p>
            <w:pPr>
              <w:widowControl/>
              <w:adjustRightInd w:val="0"/>
              <w:snapToGrid w:val="0"/>
              <w:ind w:firstLine="482" w:firstLineChars="200"/>
              <w:rPr>
                <w:b/>
                <w:color w:val="000000" w:themeColor="text1"/>
                <w:kern w:val="0"/>
                <w:lang w:bidi="ar"/>
                <w14:textFill>
                  <w14:solidFill>
                    <w14:schemeClr w14:val="tx1"/>
                  </w14:solidFill>
                </w14:textFill>
              </w:rPr>
            </w:pPr>
            <w:r>
              <w:rPr>
                <w:rFonts w:hint="eastAsia"/>
                <w:b/>
                <w:color w:val="000000" w:themeColor="text1"/>
                <w:kern w:val="0"/>
                <w:lang w:bidi="ar"/>
                <w14:textFill>
                  <w14:solidFill>
                    <w14:schemeClr w14:val="tx1"/>
                  </w14:solidFill>
                </w14:textFill>
              </w:rPr>
              <w:t>（2）钻井</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本项目采用“导管+四开”钻井方式，导管段采用膨润土钻井液钻井，一开~四开段采用水基钻井液钻井。钻井液均不涉及有毒有害物质、重金属。</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①导管钻井阶段</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在导管表层钻进阶段，为了保护地表含水层，避免聚合物泥浆等钻井液对地下水环境造成不利影响，建设单位拟采用膨润土钻井液钻井工艺进行导管钻井作业。导管段钻进所使用的钻井液为仅含密度约1.06g/cm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的预水化膨润土浆，相比其他泥浆，可大幅降低钻井液对表层地下水的影响，该阶段动力来源于井场内设的网电。</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②一开~四开钻井阶段</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导管段钻井完成后，进入水基钻井阶段，一开、二开、三开、四开均采用水基钻井液。水基钻井阶段采用现场清洁化生产方案，对钻井过程中产生的污染物实行随钻处理。</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钻井过程中，返回地表的钻井岩屑通过泥浆管进入振动筛进行固液分离，将钻井液中粒径大于0.1mm的钻屑留于筛上，振动筛筛下的泥浆直接进入泥浆循环罐暂存，使用时先通过除砂器将粒径大于0.07mm的钻屑进行分离后再循环用于后续钻井水基钻井液的配浆作业；振动筛的筛上物质和除砂除泥器分离出的细小固相物质则通过螺旋传输器进入清洁化生产区中进行处置，分离出来的废水进入清洁化操作平台，采用物理沉降、机械除渣的方式进行沉淀处理，沉淀后上清液中进入回用罐中，可回用部分用于钻井作业和后续钻井的配浆作业，不可回用部分则通过罐车运至附近污水处理厂处理达标后排放；分离的固相物质（水基钻屑）堆存于岩屑收集罐，定期外运砖厂进行资源化利用。</w:t>
            </w:r>
          </w:p>
          <w:p>
            <w:pPr>
              <w:widowControl/>
              <w:adjustRightInd w:val="0"/>
              <w:snapToGrid w:val="0"/>
              <w:ind w:firstLine="482" w:firstLineChars="200"/>
              <w:rPr>
                <w:b/>
                <w:color w:val="000000" w:themeColor="text1"/>
                <w:kern w:val="0"/>
                <w:lang w:bidi="ar"/>
                <w14:textFill>
                  <w14:solidFill>
                    <w14:schemeClr w14:val="tx1"/>
                  </w14:solidFill>
                </w14:textFill>
              </w:rPr>
            </w:pPr>
            <w:r>
              <w:rPr>
                <w:rFonts w:hint="eastAsia"/>
                <w:b/>
                <w:color w:val="000000" w:themeColor="text1"/>
                <w:kern w:val="0"/>
                <w:lang w:bidi="ar"/>
                <w14:textFill>
                  <w14:solidFill>
                    <w14:schemeClr w14:val="tx1"/>
                  </w14:solidFill>
                </w14:textFill>
              </w:rPr>
              <w:t>（3）井控作业</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井控主要是井口安装管汇控制气浸、井涌、井喷。先根据本井预测地层压力及套管抗内压强度等情况，确定井控装置压力等级，再根据等级要求选择相应的井控装置进行井控作业，井控设施设备按照钻井行业要求执行。</w:t>
            </w:r>
          </w:p>
          <w:p>
            <w:pPr>
              <w:widowControl/>
              <w:adjustRightInd w:val="0"/>
              <w:snapToGrid w:val="0"/>
              <w:ind w:firstLine="482" w:firstLineChars="200"/>
              <w:rPr>
                <w:b/>
                <w:color w:val="000000" w:themeColor="text1"/>
                <w:kern w:val="0"/>
                <w:lang w:bidi="ar"/>
                <w14:textFill>
                  <w14:solidFill>
                    <w14:schemeClr w14:val="tx1"/>
                  </w14:solidFill>
                </w14:textFill>
              </w:rPr>
            </w:pPr>
            <w:r>
              <w:rPr>
                <w:rFonts w:hint="eastAsia"/>
                <w:b/>
                <w:color w:val="000000" w:themeColor="text1"/>
                <w:kern w:val="0"/>
                <w:lang w:bidi="ar"/>
                <w14:textFill>
                  <w14:solidFill>
                    <w14:schemeClr w14:val="tx1"/>
                  </w14:solidFill>
                </w14:textFill>
              </w:rPr>
              <w:t>（4）固井作业</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固井作业是钻井达到各段预定深度后，下入套管并注入水泥浆至水泥浆返至地面，封固套管和井壁之间的环形空间的作业。固井的主要目的是封隔疏松的易塌、易漏地层；封隔油、气、水层，防止互相窜漏。</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各层套管固井的作用如下：</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一开表层套管：①隔离上部含水层，不使地面水和表层地下水渗入井筒；②保护井口，加固表土层段的井壁；③对于继续钻下去会遇到高压油气层的，在表层套管上安装防喷器预防井喷。</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二开技术套管：起到隔离不同地层压力、保护井身的作用，技术套管通过套管悬挂器悬挂在套管头上，套管头上部可连接四通防喷器，可以预防井喷，是钻井井控措施的重要组成部分。</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三开生产套管（油层套管）：通过射孔方式建立地面钻井测试设备与储气层间的通道，将地层天然气从储藏层里导出。</w:t>
            </w:r>
          </w:p>
          <w:p>
            <w:pPr>
              <w:widowControl/>
              <w:adjustRightInd w:val="0"/>
              <w:snapToGrid w:val="0"/>
              <w:ind w:firstLine="482" w:firstLineChars="200"/>
              <w:rPr>
                <w:b/>
                <w:color w:val="000000" w:themeColor="text1"/>
                <w:kern w:val="0"/>
                <w:lang w:bidi="ar"/>
                <w14:textFill>
                  <w14:solidFill>
                    <w14:schemeClr w14:val="tx1"/>
                  </w14:solidFill>
                </w14:textFill>
              </w:rPr>
            </w:pPr>
            <w:r>
              <w:rPr>
                <w:rFonts w:hint="eastAsia"/>
                <w:b/>
                <w:color w:val="000000" w:themeColor="text1"/>
                <w:kern w:val="0"/>
                <w:lang w:bidi="ar"/>
                <w14:textFill>
                  <w14:solidFill>
                    <w14:schemeClr w14:val="tx1"/>
                  </w14:solidFill>
                </w14:textFill>
              </w:rPr>
              <w:t>（5）目的层酸化测试放喷</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按照本项目钻井设计，在钻至目的层时视地层情况采取酸化洗井测试放喷或直接测试放喷。测试放喷的一般施工工序为：刮管、通井、联作管柱、电测定定位、换装井口接管线、酸化洗井（视情况确定）、放喷排液、测试求产、收尾。其中酸化洗井废水排放和测试放喷是最主要工序，也是测试放喷阶段主要产生污染物的环节。</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酸化洗井：其原理是通过酸液对岩石胶结物或地层孔隙、裂缝内堵塞物等的溶解和溶蚀作用，恢复或提高地层孔隙和裂缝的渗透性，从而提高单井产能。根据拟建项目钻井设计，目的层若射孔后能获良好天然气显示则不进行酸化洗井作业而直接测试放喷，若射孔后获气情况不够理想则对目的层酸化洗井（也称酸洗）后测试放喷求产。酸洗（酸化洗井）是将酸注入气藏地层，在气藏地层内通过酸液对裂缝气藏壁面物质的不均匀溶蚀形成高导流能力的裂缝，酸洗主要适用于碳酸盐岩的气藏型储层的酸化。酸化施工使用主要有泵车一类的施工车辆，将酸性水溶液（如一般为稀盐酸）注入地层。注入的酸液会溶解地层岩石或胶结物，从而增加地层渗透率，增大油气产出酸化后的井底液（酸化废水）随测试放喷气体带出，经井场内布置的气液分离器分离后进入废水储罐内贮存，与碱性钻井废水进行中和后外运处理。</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测试放喷：天然气测试放喷前需换装井口接测试管线，井内天然气经该管线，通过专用产量测试仪器测定天然气产量及气质。为了测试安全和减轻对环境的污染，点火烧掉测试放喷的天然气，测试放喷时间一般不超过3h，测试放喷燃烧筒一般为高度1m的地面火炬，燃烧池内放喷，燃烧池设有耐火砖挡墙减轻热辐射影响。出于安全操作和有利于燃烧废气污染物大气扩散考虑，测试放喷一般在白天进行。</w:t>
            </w:r>
          </w:p>
          <w:p>
            <w:pPr>
              <w:widowControl/>
              <w:adjustRightInd w:val="0"/>
              <w:snapToGrid w:val="0"/>
              <w:ind w:firstLine="482" w:firstLineChars="200"/>
              <w:rPr>
                <w:b/>
                <w:color w:val="000000" w:themeColor="text1"/>
                <w:kern w:val="0"/>
                <w:lang w:bidi="ar"/>
                <w14:textFill>
                  <w14:solidFill>
                    <w14:schemeClr w14:val="tx1"/>
                  </w14:solidFill>
                </w14:textFill>
              </w:rPr>
            </w:pPr>
            <w:r>
              <w:rPr>
                <w:rFonts w:hint="eastAsia"/>
                <w:b/>
                <w:color w:val="000000" w:themeColor="text1"/>
                <w:kern w:val="0"/>
                <w:lang w:bidi="ar"/>
                <w14:textFill>
                  <w14:solidFill>
                    <w14:schemeClr w14:val="tx1"/>
                  </w14:solidFill>
                </w14:textFill>
              </w:rPr>
              <w:t>（6）清洁化操作工艺（固化操作平台）</w:t>
            </w:r>
          </w:p>
          <w:p>
            <w:pPr>
              <w:widowControl/>
              <w:adjustRightInd w:val="0"/>
              <w:snapToGrid w:val="0"/>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由于本项目按照清洁化生产方案组织钻井施工，实施的清洁生产分为收集、处理系统两部分，主要对钻井过程产生的废泥浆及岩屑实时处理、设备冲洗废水实时处理和场地雨水收集处理排放。</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①泥浆循环及岩屑处理清洁生产方案</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在清水及水基泥浆钻井过程中，仅泥浆参与钻井循环带动钻头不断钻进地层，井下岩屑也随钻井泥浆一并返排地面，返排泥浆经钻井泥浆循环系统自带的振动筛分、除砂分离后分离成三部分：A可循环利用钻井泥浆：直接再次进入泥浆循环系统，重复利用于钻井作业，减少钻井泥浆的调配量；B废泥浆：泥浆循环系统分离产生的废泥浆（失效泥浆），通过螺旋输送装置输送进收集罐，收集后叉车转运至井场旁的清洁生产操作平台再次进行脱水处理，脱水产生的废水经固化操作平台内的废水处理罐混凝沉淀处理后，上清液重复利用于钻井泥浆现场调配生产用水，下部沉淀污泥和脱水后的泥浆由叉车转运至固化罐进行固化后，外运至有处理能力和接收能力的砖厂制砖资源化利用；C钻井岩屑：振动筛分分离产生的岩屑离由螺旋输送装置输送进岩屑收集罐，收集后叉车转运至井场旁的清洁生产操作平台固化罐进行固化。</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岩屑经固化罐进行固化后，钻井产生的水基岩屑外运至有处理能力和接收能力的砖厂制砖资源化利用。</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②钻井液循环处理系统概述</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钻机配备的一套钻井液循环处理系统包括：循环罐共10个，振动筛、除砂器、除泥器和离心机各1套，以及配套的各类泵。</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钻井液循环处理过程为从井底返排的钻井液及岩屑混合物通过振动筛分离（筛上物即粗岩屑进入清洁生产处理系统）后钻井液及细岩屑混合物进入1#循环罐，然后经过除砂除泥机处理（分离固相细岩屑进入清洁生产系统）后进入2#循环罐，再经过除砂除泥机（分离固相细岩屑进入清洁生产系统）后进入3#循环罐，最后通过离心机处理（分离固相为干岩屑，收集后水基岩屑外运至砖厂制砖资源化利用）后的钻井液进入4#循环罐实现钻井液的循环利用，5#循环罐作为进入钻井前的中转循环罐，同时另设6#循环罐作为钻井液补充罐（水基钻井液现场配置），另设4个备用循环罐，根据实际钻井情况增加循环罐的使用。</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③设备冲洗水收集处理清洁生产方案</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正常钻进期间对井场内场地清洁主要采取清扫作业方式，对工艺设备主要采取擦拭等用水量少的清洁方式，减少清洁用水以及废水产生量。在钻井中途停钻，起下钻具更换钻头等作业时需对井下钻井设备（钻杆、钻头等）进行冲洗清洁作业。井场内冲洗作业产水场内污水沟汇集到集水井泵入后进入清洁化操作平台的污水收集罐内、然后经</w:t>
            </w:r>
            <w:r>
              <w:rPr>
                <w:rFonts w:hint="eastAsia"/>
                <w:color w:val="000000" w:themeColor="text1"/>
                <w14:textFill>
                  <w14:solidFill>
                    <w14:schemeClr w14:val="tx1"/>
                  </w14:solidFill>
                </w14:textFill>
              </w:rPr>
              <w:t>1个10m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hAnsi="宋体"/>
                <w:color w:val="000000" w:themeColor="text1"/>
                <w14:textFill>
                  <w14:solidFill>
                    <w14:schemeClr w14:val="tx1"/>
                  </w14:solidFill>
                </w14:textFill>
              </w:rPr>
              <w:t>废水处理罐处理后上清液回用（用于补充水基泥浆的调配用水、钻具清洁冲洗用水）。沉淀污泥固化罐进行固化后外运至有处理能力和接收能力的砖厂制砖资源化利用。</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④场地雨水收集处理清洁化生产方案</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场地雨水按照清洁生产方案在井场四周设置清水边沟，用于排泄井场外的雨水；井场后场硬化区域（含泥浆循环区、泥浆储备罐区、井架、柴油发电机等工艺区）内雨水随场内雨水沟汇集后经雨水沟沉沙井收集，泵提升进清洁生产操作平台设置的污水收集罐内、然后经</w:t>
            </w:r>
            <w:r>
              <w:rPr>
                <w:rFonts w:hint="eastAsia"/>
                <w:color w:val="000000" w:themeColor="text1"/>
                <w14:textFill>
                  <w14:solidFill>
                    <w14:schemeClr w14:val="tx1"/>
                  </w14:solidFill>
                </w14:textFill>
              </w:rPr>
              <w:t>1个10m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hAnsi="宋体"/>
                <w:color w:val="000000" w:themeColor="text1"/>
                <w14:textFill>
                  <w14:solidFill>
                    <w14:schemeClr w14:val="tx1"/>
                  </w14:solidFill>
                </w14:textFill>
              </w:rPr>
              <w:t>废水处理罐处理后上清液回用（用于补充水基泥浆的调配用水、钻具清洁冲洗用水）。井口方井内收集雨水泵入清洁生产操作区污水罐进入清洁生产循环利用系统（用于补充钻井液的调配用水）。</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⑤为保障该井清洁化生产方案的顺利实施，利用应急池作为本项目钻井过程中实施的清洁化生产方案的事故水池备用。</w:t>
            </w:r>
          </w:p>
          <w:p>
            <w:pPr>
              <w:ind w:firstLine="482" w:firstLineChars="200"/>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（7）完井作业</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完井测试结果若表明该井有工业开采价值，则转至其他生产经营气矿在井口安装采气装置正常生产，其余设备将拆除搬迁，并对井场废弃物进行无害化治理。</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完成测井、录井、井下资料收集后，不具备开采价值时按行业相关规范进行封井作业。全井段注入水泥封井，其中在可能的产气层段上部注入高标号水泥，形成水泥塞，封隔可能的工业气流产层。在封井井口套管头上安装丝扣法兰，其工作压力大于最上气层的地层压力，装放气阀，盖井口房，在丝扣法兰上标注井号、完井日期，并设置醒目的警示标志，加以保护，防止人为破坏。</w:t>
            </w:r>
          </w:p>
          <w:p>
            <w:pPr>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对钻井生活区和井场能重复利用的设施搬迁利用，不能利用的统一收集交回收单位处置；对构筑的设备基础拆除后作场地各类池体的平整填方区填方，回填各类池体，不留坑凼；清除场内固体废物，平整井场，保留场地排水等基础设施，对钻井场地等临时占地实施复垦，生态恢复。</w:t>
            </w:r>
          </w:p>
          <w:p>
            <w:pPr>
              <w:widowControl/>
              <w:ind w:firstLine="480" w:firstLineChars="200"/>
              <w:rPr>
                <w:color w:val="000000" w:themeColor="text1"/>
                <w:kern w:val="0"/>
                <w:lang w:bidi="ar"/>
                <w14:textFill>
                  <w14:solidFill>
                    <w14:schemeClr w14:val="tx1"/>
                  </w14:solidFill>
                </w14:textFill>
              </w:rPr>
            </w:pPr>
            <w:r>
              <w:rPr>
                <w:rFonts w:hint="eastAsia" w:hAnsi="宋体"/>
                <w:color w:val="000000" w:themeColor="text1"/>
                <w14:textFill>
                  <w14:solidFill>
                    <w14:schemeClr w14:val="tx1"/>
                  </w14:solidFill>
                </w14:textFill>
              </w:rPr>
              <w:t>搬迁前钻后污染物应得到妥善处理，做到工完、料净、场地清，放弃的井场应尽可能地恢复其原来的土地利用状况或者按土地承包人的意愿转换土地用途（如保留水泥硬化地面作为谷场等）。建设单位依法办理环保手续并按照钻井井场环保标准进行验收，验收合格方可交井，并对后续可能出现的环保问题负责。</w:t>
            </w:r>
          </w:p>
          <w:p>
            <w:pPr>
              <w:spacing w:line="360" w:lineRule="auto"/>
              <w:jc w:val="left"/>
              <w:outlineLvl w:val="2"/>
              <w:rPr>
                <w:b/>
                <w:color w:val="000000" w:themeColor="text1"/>
                <w14:textFill>
                  <w14:solidFill>
                    <w14:schemeClr w14:val="tx1"/>
                  </w14:solidFill>
                </w14:textFill>
              </w:rPr>
            </w:pPr>
            <w:r>
              <w:rPr>
                <w:rFonts w:hint="eastAsia"/>
                <w:b/>
                <w:color w:val="000000" w:themeColor="text1"/>
                <w14:textFill>
                  <w14:solidFill>
                    <w14:schemeClr w14:val="tx1"/>
                  </w14:solidFill>
                </w14:textFill>
              </w:rPr>
              <w:t>2.7工程占地与土石方</w:t>
            </w:r>
          </w:p>
          <w:p>
            <w:pPr>
              <w:widowControl/>
              <w:spacing w:line="360" w:lineRule="auto"/>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（1）工程占地</w:t>
            </w:r>
          </w:p>
          <w:p>
            <w:pPr>
              <w:widowControl/>
              <w:spacing w:line="360" w:lineRule="auto"/>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项目总用地面积23298.0m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（2.3298hm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），其中永久占地约20m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，临时占地23278.0m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，占地类型主要为耕地、林地及其他土地。</w:t>
            </w:r>
          </w:p>
          <w:p>
            <w:pPr>
              <w:widowControl/>
              <w:spacing w:line="360" w:lineRule="auto"/>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井场用地为先租地再征地，钻井期间用地除井口区域永久占地外，其余均为临时用地，井口区域按《西南油气田站场公用工程标准化设计手册（井场分册）》中“无工艺装置单井场总平面图布置图”要求将井架基础范围内用地按征用地处理，面积约20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，若完井测试结果表明气井有开采价值，则再行征用工艺装置区用地。钻井井场工程占地面积见表</w:t>
            </w:r>
            <w:r>
              <w:rPr>
                <w:color w:val="000000" w:themeColor="text1"/>
                <w:kern w:val="0"/>
                <w:lang w:bidi="ar"/>
                <w14:textFill>
                  <w14:solidFill>
                    <w14:schemeClr w14:val="tx1"/>
                  </w14:solidFill>
                </w14:textFill>
              </w:rPr>
              <w:t>2</w:t>
            </w:r>
            <w:r>
              <w:rPr>
                <w:rFonts w:hint="eastAsia"/>
                <w:color w:val="000000" w:themeColor="text1"/>
                <w:kern w:val="0"/>
                <w:lang w:bidi="ar"/>
                <w14:textFill>
                  <w14:solidFill>
                    <w14:schemeClr w14:val="tx1"/>
                  </w14:solidFill>
                </w14:textFill>
              </w:rPr>
              <w:t>.7-</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w:t>
            </w:r>
          </w:p>
          <w:p>
            <w:pPr>
              <w:pStyle w:val="26"/>
              <w:rPr>
                <w:color w:val="000000" w:themeColor="text1"/>
                <w:lang w:bidi="ar"/>
                <w14:textFill>
                  <w14:solidFill>
                    <w14:schemeClr w14:val="tx1"/>
                  </w14:solidFill>
                </w14:textFill>
              </w:rPr>
            </w:pPr>
            <w:r>
              <w:rPr>
                <w:color w:val="000000" w:themeColor="text1"/>
                <w:lang w:bidi="ar"/>
                <w14:textFill>
                  <w14:solidFill>
                    <w14:schemeClr w14:val="tx1"/>
                  </w14:solidFill>
                </w14:textFill>
              </w:rPr>
              <w:t>表</w:t>
            </w:r>
            <w:r>
              <w:rPr>
                <w:rFonts w:hint="eastAsia"/>
                <w:color w:val="000000" w:themeColor="text1"/>
                <w:lang w:bidi="ar"/>
                <w14:textFill>
                  <w14:solidFill>
                    <w14:schemeClr w14:val="tx1"/>
                  </w14:solidFill>
                </w14:textFill>
              </w:rPr>
              <w:t>2</w:t>
            </w:r>
            <w:r>
              <w:rPr>
                <w:color w:val="000000" w:themeColor="text1"/>
                <w:lang w:bidi="ar"/>
                <w14:textFill>
                  <w14:solidFill>
                    <w14:schemeClr w14:val="tx1"/>
                  </w14:solidFill>
                </w14:textFill>
              </w:rPr>
              <w:t>.</w:t>
            </w:r>
            <w:r>
              <w:rPr>
                <w:rFonts w:hint="eastAsia"/>
                <w:color w:val="000000" w:themeColor="text1"/>
                <w:lang w:bidi="ar"/>
                <w14:textFill>
                  <w14:solidFill>
                    <w14:schemeClr w14:val="tx1"/>
                  </w14:solidFill>
                </w14:textFill>
              </w:rPr>
              <w:t>7-</w:t>
            </w:r>
            <w:r>
              <w:rPr>
                <w:color w:val="000000" w:themeColor="text1"/>
                <w:lang w:bidi="ar"/>
                <w14:textFill>
                  <w14:solidFill>
                    <w14:schemeClr w14:val="tx1"/>
                  </w14:solidFill>
                </w14:textFill>
              </w:rPr>
              <w:t xml:space="preserve">1 </w:t>
            </w:r>
            <w:r>
              <w:rPr>
                <w:rFonts w:hint="eastAsia"/>
                <w:color w:val="000000" w:themeColor="text1"/>
                <w:lang w:bidi="ar"/>
                <w14:textFill>
                  <w14:solidFill>
                    <w14:schemeClr w14:val="tx1"/>
                  </w14:solidFill>
                </w14:textFill>
              </w:rPr>
              <w:t xml:space="preserve">  </w:t>
            </w:r>
            <w:r>
              <w:rPr>
                <w:color w:val="000000" w:themeColor="text1"/>
                <w:lang w:bidi="ar"/>
                <w14:textFill>
                  <w14:solidFill>
                    <w14:schemeClr w14:val="tx1"/>
                  </w14:solidFill>
                </w14:textFill>
              </w:rPr>
              <w:t>项目占地情况一览表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106"/>
              <w:gridCol w:w="1809"/>
              <w:gridCol w:w="151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用地项目</w:t>
                  </w:r>
                </w:p>
              </w:tc>
              <w:tc>
                <w:tcPr>
                  <w:tcW w:w="1809"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用地面积（m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土地类型</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井场及附属设施占地</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9646.67</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旱地、林地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应急池</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880</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道路占地</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1200</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耕植土堆放场</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4000</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生活区</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3573.33</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燃烧池</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3978</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106"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井口</w:t>
                  </w:r>
                </w:p>
              </w:tc>
              <w:tc>
                <w:tcPr>
                  <w:tcW w:w="1809" w:type="dxa"/>
                  <w:vAlign w:val="center"/>
                </w:tcPr>
                <w:p>
                  <w:pPr>
                    <w:pStyle w:val="3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20</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永久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gridSpan w:val="2"/>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09" w:type="dxa"/>
                </w:tcPr>
                <w:p>
                  <w:pPr>
                    <w:pStyle w:val="3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23298.0</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14"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（2）工程土石方</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本项目总挖方约2.3万m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（含表土约1619.0m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），表层耕植土临时堆放至耕植土堆放区，用于后期生态恢复。本项目挖填量能做到场内自行平衡，无多余弃方量产生和外排。</w:t>
            </w:r>
          </w:p>
          <w:p>
            <w:pPr>
              <w:pStyle w:val="3"/>
              <w:spacing w:line="440" w:lineRule="exact"/>
              <w:rPr>
                <w:color w:val="000000" w:themeColor="text1"/>
                <w14:textFill>
                  <w14:solidFill>
                    <w14:schemeClr w14:val="tx1"/>
                  </w14:solidFill>
                </w14:textFill>
              </w:rPr>
            </w:pPr>
            <w:bookmarkStart w:id="0" w:name="_Toc423341076"/>
            <w:r>
              <w:rPr>
                <w:rFonts w:hint="eastAsia"/>
                <w:color w:val="000000" w:themeColor="text1"/>
                <w14:textFill>
                  <w14:solidFill>
                    <w14:schemeClr w14:val="tx1"/>
                  </w14:solidFill>
                </w14:textFill>
              </w:rPr>
              <w:t>2.8建设周期与施工人员</w:t>
            </w:r>
          </w:p>
          <w:p>
            <w:pPr>
              <w:widowControl/>
              <w:spacing w:line="440" w:lineRule="exact"/>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（1）建设周期</w:t>
            </w:r>
            <w:bookmarkEnd w:id="0"/>
          </w:p>
          <w:p>
            <w:pPr>
              <w:widowControl/>
              <w:spacing w:line="440" w:lineRule="exact"/>
              <w:ind w:firstLine="480" w:firstLineChars="20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本项目建设周期约</w:t>
            </w:r>
            <w:r>
              <w:rPr>
                <w:rFonts w:hint="eastAsia"/>
                <w:color w:val="000000" w:themeColor="text1"/>
                <w:kern w:val="0"/>
                <w:lang w:bidi="ar"/>
                <w14:textFill>
                  <w14:solidFill>
                    <w14:schemeClr w14:val="tx1"/>
                  </w14:solidFill>
                </w14:textFill>
              </w:rPr>
              <w:t>12个月。其中钻前工程1个月，钻井周期10个月，完井搬迁1个月。</w:t>
            </w:r>
          </w:p>
          <w:p>
            <w:pPr>
              <w:widowControl/>
              <w:spacing w:line="440" w:lineRule="exact"/>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（2）施工人员</w:t>
            </w:r>
          </w:p>
          <w:p>
            <w:pPr>
              <w:widowControl/>
              <w:spacing w:line="440" w:lineRule="exact"/>
              <w:ind w:firstLine="480" w:firstLineChars="2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钻前工程：钻前施工人员约</w:t>
            </w:r>
            <w:r>
              <w:rPr>
                <w:color w:val="000000" w:themeColor="text1"/>
                <w:kern w:val="0"/>
                <w:lang w:bidi="ar"/>
                <w14:textFill>
                  <w14:solidFill>
                    <w14:schemeClr w14:val="tx1"/>
                  </w14:solidFill>
                </w14:textFill>
              </w:rPr>
              <w:t>20</w:t>
            </w:r>
            <w:r>
              <w:rPr>
                <w:rFonts w:hint="eastAsia"/>
                <w:color w:val="000000" w:themeColor="text1"/>
                <w:kern w:val="0"/>
                <w:lang w:bidi="ar"/>
                <w14:textFill>
                  <w14:solidFill>
                    <w14:schemeClr w14:val="tx1"/>
                  </w14:solidFill>
                </w14:textFill>
              </w:rPr>
              <w:t>人。</w:t>
            </w:r>
          </w:p>
          <w:p>
            <w:pPr>
              <w:ind w:firstLine="480" w:firstLineChars="200"/>
              <w:rPr>
                <w:b/>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钻井工程：钻井队施工人员约</w:t>
            </w:r>
            <w:r>
              <w:rPr>
                <w:color w:val="000000" w:themeColor="text1"/>
                <w:kern w:val="0"/>
                <w:lang w:bidi="ar"/>
                <w14:textFill>
                  <w14:solidFill>
                    <w14:schemeClr w14:val="tx1"/>
                  </w14:solidFill>
                </w14:textFill>
              </w:rPr>
              <w:t>50</w:t>
            </w:r>
            <w:r>
              <w:rPr>
                <w:rFonts w:hint="eastAsia"/>
                <w:color w:val="000000" w:themeColor="text1"/>
                <w:kern w:val="0"/>
                <w:lang w:bidi="ar"/>
                <w14:textFill>
                  <w14:solidFill>
                    <w14:schemeClr w14:val="tx1"/>
                  </w14:solidFill>
                </w14:textFill>
              </w:rPr>
              <w:t>人/队。钻井井队为24h连续工作</w:t>
            </w:r>
            <w:bookmarkStart w:id="1" w:name="_Toc423341078"/>
            <w:r>
              <w:rPr>
                <w:rFonts w:hint="eastAsia"/>
                <w:color w:val="000000" w:themeColor="text1"/>
                <w:kern w:val="0"/>
                <w:lang w:bidi="ar"/>
                <w14:textFill>
                  <w14:solidFill>
                    <w14:schemeClr w14:val="tx1"/>
                  </w14:solidFill>
                </w14:textFill>
              </w:rPr>
              <w:t>，测试放喷一般在白天进行。</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34" w:type="dxa"/>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798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pPr>
        <w:ind w:firstLine="480"/>
        <w:rPr>
          <w:color w:val="000000" w:themeColor="text1"/>
          <w14:textFill>
            <w14:solidFill>
              <w14:schemeClr w14:val="tx1"/>
            </w14:solidFill>
          </w14:textFill>
        </w:rPr>
        <w:sectPr>
          <w:headerReference r:id="rId9" w:type="default"/>
          <w:pgSz w:w="11906" w:h="16838"/>
          <w:pgMar w:top="1440" w:right="1800" w:bottom="1440" w:left="1800" w:header="851" w:footer="992" w:gutter="0"/>
          <w:cols w:space="425" w:num="1"/>
          <w:docGrid w:type="lines" w:linePitch="312" w:charSpace="0"/>
        </w:sectPr>
      </w:pPr>
    </w:p>
    <w:tbl>
      <w:tblPr>
        <w:tblStyle w:val="18"/>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3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852"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生态环境现状</w:t>
            </w:r>
          </w:p>
        </w:tc>
        <w:tc>
          <w:tcPr>
            <w:tcW w:w="8305" w:type="dxa"/>
          </w:tcPr>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3.1生态环境简况</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3.1.1生态功能区划</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根据《重庆市生态功能区划》，本项目评价区域隶属于“IV3-2渝西方山丘陵营养物质保持－水体保护生态功能区”。本生态功能区包括合川区、潼南县、铜梁县、铜梁县、双桥区和荣昌县，幅员面积7787.21km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。主导生态功能是水资源与水生态保护、农业生态功能的维持与提高，辅助功能为水土流失预防与监督、面源污染、矿山污染控制。</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3.1.2土地利用现状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铜梁区土地总面积1342.78km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，其中，农用地111837hm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，占土地总面积的83.29%；建设用地18070hm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，占土地总面积的13.46%；未利用土地4371hm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，占土地总面积的3.25%。农用地中耕地61840hm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，林地18806hm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，园地7936hm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本项目均为临时占地，占地类型主要有耕地、林地和其他土地。具体占地类型见表3.1-1。</w:t>
            </w:r>
          </w:p>
          <w:p>
            <w:pPr>
              <w:pStyle w:val="26"/>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表3.1-1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项目占地类型及面积统计表 （单位：公顷）</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216"/>
              <w:gridCol w:w="1335"/>
              <w:gridCol w:w="1895"/>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9" w:type="dxa"/>
                  <w:gridSpan w:val="2"/>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地类</w:t>
                  </w:r>
                </w:p>
              </w:tc>
              <w:tc>
                <w:tcPr>
                  <w:tcW w:w="1335" w:type="dxa"/>
                  <w:vMerge w:val="restart"/>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用地面积</w:t>
                  </w:r>
                </w:p>
              </w:tc>
              <w:tc>
                <w:tcPr>
                  <w:tcW w:w="1895" w:type="dxa"/>
                  <w:vMerge w:val="restart"/>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占用永久基本农田面积</w:t>
                  </w:r>
                </w:p>
              </w:tc>
              <w:tc>
                <w:tcPr>
                  <w:tcW w:w="1615" w:type="dxa"/>
                  <w:vMerge w:val="restart"/>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占总面积比例（%）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一级地类</w:t>
                  </w:r>
                </w:p>
              </w:tc>
              <w:tc>
                <w:tcPr>
                  <w:tcW w:w="1216"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二级地类</w:t>
                  </w:r>
                </w:p>
              </w:tc>
              <w:tc>
                <w:tcPr>
                  <w:tcW w:w="1335" w:type="dxa"/>
                  <w:vMerge w:val="continue"/>
                  <w:shd w:val="clear" w:color="auto" w:fill="auto"/>
                  <w:vAlign w:val="center"/>
                </w:tcPr>
                <w:p>
                  <w:pPr>
                    <w:pStyle w:val="15"/>
                    <w:rPr>
                      <w:color w:val="000000" w:themeColor="text1"/>
                      <w14:textFill>
                        <w14:solidFill>
                          <w14:schemeClr w14:val="tx1"/>
                        </w14:solidFill>
                      </w14:textFill>
                    </w:rPr>
                  </w:pPr>
                </w:p>
              </w:tc>
              <w:tc>
                <w:tcPr>
                  <w:tcW w:w="1895" w:type="dxa"/>
                  <w:vMerge w:val="continue"/>
                  <w:shd w:val="clear" w:color="auto" w:fill="auto"/>
                  <w:vAlign w:val="center"/>
                </w:tcPr>
                <w:p>
                  <w:pPr>
                    <w:pStyle w:val="15"/>
                    <w:rPr>
                      <w:color w:val="000000" w:themeColor="text1"/>
                      <w14:textFill>
                        <w14:solidFill>
                          <w14:schemeClr w14:val="tx1"/>
                        </w14:solidFill>
                      </w14:textFill>
                    </w:rPr>
                  </w:pPr>
                </w:p>
              </w:tc>
              <w:tc>
                <w:tcPr>
                  <w:tcW w:w="1615" w:type="dxa"/>
                  <w:vMerge w:val="continue"/>
                  <w:shd w:val="clear" w:color="auto" w:fill="auto"/>
                  <w:vAlign w:val="center"/>
                </w:tcPr>
                <w:p>
                  <w:pPr>
                    <w:pStyle w:val="1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restart"/>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耕地</w:t>
                  </w:r>
                </w:p>
              </w:tc>
              <w:tc>
                <w:tcPr>
                  <w:tcW w:w="1216"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旱地</w:t>
                  </w:r>
                </w:p>
              </w:tc>
              <w:tc>
                <w:tcPr>
                  <w:tcW w:w="133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0.9054</w:t>
                  </w:r>
                </w:p>
              </w:tc>
              <w:tc>
                <w:tcPr>
                  <w:tcW w:w="189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0.1374</w:t>
                  </w:r>
                </w:p>
              </w:tc>
              <w:tc>
                <w:tcPr>
                  <w:tcW w:w="161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vMerge w:val="continue"/>
                  <w:shd w:val="clear" w:color="auto" w:fill="auto"/>
                  <w:vAlign w:val="center"/>
                </w:tcPr>
                <w:p>
                  <w:pPr>
                    <w:pStyle w:val="15"/>
                    <w:rPr>
                      <w:color w:val="000000" w:themeColor="text1"/>
                      <w14:textFill>
                        <w14:solidFill>
                          <w14:schemeClr w14:val="tx1"/>
                        </w14:solidFill>
                      </w14:textFill>
                    </w:rPr>
                  </w:pPr>
                </w:p>
              </w:tc>
              <w:tc>
                <w:tcPr>
                  <w:tcW w:w="1216"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水田</w:t>
                  </w:r>
                </w:p>
              </w:tc>
              <w:tc>
                <w:tcPr>
                  <w:tcW w:w="133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0.2855</w:t>
                  </w:r>
                </w:p>
              </w:tc>
              <w:tc>
                <w:tcPr>
                  <w:tcW w:w="189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0.2833</w:t>
                  </w:r>
                </w:p>
              </w:tc>
              <w:tc>
                <w:tcPr>
                  <w:tcW w:w="161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3"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林地</w:t>
                  </w:r>
                </w:p>
              </w:tc>
              <w:tc>
                <w:tcPr>
                  <w:tcW w:w="1216"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林地</w:t>
                  </w:r>
                </w:p>
              </w:tc>
              <w:tc>
                <w:tcPr>
                  <w:tcW w:w="133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0.8458</w:t>
                  </w:r>
                </w:p>
              </w:tc>
              <w:tc>
                <w:tcPr>
                  <w:tcW w:w="189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1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9" w:type="dxa"/>
                  <w:gridSpan w:val="2"/>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其他土地</w:t>
                  </w:r>
                </w:p>
              </w:tc>
              <w:tc>
                <w:tcPr>
                  <w:tcW w:w="133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0.2931</w:t>
                  </w:r>
                </w:p>
              </w:tc>
              <w:tc>
                <w:tcPr>
                  <w:tcW w:w="189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1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9" w:type="dxa"/>
                  <w:gridSpan w:val="2"/>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3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2.3298</w:t>
                  </w:r>
                </w:p>
              </w:tc>
              <w:tc>
                <w:tcPr>
                  <w:tcW w:w="189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0.4207</w:t>
                  </w:r>
                </w:p>
              </w:tc>
              <w:tc>
                <w:tcPr>
                  <w:tcW w:w="1615" w:type="dxa"/>
                  <w:shd w:val="clear" w:color="auto" w:fill="auto"/>
                  <w:vAlign w:val="center"/>
                </w:tcPr>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18.06%</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由上表可知，本项目永久基本农田占地共占总用地面积的18.06%，占地面积较少。</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3.1.3土壤类型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铜梁区土壤有水稻土、紫色土、黄壤和冲积土等。水稻土：遍布于全区各沟谷和缓坡地带。分为三个亚类：紫色土性水稻土、丘陵坝地，母质为侏罗系紫色砂页岩。黄壤性水稻土，占全区耕地面积的3.94%，主要分布在低山溶槽谷地带和长江北岸老冲积阶地，母质为三迭系石灰岩，砂页岩和第四系老冲积。冲积土性水稻土，占耕地面积的0.5%，零星分布在沿江河两岸，母质为第四系新冲积。评价区域主要分布为水稻土，自然肥力较高，适宜农作河林木生长。</w:t>
            </w:r>
          </w:p>
        </w:tc>
      </w:tr>
    </w:tbl>
    <w:p>
      <w:pPr>
        <w:ind w:firstLine="480"/>
        <w:jc w:val="center"/>
        <w:rPr>
          <w:color w:val="000000" w:themeColor="text1"/>
          <w14:textFill>
            <w14:solidFill>
              <w14:schemeClr w14:val="tx1"/>
            </w14:solidFill>
          </w14:textFill>
        </w:rPr>
        <w:sectPr>
          <w:headerReference r:id="rId10" w:type="default"/>
          <w:pgSz w:w="11906" w:h="16838"/>
          <w:pgMar w:top="1440" w:right="1800" w:bottom="1440" w:left="1800" w:header="851" w:footer="992" w:gutter="0"/>
          <w:cols w:space="425" w:num="1"/>
          <w:docGrid w:type="lines" w:linePitch="312" w:charSpace="0"/>
        </w:sectPr>
      </w:pPr>
    </w:p>
    <w:tbl>
      <w:tblPr>
        <w:tblStyle w:val="18"/>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4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生态环境现状</w:t>
            </w:r>
          </w:p>
        </w:tc>
        <w:tc>
          <w:tcPr>
            <w:tcW w:w="8447" w:type="dxa"/>
            <w:vAlign w:val="center"/>
          </w:tcPr>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3.1.4植被类型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铜梁区共有植物77科、146属、288种，其中常绿乔木69种，落叶乔木103种，灌木59种，竹类19种，藤本38种。常绿针叶林多以马尾松为主，柏木林。站场占地主要为水田、旱地和林地，植被主要为农作物和林木，项目所在地的农作物主要有水稻、玉米、小麦等。从现场踏勘情况及相关资料看，周围500m范围内未发现珍稀野生植物。</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3.1.5动物类型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铜梁区内野生动物资源较为丰富，有野生动物18目（亚目）、40科、128种，其中两栖纲1目3科9种，爬行纲2亚目5科13种，鸟科11目28科100种，哺乳纲8目10科40种。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现场调查踏勘期间，站场占地范围内未发现野生保护动物栖息地、繁殖地、越冬地，也未发现国家野生保护动物分布，主要野生动物是小型啮齿类和适应于荒山灌丛、农耕区域和人居环境的鸟类。</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3.1.6水文地质条件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据1:20万区域水文地质调查遂宁幅H-48-16（资料来源于1978年四川省地质局水文地质工程地质大队测制，1954 北京坐标系，1956黄海高程系）区域水文资料显示：“地下水水量贫乏，单孔涌水量小于100吨/日，地下水类型为松散岩类孔隙水和风化带裂隙水（红层水）”。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（1）地下水类型及富水性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拟建场地地下水类型主要为松散岩类孔隙水和基岩裂隙水两种。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松散岩类孔隙水：主要分布于原始谷底中、沟槽中相对低洼地带堆积层中。含水介质主要为第四系未胶结或半胶结的松散沉积物。含水介质物质成份、结构、厚度变化以及分布面积等决定了堆积体透水性和含水性强弱而不均。该类地下水赋存于人工堆积、残破积层和冲洪积层中，接收大气降水及地表水补给，向斜坡低缓处排泄，含水微弱，水量较少，水位、水量随季节和地势变化。</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岩裂隙水：基岩裂隙水分为风化网状裂隙水和构造裂隙水两个亚类。风化网状裂隙水主要分布在侏罗系砂泥岩中，风化裂隙在浅层近地表较发育，随着向地下延伸，风化裂隙逐渐不发育，因此风化裂隙水由浅层风化网状裂隙发育形成，为潜水。构造裂隙水主要为深层地下水，属构造变动产生的构造裂隙中赋存的地下水。基岩裂隙水主要为风化网状裂隙水亚类，由于基岩的裂隙在岩层中所能占有的赋存空间有限，因此富水性相对较差，属水量贫乏区；且受到裂隙通道在空间上的展布具有明显的方向性的影响，地下水水位变化较大，无统一水面，水量变化也比较大。项目所在水文地质单元裂隙较发育，区内高差较大，地形为斜坡，地下水排泄条件较好，该区的基岩风化裂隙水主要受大气降水补给，但水量小，变化大，常成季节性含水，区域泥岩为相对隔水层，除裸露区外地下水补给条件一般差，地下水贫乏，局部就近补给，就近排泄的特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场地内水文地质条件为：位于浅丘斜坡地带，现场部分地段基岩出露。场区地势较高，地表迳流条件较好，大气降雨主要以地表水形式向地势较低处排泄。场地内岩土层为素填土、粉质粘土及砂、泥岩层和砂质泥岩层，素填土呈松散状，渗透性好；粉质粘土层具阻水作用，为隔水层；基岩构造裂隙不发育，泥岩和砂质泥岩为相对隔水层，砂岩为弱透水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（2）地下水的补给、径流和排泄</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区内地下水的补给条件受多种因素控制，并以大气降水的渗入为主要补给来源，此外亦接受地表水体（河坝水库、稻田、沟渠）的渗入补给，涪江两岸为粘质砂土或砂砾石，含空隙潜水，受水面积大，易于补给。</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广大红层丘陵地下水排泄方式以泉或泉群的形式在砂、泥岩接触处溢出为主。丘陵区，地形切浅，沟谷宽缓，且有第四系粘性土覆盖，泉少，水井多，地下水垂直或人工排泄亦强，径流条件差。总的特点：补给区和排泄区很近，径流途径短，径流畅通地段是地表水汇集区域。</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3.2区域环境质量现状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专业技术服务业”中的“陆地矿产资源地质勘查（含油气资源勘探）”类，按照报告表编制技术指南以及环境影响评价相关技术导则等文件要求，本项目大气、地表水以引用现有资料为主；因施工噪声影响相对较突出，声环境以实测为主；因项目钻井过程中存在土壤、地下水环境污染途径，故本评价结合钻井污染源、保护目标分布情况等开展了现状监测以留作背景值。</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3.2.1环境空气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根据重庆市人民政府有关环境空气质量功能区类别划分的相关规定，本项目所在地环境空气功能区划为二类区，环境空气质量执行《环境空气质量标准》（GB3095-2012）中二级标准。</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环境空气质量达标区判定：</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本次评价引用重庆市生态环境局发布的《2021年生态环境状况公报》中PM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、CO的监测数据，对区域环境质量进行评价，详见表3.2-1。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表3.2-1   区域空气质量现状评价表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693"/>
              <w:gridCol w:w="1276"/>
              <w:gridCol w:w="1134"/>
              <w:gridCol w:w="851"/>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污染物</w:t>
                  </w:r>
                </w:p>
              </w:tc>
              <w:tc>
                <w:tcPr>
                  <w:tcW w:w="2693"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年评价指标</w:t>
                  </w:r>
                </w:p>
              </w:tc>
              <w:tc>
                <w:tcPr>
                  <w:tcW w:w="127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现状浓度（µg/m</w:t>
                  </w:r>
                  <w:r>
                    <w:rPr>
                      <w:rFonts w:hint="eastAsia" w:cs="宋体"/>
                      <w:color w:val="000000" w:themeColor="text1"/>
                      <w:kern w:val="0"/>
                      <w:sz w:val="21"/>
                      <w:vertAlign w:val="superscript"/>
                      <w14:textFill>
                        <w14:solidFill>
                          <w14:schemeClr w14:val="tx1"/>
                        </w14:solidFill>
                      </w14:textFill>
                    </w:rPr>
                    <w:t>3</w:t>
                  </w:r>
                  <w:r>
                    <w:rPr>
                      <w:rFonts w:hint="eastAsia" w:cs="宋体"/>
                      <w:color w:val="000000" w:themeColor="text1"/>
                      <w:kern w:val="0"/>
                      <w:sz w:val="21"/>
                      <w14:textFill>
                        <w14:solidFill>
                          <w14:schemeClr w14:val="tx1"/>
                        </w14:solidFill>
                      </w14:textFill>
                    </w:rPr>
                    <w:t>）</w:t>
                  </w:r>
                </w:p>
              </w:tc>
              <w:tc>
                <w:tcPr>
                  <w:tcW w:w="113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标准值（µg/m</w:t>
                  </w:r>
                  <w:r>
                    <w:rPr>
                      <w:rFonts w:hint="eastAsia" w:cs="宋体"/>
                      <w:color w:val="000000" w:themeColor="text1"/>
                      <w:kern w:val="0"/>
                      <w:sz w:val="21"/>
                      <w:vertAlign w:val="superscript"/>
                      <w14:textFill>
                        <w14:solidFill>
                          <w14:schemeClr w14:val="tx1"/>
                        </w14:solidFill>
                      </w14:textFill>
                    </w:rPr>
                    <w:t>3</w:t>
                  </w:r>
                  <w:r>
                    <w:rPr>
                      <w:rFonts w:hint="eastAsia" w:cs="宋体"/>
                      <w:color w:val="000000" w:themeColor="text1"/>
                      <w:kern w:val="0"/>
                      <w:sz w:val="21"/>
                      <w14:textFill>
                        <w14:solidFill>
                          <w14:schemeClr w14:val="tx1"/>
                        </w14:solidFill>
                      </w14:textFill>
                    </w:rPr>
                    <w:t>）</w:t>
                  </w:r>
                </w:p>
              </w:tc>
              <w:tc>
                <w:tcPr>
                  <w:tcW w:w="851"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占标率</w:t>
                  </w:r>
                  <w:r>
                    <w:rPr>
                      <w:rFonts w:cs="宋体"/>
                      <w:color w:val="000000" w:themeColor="text1"/>
                      <w:kern w:val="0"/>
                      <w:sz w:val="21"/>
                      <w14:textFill>
                        <w14:solidFill>
                          <w14:schemeClr w14:val="tx1"/>
                        </w14:solidFill>
                      </w14:textFill>
                    </w:rPr>
                    <w:t>%</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PM</w:t>
                  </w:r>
                  <w:r>
                    <w:rPr>
                      <w:rFonts w:hint="eastAsia"/>
                      <w:color w:val="000000" w:themeColor="text1"/>
                      <w:sz w:val="21"/>
                      <w:vertAlign w:val="subscript"/>
                      <w14:textFill>
                        <w14:solidFill>
                          <w14:schemeClr w14:val="tx1"/>
                        </w14:solidFill>
                      </w14:textFill>
                    </w:rPr>
                    <w:t>10</w:t>
                  </w:r>
                </w:p>
              </w:tc>
              <w:tc>
                <w:tcPr>
                  <w:tcW w:w="2693" w:type="dxa"/>
                  <w:vMerge w:val="restart"/>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年平均质量浓度</w:t>
                  </w: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54</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70</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77.1</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PM</w:t>
                  </w:r>
                  <w:r>
                    <w:rPr>
                      <w:rFonts w:hint="eastAsia"/>
                      <w:color w:val="000000" w:themeColor="text1"/>
                      <w:sz w:val="21"/>
                      <w:vertAlign w:val="subscript"/>
                      <w14:textFill>
                        <w14:solidFill>
                          <w14:schemeClr w14:val="tx1"/>
                        </w14:solidFill>
                      </w14:textFill>
                    </w:rPr>
                    <w:t>2.5</w:t>
                  </w:r>
                </w:p>
              </w:tc>
              <w:tc>
                <w:tcPr>
                  <w:tcW w:w="2693" w:type="dxa"/>
                  <w:vMerge w:val="continue"/>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38</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35</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108.6</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SO</w:t>
                  </w:r>
                  <w:r>
                    <w:rPr>
                      <w:rFonts w:hint="eastAsia"/>
                      <w:color w:val="000000" w:themeColor="text1"/>
                      <w:sz w:val="21"/>
                      <w:vertAlign w:val="subscript"/>
                      <w14:textFill>
                        <w14:solidFill>
                          <w14:schemeClr w14:val="tx1"/>
                        </w14:solidFill>
                      </w14:textFill>
                    </w:rPr>
                    <w:t>2</w:t>
                  </w:r>
                </w:p>
              </w:tc>
              <w:tc>
                <w:tcPr>
                  <w:tcW w:w="2693" w:type="dxa"/>
                  <w:vMerge w:val="continue"/>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12</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60</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20.0</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NO</w:t>
                  </w:r>
                  <w:r>
                    <w:rPr>
                      <w:rFonts w:hint="eastAsia"/>
                      <w:color w:val="000000" w:themeColor="text1"/>
                      <w:sz w:val="21"/>
                      <w:vertAlign w:val="subscript"/>
                      <w14:textFill>
                        <w14:solidFill>
                          <w14:schemeClr w14:val="tx1"/>
                        </w14:solidFill>
                      </w14:textFill>
                    </w:rPr>
                    <w:t>2</w:t>
                  </w:r>
                </w:p>
              </w:tc>
              <w:tc>
                <w:tcPr>
                  <w:tcW w:w="2693" w:type="dxa"/>
                  <w:vMerge w:val="continue"/>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29</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40</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72.5</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CO(</w:t>
                  </w:r>
                  <w:r>
                    <w:rPr>
                      <w:color w:val="000000" w:themeColor="text1"/>
                      <w:sz w:val="21"/>
                      <w14:textFill>
                        <w14:solidFill>
                          <w14:schemeClr w14:val="tx1"/>
                        </w14:solidFill>
                      </w14:textFill>
                    </w:rPr>
                    <w:t>mg/m</w:t>
                  </w:r>
                  <w:r>
                    <w:rPr>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w:t>
                  </w:r>
                </w:p>
              </w:tc>
              <w:tc>
                <w:tcPr>
                  <w:tcW w:w="2693"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日均浓度的第95百分位数</w:t>
                  </w: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1.1</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27.5</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O</w:t>
                  </w:r>
                  <w:r>
                    <w:rPr>
                      <w:rFonts w:hint="eastAsia"/>
                      <w:color w:val="000000" w:themeColor="text1"/>
                      <w:sz w:val="21"/>
                      <w:vertAlign w:val="subscript"/>
                      <w14:textFill>
                        <w14:solidFill>
                          <w14:schemeClr w14:val="tx1"/>
                        </w14:solidFill>
                      </w14:textFill>
                    </w:rPr>
                    <w:t>3</w:t>
                  </w:r>
                </w:p>
              </w:tc>
              <w:tc>
                <w:tcPr>
                  <w:tcW w:w="2693"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日最大1h平均浓度的第90百分位数</w:t>
                  </w:r>
                </w:p>
              </w:tc>
              <w:tc>
                <w:tcPr>
                  <w:tcW w:w="1276"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132</w:t>
                  </w:r>
                </w:p>
              </w:tc>
              <w:tc>
                <w:tcPr>
                  <w:tcW w:w="1134"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160</w:t>
                  </w:r>
                </w:p>
              </w:tc>
              <w:tc>
                <w:tcPr>
                  <w:tcW w:w="851" w:type="dxa"/>
                  <w:vAlign w:val="center"/>
                </w:tcPr>
                <w:p>
                  <w:pPr>
                    <w:adjustRightInd w:val="0"/>
                    <w:snapToGrid w:val="0"/>
                    <w:spacing w:line="240" w:lineRule="auto"/>
                    <w:jc w:val="center"/>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82.5</w:t>
                  </w:r>
                </w:p>
              </w:tc>
              <w:tc>
                <w:tcPr>
                  <w:tcW w:w="816" w:type="dxa"/>
                  <w:vAlign w:val="center"/>
                </w:tcPr>
                <w:p>
                  <w:pPr>
                    <w:adjustRightInd w:val="0"/>
                    <w:snapToGrid w:val="0"/>
                    <w:spacing w:line="240" w:lineRule="auto"/>
                    <w:jc w:val="center"/>
                    <w:rPr>
                      <w:rFonts w:cs="宋体"/>
                      <w:color w:val="000000" w:themeColor="text1"/>
                      <w:kern w:val="0"/>
                      <w:sz w:val="21"/>
                      <w14:textFill>
                        <w14:solidFill>
                          <w14:schemeClr w14:val="tx1"/>
                        </w14:solidFill>
                      </w14:textFill>
                    </w:rPr>
                  </w:pPr>
                  <w:r>
                    <w:rPr>
                      <w:rFonts w:hint="eastAsia" w:cs="宋体"/>
                      <w:color w:val="000000" w:themeColor="text1"/>
                      <w:kern w:val="0"/>
                      <w:sz w:val="21"/>
                      <w14:textFill>
                        <w14:solidFill>
                          <w14:schemeClr w14:val="tx1"/>
                        </w14:solidFill>
                      </w14:textFill>
                    </w:rPr>
                    <w:t>达标</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根据《2021年重庆市生态环境状况公报》数据显示，拟建项目所在铜梁区2021年属于不达标区域，不达标因子为PM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根据《重庆市铜梁区人民政府办公室关于印发重庆市铜梁区环境空气质量限 期达标规划(2017-2025年)的通知》（铜府办[2019]50号），铜梁区将持续采取推 进绿色低碳循环发展、推进工业企业污染防治、加强城市扬尘污染控制、统筹控 制交通污染、加强城镇生活污染控制、加强农业大气污染防治、加强重点时段大气污染防治、提升大气环境监管水平等措施改善环境空气质量。</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环境质量现状判定：</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为了解项目所在地大气环境质量现状，重庆开创环境监测有限公司于2021年9月26日~9月28日，对合深9井所在地大气环境质量现状进行监测。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（1）监测点布设：合深9井井口处布置1个监测点。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（2）监测项目：H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（3）监测频次：连续采样3天，每天监测 4 次，每次采样1小时。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（4）采样及分析方法</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按照《环境监测技术规范》、《空气和废气监测分析方法》（第四版）中的规定进行。</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（5）评价标准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本次评价硫化氢执行《环境影响评价技术导则—大气环境》（HJ2.2－2018）附录D：其他污染物空气质量浓度参考限制，即1h平均10μg/m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（6）评价方法</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大气环境》（HJ2.2-2018），环境空气质量现状评价通过计算取值时间最大浓度占标率和超标频率来分析区域大气环境达标情况，当取值时间最大浓度占标率大于或等于100%时，表明环境空气质量超标。评价公式如下：</w:t>
            </w:r>
          </w:p>
          <w:p>
            <w:pPr>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114425" cy="495300"/>
                  <wp:effectExtent l="0" t="0" r="9525" b="0"/>
                  <wp:docPr id="1" name="图片 1" descr="C:\Users\ADMINI~1\AppData\Local\Temp\1633943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39435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14425" cy="495300"/>
                          </a:xfrm>
                          <a:prstGeom prst="rect">
                            <a:avLst/>
                          </a:prstGeom>
                          <a:noFill/>
                          <a:ln>
                            <a:noFill/>
                          </a:ln>
                        </pic:spPr>
                      </pic:pic>
                    </a:graphicData>
                  </a:graphic>
                </wp:inline>
              </w:drawing>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式中：Pi——第i个污染物的监测最大浓度占相应标准浓度限值的百分比，%；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Ci——第i个污染物的监测浓度值，μg/m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0i</w:t>
            </w:r>
            <w:r>
              <w:rPr>
                <w:rFonts w:hint="eastAsia"/>
                <w:color w:val="000000" w:themeColor="text1"/>
                <w14:textFill>
                  <w14:solidFill>
                    <w14:schemeClr w14:val="tx1"/>
                  </w14:solidFill>
                </w14:textFill>
              </w:rPr>
              <w:t>——第i个污染物的环境空气质量标准，μg/m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（7）监测结果及评价结论</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根据HJ2.2-2018，现状监测结果以列表的方式给出各监测点大气污染物的最大浓度占标率和超标频率，并评价达标情况。</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表3.2-2   其他污染物环境质量现状（监测结果）表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567"/>
              <w:gridCol w:w="725"/>
              <w:gridCol w:w="913"/>
              <w:gridCol w:w="913"/>
              <w:gridCol w:w="913"/>
              <w:gridCol w:w="913"/>
              <w:gridCol w:w="913"/>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监测点</w:t>
                  </w:r>
                </w:p>
              </w:tc>
              <w:tc>
                <w:tcPr>
                  <w:tcW w:w="1292" w:type="dxa"/>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监测点坐标</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监测值</w:t>
                  </w: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最大浓度占标率%</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超标率%</w:t>
                  </w:r>
                </w:p>
              </w:tc>
              <w:tc>
                <w:tcPr>
                  <w:tcW w:w="91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46" w:type="dxa"/>
                  <w:vMerge w:val="continue"/>
                  <w:vAlign w:val="center"/>
                </w:tcPr>
                <w:p>
                  <w:pPr>
                    <w:pStyle w:val="30"/>
                    <w:rPr>
                      <w:color w:val="000000" w:themeColor="text1"/>
                      <w14:textFill>
                        <w14:solidFill>
                          <w14:schemeClr w14:val="tx1"/>
                        </w14:solidFill>
                      </w14:textFill>
                    </w:rPr>
                  </w:pPr>
                </w:p>
              </w:tc>
              <w:tc>
                <w:tcPr>
                  <w:tcW w:w="56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72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913" w:type="dxa"/>
                  <w:vMerge w:val="continue"/>
                  <w:vAlign w:val="center"/>
                </w:tcPr>
                <w:p>
                  <w:pPr>
                    <w:pStyle w:val="30"/>
                    <w:rPr>
                      <w:color w:val="000000" w:themeColor="text1"/>
                      <w14:textFill>
                        <w14:solidFill>
                          <w14:schemeClr w14:val="tx1"/>
                        </w14:solidFill>
                      </w14:textFill>
                    </w:rPr>
                  </w:pPr>
                </w:p>
              </w:tc>
              <w:tc>
                <w:tcPr>
                  <w:tcW w:w="913" w:type="dxa"/>
                  <w:vMerge w:val="continue"/>
                  <w:vAlign w:val="center"/>
                </w:tcPr>
                <w:p>
                  <w:pPr>
                    <w:pStyle w:val="30"/>
                    <w:rPr>
                      <w:color w:val="000000" w:themeColor="text1"/>
                      <w14:textFill>
                        <w14:solidFill>
                          <w14:schemeClr w14:val="tx1"/>
                        </w14:solidFill>
                      </w14:textFill>
                    </w:rPr>
                  </w:pPr>
                </w:p>
              </w:tc>
              <w:tc>
                <w:tcPr>
                  <w:tcW w:w="913" w:type="dxa"/>
                  <w:vMerge w:val="continue"/>
                  <w:vAlign w:val="center"/>
                </w:tcPr>
                <w:p>
                  <w:pPr>
                    <w:pStyle w:val="30"/>
                    <w:rPr>
                      <w:color w:val="000000" w:themeColor="text1"/>
                      <w14:textFill>
                        <w14:solidFill>
                          <w14:schemeClr w14:val="tx1"/>
                        </w14:solidFill>
                      </w14:textFill>
                    </w:rPr>
                  </w:pPr>
                </w:p>
              </w:tc>
              <w:tc>
                <w:tcPr>
                  <w:tcW w:w="913" w:type="dxa"/>
                  <w:vMerge w:val="continue"/>
                  <w:vAlign w:val="center"/>
                </w:tcPr>
                <w:p>
                  <w:pPr>
                    <w:pStyle w:val="30"/>
                    <w:rPr>
                      <w:color w:val="000000" w:themeColor="text1"/>
                      <w14:textFill>
                        <w14:solidFill>
                          <w14:schemeClr w14:val="tx1"/>
                        </w14:solidFill>
                      </w14:textFill>
                    </w:rPr>
                  </w:pPr>
                </w:p>
              </w:tc>
              <w:tc>
                <w:tcPr>
                  <w:tcW w:w="913" w:type="dxa"/>
                  <w:vMerge w:val="continue"/>
                  <w:vAlign w:val="center"/>
                </w:tcPr>
                <w:p>
                  <w:pPr>
                    <w:pStyle w:val="30"/>
                    <w:rPr>
                      <w:color w:val="000000" w:themeColor="text1"/>
                      <w14:textFill>
                        <w14:solidFill>
                          <w14:schemeClr w14:val="tx1"/>
                        </w14:solidFill>
                      </w14:textFill>
                    </w:rPr>
                  </w:pPr>
                </w:p>
              </w:tc>
              <w:tc>
                <w:tcPr>
                  <w:tcW w:w="913"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合深9井井口</w:t>
                  </w:r>
                </w:p>
              </w:tc>
              <w:tc>
                <w:tcPr>
                  <w:tcW w:w="56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72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9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1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0.001L</w:t>
                  </w:r>
                </w:p>
              </w:tc>
              <w:tc>
                <w:tcPr>
                  <w:tcW w:w="9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从表3.2-2可知，H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S监测结果满足《环境影响评价技术导则—大气环境》（HJ2.2－2018）附录D中相关要求，不会制约项目的建设。</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3.2.2地表水环境</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地表水受纳水体为琼江，琼江铜梁区段设有两个例行监测断面（安居断面和中和断面），根据《重庆市人民政府批转重庆市地表水环境功能类别调整方案的通知》（渝府发〔2012〕4号），琼江（铜梁河段）属Ⅲ类水域，执行《地表水环境质量标准》（GB3838-2002）Ⅲ类水域标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铜梁区生态环境局于2021年9月6日发布的“重庆市铜梁区地表水水质状况（2021年8月）”：安居和中和断面地表水水质达标，监测项目包括《地表水环境质量标准》（GB3838-2002）表1的基本项目（7+X项）和电导率、浑浊度。</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由此可知，琼江（铜梁段）断面水质指标满足《地表水环境质量标准》(GB3838-2002)Ⅲ类标准，项目所在地地表水环境质量现状较好。</w:t>
            </w:r>
          </w:p>
          <w:p>
            <w:pPr>
              <w:ind w:firstLine="480" w:firstLineChars="200"/>
              <w:rPr>
                <w:color w:val="000000" w:themeColor="text1"/>
                <w14:textFill>
                  <w14:solidFill>
                    <w14:schemeClr w14:val="tx1"/>
                  </w14:solidFill>
                </w14:textFill>
              </w:rPr>
            </w:pPr>
            <w:r>
              <w:rPr>
                <w:rFonts w:eastAsiaTheme="minorEastAsia"/>
                <w:color w:val="000000" w:themeColor="text1"/>
                <w14:textFill>
                  <w14:solidFill>
                    <w14:schemeClr w14:val="tx1"/>
                  </w14:solidFill>
                </w14:textFill>
              </w:rPr>
              <w:t>井口500m范围内无地表水体，最近的地表水体是井口东侧约</w:t>
            </w:r>
            <w:r>
              <w:rPr>
                <w:rFonts w:hint="eastAsia" w:eastAsiaTheme="minorEastAsia"/>
                <w:color w:val="000000" w:themeColor="text1"/>
                <w14:textFill>
                  <w14:solidFill>
                    <w14:schemeClr w14:val="tx1"/>
                  </w14:solidFill>
                </w14:textFill>
              </w:rPr>
              <w:t>580</w:t>
            </w:r>
            <w:r>
              <w:rPr>
                <w:rFonts w:eastAsiaTheme="minorEastAsia"/>
                <w:color w:val="000000" w:themeColor="text1"/>
                <w14:textFill>
                  <w14:solidFill>
                    <w14:schemeClr w14:val="tx1"/>
                  </w14:solidFill>
                </w14:textFill>
              </w:rPr>
              <w:t>m处的河坝水库</w:t>
            </w:r>
            <w:r>
              <w:rPr>
                <w:rFonts w:hint="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根据区域地形及地表径流特征（详见附图14），项目井场高程约310m，河坝水库高程约270m，高差约40m，两者之间有丘陵连接，井场与河坝水库不在同一水系内，</w:t>
            </w:r>
            <w:r>
              <w:rPr>
                <w:rFonts w:eastAsiaTheme="minorEastAsia"/>
                <w:color w:val="000000" w:themeColor="text1"/>
                <w14:textFill>
                  <w14:solidFill>
                    <w14:schemeClr w14:val="tx1"/>
                  </w14:solidFill>
                </w14:textFill>
              </w:rPr>
              <w:t>井场位置不在水库的集雨区范围内，并且位于水库大坝的另外一侧，</w:t>
            </w:r>
            <w:r>
              <w:rPr>
                <w:rFonts w:hint="eastAsia"/>
                <w:color w:val="000000" w:themeColor="text1"/>
                <w14:textFill>
                  <w14:solidFill>
                    <w14:schemeClr w14:val="tx1"/>
                  </w14:solidFill>
                </w14:textFill>
              </w:rPr>
              <w:t>同时拟建项目与河坝水库之间有高速公路隔断，因此拟建项目</w:t>
            </w:r>
            <w:r>
              <w:rPr>
                <w:rFonts w:eastAsiaTheme="minorEastAsia"/>
                <w:color w:val="000000" w:themeColor="text1"/>
                <w14:textFill>
                  <w14:solidFill>
                    <w14:schemeClr w14:val="tx1"/>
                  </w14:solidFill>
                </w14:textFill>
              </w:rPr>
              <w:t>不会对河坝水库的水质产生影响</w:t>
            </w:r>
            <w:r>
              <w:rPr>
                <w:rFonts w:hint="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本项目亦不在其水域及陆域保护范围内。因此本次未对河坝水库水质进行现状监测。</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3.2.3地下水环境</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本次地下水监测对合深9井井场周边的2处地下水进行了水质监测。作为背景值。</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表3.2-3   地下水现状监测布点情况表</w:t>
            </w:r>
          </w:p>
          <w:p>
            <w:pPr>
              <w:pStyle w:val="26"/>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（2）监测因子</w:t>
            </w:r>
          </w:p>
          <w:p>
            <w:pPr>
              <w:ind w:firstLine="480" w:firstLineChars="200"/>
              <w:rPr>
                <w:color w:val="000000" w:themeColor="text1"/>
                <w14:textFill>
                  <w14:solidFill>
                    <w14:schemeClr w14:val="tx1"/>
                  </w14:solidFill>
                </w14:textFill>
              </w:rPr>
            </w:pPr>
            <w:r>
              <w:rPr>
                <w:color w:val="000000" w:themeColor="text1"/>
                <w:szCs w:val="24"/>
                <w14:textFill>
                  <w14:solidFill>
                    <w14:schemeClr w14:val="tx1"/>
                  </w14:solidFill>
                </w14:textFill>
              </w:rPr>
              <w:t>pH、氨氮、耗氧量、挥发酚、氰化物、Cl</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、SO</w:t>
            </w:r>
            <w:r>
              <w:rPr>
                <w:color w:val="000000" w:themeColor="text1"/>
                <w:szCs w:val="24"/>
                <w:vertAlign w:val="subscript"/>
                <w14:textFill>
                  <w14:solidFill>
                    <w14:schemeClr w14:val="tx1"/>
                  </w14:solidFill>
                </w14:textFill>
              </w:rPr>
              <w:t>4</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、NO</w:t>
            </w:r>
            <w:r>
              <w:rPr>
                <w:color w:val="000000" w:themeColor="text1"/>
                <w:szCs w:val="24"/>
                <w:vertAlign w:val="subscript"/>
                <w14:textFill>
                  <w14:solidFill>
                    <w14:schemeClr w14:val="tx1"/>
                  </w14:solidFill>
                </w14:textFill>
              </w:rPr>
              <w:t>2</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、NO</w:t>
            </w:r>
            <w:r>
              <w:rPr>
                <w:color w:val="000000" w:themeColor="text1"/>
                <w:szCs w:val="24"/>
                <w:vertAlign w:val="subscript"/>
                <w14:textFill>
                  <w14:solidFill>
                    <w14:schemeClr w14:val="tx1"/>
                  </w14:solidFill>
                </w14:textFill>
              </w:rPr>
              <w:t>3</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、F</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、细菌总数、总大肠菌群、总硬度、溶解性总固体、铁、锰、砷、汞、六价铬、CO</w:t>
            </w:r>
            <w:r>
              <w:rPr>
                <w:color w:val="000000" w:themeColor="text1"/>
                <w:szCs w:val="24"/>
                <w:vertAlign w:val="subscript"/>
                <w14:textFill>
                  <w14:solidFill>
                    <w14:schemeClr w14:val="tx1"/>
                  </w14:solidFill>
                </w14:textFill>
              </w:rPr>
              <w:t>3</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、HCO</w:t>
            </w:r>
            <w:r>
              <w:rPr>
                <w:color w:val="000000" w:themeColor="text1"/>
                <w:szCs w:val="24"/>
                <w:vertAlign w:val="subscript"/>
                <w14:textFill>
                  <w14:solidFill>
                    <w14:schemeClr w14:val="tx1"/>
                  </w14:solidFill>
                </w14:textFill>
              </w:rPr>
              <w:t>3</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、K</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、Na</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、Ca</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、Mg</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、铅、镉</w:t>
            </w:r>
            <w:r>
              <w:rPr>
                <w:rFonts w:hint="eastAsia"/>
                <w:color w:val="000000" w:themeColor="text1"/>
                <w:szCs w:val="24"/>
                <w14:textFill>
                  <w14:solidFill>
                    <w14:schemeClr w14:val="tx1"/>
                  </w14:solidFill>
                </w14:textFill>
              </w:rPr>
              <w:t>、石油类、硫化物</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（3）监测结果及评价</w:t>
            </w:r>
          </w:p>
          <w:p>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按照《地下水质量标准》（GB/T14848-2017）和《地表水环境质量标准》（GB 3838-2002）中的Ⅲ类标准，采用标准指数法对地下水监测数据进行评价。监测评价结果见表3.2-4。</w:t>
            </w:r>
          </w:p>
          <w:p>
            <w:pPr>
              <w:spacing w:line="360" w:lineRule="auto"/>
              <w:ind w:firstLine="480" w:firstLineChars="200"/>
              <w:rPr>
                <w:color w:val="000000" w:themeColor="text1"/>
                <w14:textFill>
                  <w14:solidFill>
                    <w14:schemeClr w14:val="tx1"/>
                  </w14:solidFill>
                </w14:textFill>
              </w:rPr>
            </w:pP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表3.2-4    地下水现状监测结果（单位：mg/L）</w:t>
            </w:r>
          </w:p>
          <w:p>
            <w:pPr>
              <w:pStyle w:val="26"/>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从上表中可知，由监测结果分析表可知，各地下水监测点石油类满足《地表水环境质量标准》（GB3838-2002）Ⅲ类标准要求，其余各项监测因子均满足《地下水质量标准》（GB/T14848-2017）Ⅲ类标准要求，项目所在地地下水环境质量现状较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3.2.4声环境</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本次评价委托重庆开创环境监测有限公司对项目所处区域声环境现状质量进行监测，布设2个监测点。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（1）监测点位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设2个噪声监测点，见下表所示。</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表3.2-5    声环境质量现状监测布点一览表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6345"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6345"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井场南侧厂界处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c>
                <w:tcPr>
                  <w:tcW w:w="6345"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井场北侧最近居民点处</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（2）监测项目</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昼、夜等效声级。</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（3）监测时间及频率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连续监测两天、每天昼夜各监测1次，监测时间为2021年9月26日~27日。</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（4）监测结果及评价方法</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采用噪声值与标准值直接比较法评价项目所在区域声环境质量现状。监测结果见表3.2-6。</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表3.2-6   声环境质量现状监测结果一览表   单位：dB（A）</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3"/>
              <w:gridCol w:w="1643"/>
              <w:gridCol w:w="164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监测时间</w:t>
                  </w:r>
                </w:p>
              </w:tc>
              <w:tc>
                <w:tcPr>
                  <w:tcW w:w="164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3286" w:type="dxa"/>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w:t>
                  </w:r>
                </w:p>
              </w:tc>
              <w:tc>
                <w:tcPr>
                  <w:tcW w:w="1644"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pStyle w:val="30"/>
                    <w:rPr>
                      <w:color w:val="000000" w:themeColor="text1"/>
                      <w14:textFill>
                        <w14:solidFill>
                          <w14:schemeClr w14:val="tx1"/>
                        </w14:solidFill>
                      </w14:textFill>
                    </w:rPr>
                  </w:pPr>
                </w:p>
              </w:tc>
              <w:tc>
                <w:tcPr>
                  <w:tcW w:w="1643" w:type="dxa"/>
                  <w:vMerge w:val="continue"/>
                  <w:vAlign w:val="center"/>
                </w:tcPr>
                <w:p>
                  <w:pPr>
                    <w:pStyle w:val="30"/>
                    <w:rPr>
                      <w:color w:val="000000" w:themeColor="text1"/>
                      <w14:textFill>
                        <w14:solidFill>
                          <w14:schemeClr w14:val="tx1"/>
                        </w14:solidFill>
                      </w14:textFill>
                    </w:rPr>
                  </w:pPr>
                </w:p>
              </w:tc>
              <w:tc>
                <w:tcPr>
                  <w:tcW w:w="164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64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644"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2021.9.26</w:t>
                  </w:r>
                </w:p>
              </w:tc>
              <w:tc>
                <w:tcPr>
                  <w:tcW w:w="1643"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49</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38</w:t>
                  </w:r>
                </w:p>
              </w:tc>
              <w:tc>
                <w:tcPr>
                  <w:tcW w:w="1644"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昼间≤60</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pStyle w:val="30"/>
                    <w:rPr>
                      <w:color w:val="000000" w:themeColor="text1"/>
                      <w14:textFill>
                        <w14:solidFill>
                          <w14:schemeClr w14:val="tx1"/>
                        </w14:solidFill>
                      </w14:textFill>
                    </w:rPr>
                  </w:pPr>
                </w:p>
              </w:tc>
              <w:tc>
                <w:tcPr>
                  <w:tcW w:w="1643"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50</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39</w:t>
                  </w:r>
                </w:p>
              </w:tc>
              <w:tc>
                <w:tcPr>
                  <w:tcW w:w="1644"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2021.9.27</w:t>
                  </w:r>
                </w:p>
              </w:tc>
              <w:tc>
                <w:tcPr>
                  <w:tcW w:w="1643"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E-1</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49</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39</w:t>
                  </w:r>
                </w:p>
              </w:tc>
              <w:tc>
                <w:tcPr>
                  <w:tcW w:w="1644"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pStyle w:val="30"/>
                    <w:rPr>
                      <w:color w:val="000000" w:themeColor="text1"/>
                      <w14:textFill>
                        <w14:solidFill>
                          <w14:schemeClr w14:val="tx1"/>
                        </w14:solidFill>
                      </w14:textFill>
                    </w:rPr>
                  </w:pPr>
                </w:p>
              </w:tc>
              <w:tc>
                <w:tcPr>
                  <w:tcW w:w="1643" w:type="dxa"/>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E-2</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49</w:t>
                  </w:r>
                </w:p>
              </w:tc>
              <w:tc>
                <w:tcPr>
                  <w:tcW w:w="1643" w:type="dxa"/>
                  <w:vAlign w:val="center"/>
                </w:tcPr>
                <w:p>
                  <w:pPr>
                    <w:spacing w:line="320" w:lineRule="exact"/>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39</w:t>
                  </w:r>
                </w:p>
              </w:tc>
              <w:tc>
                <w:tcPr>
                  <w:tcW w:w="1644" w:type="dxa"/>
                  <w:vMerge w:val="continue"/>
                  <w:vAlign w:val="center"/>
                </w:tcPr>
                <w:p>
                  <w:pPr>
                    <w:pStyle w:val="30"/>
                    <w:rPr>
                      <w:color w:val="000000" w:themeColor="text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监测结果表明，项目区域环境噪声能够满足《声环境质量标准》（GB3096-2008）中2类标准要求。</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3.2.5土壤环境</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设3个表层样监测点，其中T1点位于平台占地内应急池处，T2位于平台占地外北侧水田，T3位于平台占地外南侧旱地；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（2）土壤现状监测结果及评价</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天然气勘探井，属于勘探阶段，用地均为临时用地，若钻至目的层后无可持续性天然气利用，则区域内占地均恢复为原土地利用性质，验收的时应执行相应的农用地标准；若钻至目的层后有可持续性天然气利用，则转入地面集输，用地需征用为永久用地，需进行地面集输环评。因此，鉴于本项目均为临时占地，且主要为耕地，故评价执行《土壤环境质量 农用地土壤污染风险管控标准》（GB15618-2018）中相应的基本项目筛选值，采用标准指数法评价，其余监测因子留作背景值，不做评价。</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土壤现状监测统计结果见表3.2-7。</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表3.2-7   土壤现状监测及评价结果</w:t>
            </w:r>
          </w:p>
          <w:p>
            <w:pPr>
              <w:ind w:firstLine="480" w:firstLineChars="200"/>
              <w:jc w:val="center"/>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由表3.2-7可知，本项目土壤监测因子的标准指数均小于1，区域土壤环境满足《土壤环境质量 农用地土壤污染风险管控标准（试行）》（GB15618-2018）中的标准限值要求。</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9"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与项目有关的原有环境污染和生态破坏问题</w:t>
            </w:r>
          </w:p>
        </w:tc>
        <w:tc>
          <w:tcPr>
            <w:tcW w:w="8447" w:type="dxa"/>
            <w:vAlign w:val="center"/>
          </w:tcPr>
          <w:p>
            <w:pPr>
              <w:adjustRightInd w:val="0"/>
              <w:snapToGrid w:val="0"/>
              <w:ind w:firstLine="480"/>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本工程属于新建项目，根据现场调查，项目区域内未见与本项目有关的原有污染情况及环境问题。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生态环境保护目标</w:t>
            </w:r>
          </w:p>
        </w:tc>
        <w:tc>
          <w:tcPr>
            <w:tcW w:w="8447" w:type="dxa"/>
          </w:tcPr>
          <w:p>
            <w:pPr>
              <w:adjustRightInd w:val="0"/>
              <w:snapToGrid w:val="0"/>
              <w:outlineLvl w:val="1"/>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3.3</w:t>
            </w:r>
            <w:r>
              <w:rPr>
                <w:b/>
                <w:color w:val="000000" w:themeColor="text1"/>
                <w:szCs w:val="24"/>
                <w14:textFill>
                  <w14:solidFill>
                    <w14:schemeClr w14:val="tx1"/>
                  </w14:solidFill>
                </w14:textFill>
              </w:rPr>
              <w:t>生态环境保护目标</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根据调查，项目占地范围位于</w:t>
            </w:r>
            <w:r>
              <w:rPr>
                <w:rFonts w:hint="eastAsia"/>
                <w:color w:val="000000" w:themeColor="text1"/>
                <w14:textFill>
                  <w14:solidFill>
                    <w14:schemeClr w14:val="tx1"/>
                  </w14:solidFill>
                </w14:textFill>
              </w:rPr>
              <w:t>铜梁</w:t>
            </w:r>
            <w:r>
              <w:rPr>
                <w:color w:val="000000" w:themeColor="text1"/>
                <w14:textFill>
                  <w14:solidFill>
                    <w14:schemeClr w14:val="tx1"/>
                  </w14:solidFill>
                </w14:textFill>
              </w:rPr>
              <w:t>区生态保护红线之外，不涉及自然保护区、风景名胜区、饮用水源保护区等环境敏感区域，井口100m范围无居民分布，200m范围内无铁路、高速公路，500m范围无学校、医院和大型油库。</w:t>
            </w:r>
          </w:p>
          <w:p>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根据</w:t>
            </w:r>
            <w:r>
              <w:rPr>
                <w:rFonts w:hint="eastAsia"/>
                <w:bCs/>
                <w:color w:val="000000" w:themeColor="text1"/>
                <w14:textFill>
                  <w14:solidFill>
                    <w14:schemeClr w14:val="tx1"/>
                  </w14:solidFill>
                </w14:textFill>
              </w:rPr>
              <w:t>《建设项目环境影响报告表编制技术指南（生态影响类）（试行）》，“</w:t>
            </w:r>
            <w:r>
              <w:rPr>
                <w:rFonts w:hint="eastAsia"/>
                <w:b/>
                <w:bCs/>
                <w:color w:val="000000" w:themeColor="text1"/>
                <w14:textFill>
                  <w14:solidFill>
                    <w14:schemeClr w14:val="tx1"/>
                  </w14:solidFill>
                </w14:textFill>
              </w:rPr>
              <w:t>生态环境保护目标按照环境影响评价技术导则要求确定评价范围并识别环境保护目标</w:t>
            </w:r>
            <w:r>
              <w:rPr>
                <w:rFonts w:hint="eastAsia"/>
                <w:bCs/>
                <w:color w:val="000000" w:themeColor="text1"/>
                <w14:textFill>
                  <w14:solidFill>
                    <w14:schemeClr w14:val="tx1"/>
                  </w14:solidFill>
                </w14:textFill>
              </w:rPr>
              <w:t>”。生态环境保护目标分布情况如下：</w:t>
            </w:r>
          </w:p>
          <w:p>
            <w:pPr>
              <w:adjustRightInd w:val="0"/>
              <w:snapToGrid w:val="0"/>
              <w:jc w:val="left"/>
              <w:rPr>
                <w:b/>
                <w:color w:val="000000" w:themeColor="text1"/>
                <w:kern w:val="0"/>
                <w14:textFill>
                  <w14:solidFill>
                    <w14:schemeClr w14:val="tx1"/>
                  </w14:solidFill>
                </w14:textFill>
              </w:rPr>
            </w:pPr>
            <w:r>
              <w:rPr>
                <w:b/>
                <w:color w:val="000000" w:themeColor="text1"/>
                <w:kern w:val="0"/>
                <w14:textFill>
                  <w14:solidFill>
                    <w14:schemeClr w14:val="tx1"/>
                  </w14:solidFill>
                </w14:textFill>
              </w:rPr>
              <w:t>3.</w:t>
            </w:r>
            <w:r>
              <w:rPr>
                <w:rFonts w:hint="eastAsia"/>
                <w:b/>
                <w:color w:val="000000" w:themeColor="text1"/>
                <w:kern w:val="0"/>
                <w14:textFill>
                  <w14:solidFill>
                    <w14:schemeClr w14:val="tx1"/>
                  </w14:solidFill>
                </w14:textFill>
              </w:rPr>
              <w:t>3.1大气环境保护目标</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根据《环境影响评价技术导则 大气环境》（H</w:t>
            </w:r>
            <w:r>
              <w:rPr>
                <w:bCs/>
                <w:color w:val="000000" w:themeColor="text1"/>
                <w14:textFill>
                  <w14:solidFill>
                    <w14:schemeClr w14:val="tx1"/>
                  </w14:solidFill>
                </w14:textFill>
              </w:rPr>
              <w:t>J2.2-2018</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本项目不设置大气评价范围</w:t>
            </w:r>
            <w:r>
              <w:rPr>
                <w:rFonts w:hint="eastAsia"/>
                <w:bCs/>
                <w:color w:val="000000" w:themeColor="text1"/>
                <w14:textFill>
                  <w14:solidFill>
                    <w14:schemeClr w14:val="tx1"/>
                  </w14:solidFill>
                </w14:textFill>
              </w:rPr>
              <w:t>。</w:t>
            </w:r>
          </w:p>
          <w:p>
            <w:pPr>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3.3.2声</w:t>
            </w:r>
            <w:r>
              <w:rPr>
                <w:b/>
                <w:bCs/>
                <w:color w:val="000000" w:themeColor="text1"/>
                <w14:textFill>
                  <w14:solidFill>
                    <w14:schemeClr w14:val="tx1"/>
                  </w14:solidFill>
                </w14:textFill>
              </w:rPr>
              <w:t>环境保护目标</w:t>
            </w:r>
          </w:p>
          <w:p>
            <w:pPr>
              <w:ind w:firstLine="48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根据《环境影响评价技术导则 声环境》（H</w:t>
            </w:r>
            <w:r>
              <w:rPr>
                <w:bCs/>
                <w:color w:val="000000" w:themeColor="text1"/>
                <w14:textFill>
                  <w14:solidFill>
                    <w14:schemeClr w14:val="tx1"/>
                  </w14:solidFill>
                </w14:textFill>
              </w:rPr>
              <w:t>J2.4-20</w:t>
            </w:r>
            <w:r>
              <w:rPr>
                <w:rFonts w:hint="eastAsia"/>
                <w:bCs/>
                <w:color w:val="000000" w:themeColor="text1"/>
                <w14:textFill>
                  <w14:solidFill>
                    <w14:schemeClr w14:val="tx1"/>
                  </w14:solidFill>
                </w14:textFill>
              </w:rPr>
              <w:t>21），</w:t>
            </w:r>
            <w:r>
              <w:rPr>
                <w:rFonts w:hint="eastAsia"/>
                <w:color w:val="000000" w:themeColor="text1"/>
                <w14:textFill>
                  <w14:solidFill>
                    <w14:schemeClr w14:val="tx1"/>
                  </w14:solidFill>
                </w14:textFill>
              </w:rPr>
              <w:t>本次重点关注井口200m范围内声环境保护目标。根据调查，声环境保护目标分布情况如下。</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声环境保护目标一览表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677"/>
              <w:gridCol w:w="1365"/>
              <w:gridCol w:w="1329"/>
              <w:gridCol w:w="133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9" w:type="pct"/>
                  <w:vMerge w:val="restar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2861" w:type="pct"/>
                  <w:gridSpan w:val="4"/>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位置(m)</w:t>
                  </w:r>
                </w:p>
              </w:tc>
              <w:tc>
                <w:tcPr>
                  <w:tcW w:w="1240" w:type="pct"/>
                  <w:vMerge w:val="restar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color w:val="000000" w:themeColor="text1"/>
                      <w14:textFill>
                        <w14:solidFill>
                          <w14:schemeClr w14:val="tx1"/>
                        </w14:solidFill>
                      </w14:textFill>
                    </w:rPr>
                    <w:t>环境敏感特性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9" w:type="pct"/>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与井</w:t>
                  </w:r>
                  <w:r>
                    <w:rPr>
                      <w:rFonts w:hint="eastAsia"/>
                      <w:color w:val="000000" w:themeColor="text1"/>
                      <w14:textFill>
                        <w14:solidFill>
                          <w14:schemeClr w14:val="tx1"/>
                        </w14:solidFill>
                      </w14:textFill>
                    </w:rPr>
                    <w:t>口</w:t>
                  </w:r>
                  <w:r>
                    <w:rPr>
                      <w:color w:val="000000" w:themeColor="text1"/>
                      <w14:textFill>
                        <w14:solidFill>
                          <w14:schemeClr w14:val="tx1"/>
                        </w14:solidFill>
                      </w14:textFill>
                    </w:rPr>
                    <w:t>距离</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与井场</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厂界距离</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bCs/>
                      <w:color w:val="000000" w:themeColor="text1"/>
                      <w14:textFill>
                        <w14:solidFill>
                          <w14:schemeClr w14:val="tx1"/>
                        </w14:solidFill>
                      </w14:textFill>
                    </w:rPr>
                    <w:t>与</w:t>
                  </w:r>
                  <w:r>
                    <w:rPr>
                      <w:rFonts w:hint="eastAsia"/>
                      <w:bCs/>
                      <w:color w:val="000000" w:themeColor="text1"/>
                      <w14:textFill>
                        <w14:solidFill>
                          <w14:schemeClr w14:val="tx1"/>
                        </w14:solidFill>
                      </w14:textFill>
                    </w:rPr>
                    <w:t>井场高差</w:t>
                  </w:r>
                </w:p>
              </w:tc>
              <w:tc>
                <w:tcPr>
                  <w:tcW w:w="1240" w:type="pct"/>
                  <w:vMerge w:val="continue"/>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SW</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140</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85</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SW</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150</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95</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SE</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114</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85</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180</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135</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27</w:t>
                  </w:r>
                  <w:r>
                    <w:rPr>
                      <w:color w:val="000000" w:themeColor="text1"/>
                      <w14:textFill>
                        <w14:solidFill>
                          <w14:schemeClr w14:val="tx1"/>
                        </w14:solidFill>
                      </w14:textFill>
                    </w:rPr>
                    <w:t>#居民点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NW</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180</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150</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NW</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135</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103</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N</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165</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110</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9"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#居民点</w:t>
                  </w:r>
                </w:p>
              </w:tc>
              <w:tc>
                <w:tcPr>
                  <w:tcW w:w="41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N</w:t>
                  </w:r>
                </w:p>
              </w:tc>
              <w:tc>
                <w:tcPr>
                  <w:tcW w:w="830"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170</w:t>
                  </w:r>
                </w:p>
              </w:tc>
              <w:tc>
                <w:tcPr>
                  <w:tcW w:w="808" w:type="pct"/>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120</w:t>
                  </w:r>
                </w:p>
              </w:tc>
              <w:tc>
                <w:tcPr>
                  <w:tcW w:w="81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24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户</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人</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3.3.3地表水</w:t>
            </w:r>
            <w:r>
              <w:rPr>
                <w:color w:val="000000" w:themeColor="text1"/>
                <w14:textFill>
                  <w14:solidFill>
                    <w14:schemeClr w14:val="tx1"/>
                  </w14:solidFill>
                </w14:textFill>
              </w:rPr>
              <w:t>环境保护目标</w:t>
            </w:r>
          </w:p>
          <w:p>
            <w:pPr>
              <w:ind w:firstLine="480" w:firstLineChars="200"/>
              <w:rPr>
                <w:bCs/>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bCs/>
                <w:color w:val="000000" w:themeColor="text1"/>
                <w14:textFill>
                  <w14:solidFill>
                    <w14:schemeClr w14:val="tx1"/>
                  </w14:solidFill>
                </w14:textFill>
              </w:rPr>
              <w:t>《环境影响评价技术导则 地表水环境》（H</w:t>
            </w:r>
            <w:r>
              <w:rPr>
                <w:bCs/>
                <w:color w:val="000000" w:themeColor="text1"/>
                <w14:textFill>
                  <w14:solidFill>
                    <w14:schemeClr w14:val="tx1"/>
                  </w14:solidFill>
                </w14:textFill>
              </w:rPr>
              <w:t>J2.3-2018</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本</w:t>
            </w:r>
            <w:r>
              <w:rPr>
                <w:rFonts w:hint="eastAsia"/>
                <w:bCs/>
                <w:color w:val="000000" w:themeColor="text1"/>
                <w14:textFill>
                  <w14:solidFill>
                    <w14:schemeClr w14:val="tx1"/>
                  </w14:solidFill>
                </w14:textFill>
              </w:rPr>
              <w:t>项目</w:t>
            </w:r>
            <w:r>
              <w:rPr>
                <w:bCs/>
                <w:color w:val="000000" w:themeColor="text1"/>
                <w14:textFill>
                  <w14:solidFill>
                    <w14:schemeClr w14:val="tx1"/>
                  </w14:solidFill>
                </w14:textFill>
              </w:rPr>
              <w:t>地表水不设置评价范围。根据</w:t>
            </w:r>
            <w:r>
              <w:rPr>
                <w:rFonts w:hint="eastAsia"/>
                <w:bCs/>
                <w:color w:val="000000" w:themeColor="text1"/>
                <w14:textFill>
                  <w14:solidFill>
                    <w14:schemeClr w14:val="tx1"/>
                  </w14:solidFill>
                </w14:textFill>
              </w:rPr>
              <w:t>调查</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井口500m范围内无地表水体，最近的地表水体是井口东侧约580m处的河坝水库；井场位置不在水库的集雨区范围内，并且位于水库大坝的另外一侧，不会对河坝水库的水质产生影响。河坝水库为小（一）型水库，库容约660万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，根据《铜梁县地表水域适用功能类别划分规定》，河坝水库属于Ⅲ类水体，其水体功能主要是渔业和农业用水。项目所在</w:t>
            </w:r>
            <w:r>
              <w:rPr>
                <w:bCs/>
                <w:color w:val="000000" w:themeColor="text1"/>
                <w14:textFill>
                  <w14:solidFill>
                    <w14:schemeClr w14:val="tx1"/>
                  </w14:solidFill>
                </w14:textFill>
              </w:rPr>
              <w:t>区域汇水河流为</w:t>
            </w:r>
            <w:r>
              <w:rPr>
                <w:rFonts w:hint="eastAsia"/>
                <w:bCs/>
                <w:color w:val="000000" w:themeColor="text1"/>
                <w14:textFill>
                  <w14:solidFill>
                    <w14:schemeClr w14:val="tx1"/>
                  </w14:solidFill>
                </w14:textFill>
              </w:rPr>
              <w:t>琼江</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属Ⅲ类水域</w:t>
            </w:r>
            <w:r>
              <w:rPr>
                <w:rFonts w:hint="eastAsia"/>
                <w:color w:val="000000" w:themeColor="text1"/>
                <w14:textFill>
                  <w14:solidFill>
                    <w14:schemeClr w14:val="tx1"/>
                  </w14:solidFill>
                </w14:textFill>
              </w:rPr>
              <w:t>。</w:t>
            </w:r>
          </w:p>
          <w:p>
            <w:pPr>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3.3.4地下水</w:t>
            </w:r>
            <w:r>
              <w:rPr>
                <w:b/>
                <w:bCs/>
                <w:color w:val="000000" w:themeColor="text1"/>
                <w14:textFill>
                  <w14:solidFill>
                    <w14:schemeClr w14:val="tx1"/>
                  </w14:solidFill>
                </w14:textFill>
              </w:rPr>
              <w:t>环境保护目标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重庆市铜梁区维新镇槐树村6组。根据现场调查，项目所在区域不涉及集中地下水源地和保护区，井场附近居民已纳入当地农村饮水工程统一供给，留有部分水井作为备用水源（自来水停水使用）。井场周围</w:t>
            </w:r>
            <w:r>
              <w:rPr>
                <w:rFonts w:hint="eastAsia"/>
                <w:bCs/>
                <w:color w:val="000000" w:themeColor="text1"/>
                <w14:textFill>
                  <w14:solidFill>
                    <w14:schemeClr w14:val="tx1"/>
                  </w14:solidFill>
                </w14:textFill>
              </w:rPr>
              <w:t>分布</w:t>
            </w:r>
            <w:r>
              <w:rPr>
                <w:bCs/>
                <w:color w:val="000000" w:themeColor="text1"/>
                <w14:textFill>
                  <w14:solidFill>
                    <w14:schemeClr w14:val="tx1"/>
                  </w14:solidFill>
                </w14:textFill>
              </w:rPr>
              <w:t>有</w:t>
            </w:r>
            <w:r>
              <w:rPr>
                <w:rFonts w:hint="eastAsia"/>
                <w:bCs/>
                <w:color w:val="000000" w:themeColor="text1"/>
                <w14:textFill>
                  <w14:solidFill>
                    <w14:schemeClr w14:val="tx1"/>
                  </w14:solidFill>
                </w14:textFill>
              </w:rPr>
              <w:t>3处井泉</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其中2处为周</w:t>
            </w:r>
            <w:r>
              <w:rPr>
                <w:bCs/>
                <w:color w:val="000000" w:themeColor="text1"/>
                <w14:textFill>
                  <w14:solidFill>
                    <w14:schemeClr w14:val="tx1"/>
                  </w14:solidFill>
                </w14:textFill>
              </w:rPr>
              <w:t>边</w:t>
            </w:r>
            <w:r>
              <w:rPr>
                <w:rFonts w:hint="eastAsia"/>
                <w:bCs/>
                <w:color w:val="000000" w:themeColor="text1"/>
                <w14:textFill>
                  <w14:solidFill>
                    <w14:schemeClr w14:val="tx1"/>
                  </w14:solidFill>
                </w14:textFill>
              </w:rPr>
              <w:t>居民的</w:t>
            </w:r>
            <w:r>
              <w:rPr>
                <w:bCs/>
                <w:color w:val="000000" w:themeColor="text1"/>
                <w14:textFill>
                  <w14:solidFill>
                    <w14:schemeClr w14:val="tx1"/>
                  </w14:solidFill>
                </w14:textFill>
              </w:rPr>
              <w:t>备用水源</w:t>
            </w:r>
            <w:r>
              <w:rPr>
                <w:rFonts w:hint="eastAsia"/>
                <w:bCs/>
                <w:color w:val="000000" w:themeColor="text1"/>
                <w14:textFill>
                  <w14:solidFill>
                    <w14:schemeClr w14:val="tx1"/>
                  </w14:solidFill>
                </w14:textFill>
              </w:rPr>
              <w:t>，另1处已淘汰</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地下水环境</w:t>
            </w:r>
            <w:r>
              <w:rPr>
                <w:bCs/>
                <w:color w:val="000000" w:themeColor="text1"/>
                <w14:textFill>
                  <w14:solidFill>
                    <w14:schemeClr w14:val="tx1"/>
                  </w14:solidFill>
                </w14:textFill>
              </w:rPr>
              <w:t>保护目标见3.</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 地下水环境保护目标一览表</w:t>
            </w:r>
          </w:p>
          <w:p>
            <w:pPr>
              <w:pStyle w:val="26"/>
              <w:rPr>
                <w:color w:val="000000" w:themeColor="text1"/>
                <w14:textFill>
                  <w14:solidFill>
                    <w14:schemeClr w14:val="tx1"/>
                  </w14:solidFill>
                </w14:textFill>
              </w:rPr>
            </w:pPr>
            <w:r>
              <w:rPr>
                <w:rFonts w:hint="eastAsia"/>
                <w:bCs/>
                <w:color w:val="000000" w:themeColor="text1"/>
                <w:szCs w:val="18"/>
                <w14:textFill>
                  <w14:solidFill>
                    <w14:schemeClr w14:val="tx1"/>
                  </w14:solidFill>
                </w14:textFill>
              </w:rPr>
              <w:t>****</w:t>
            </w:r>
          </w:p>
          <w:p>
            <w:pPr>
              <w:outlineLvl w:val="2"/>
              <w:rPr>
                <w:b/>
                <w:bCs/>
                <w:color w:val="000000" w:themeColor="text1"/>
                <w14:textFill>
                  <w14:solidFill>
                    <w14:schemeClr w14:val="tx1"/>
                  </w14:solidFill>
                </w14:textFill>
              </w:rPr>
            </w:pPr>
            <w:r>
              <w:rPr>
                <w:b/>
                <w:bCs/>
                <w:color w:val="000000" w:themeColor="text1"/>
                <w14:textFill>
                  <w14:solidFill>
                    <w14:schemeClr w14:val="tx1"/>
                  </w14:solidFill>
                </w14:textFill>
              </w:rPr>
              <w:t>3.</w:t>
            </w: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.5</w:t>
            </w:r>
            <w:r>
              <w:rPr>
                <w:rFonts w:hint="eastAsia"/>
                <w:b/>
                <w:bCs/>
                <w:color w:val="000000" w:themeColor="text1"/>
                <w14:textFill>
                  <w14:solidFill>
                    <w14:schemeClr w14:val="tx1"/>
                  </w14:solidFill>
                </w14:textFill>
              </w:rPr>
              <w:t>生态</w:t>
            </w:r>
            <w:r>
              <w:rPr>
                <w:b/>
                <w:bCs/>
                <w:color w:val="000000" w:themeColor="text1"/>
                <w14:textFill>
                  <w14:solidFill>
                    <w14:schemeClr w14:val="tx1"/>
                  </w14:solidFill>
                </w14:textFill>
              </w:rPr>
              <w:t>保护目标</w:t>
            </w:r>
          </w:p>
          <w:p>
            <w:pPr>
              <w:ind w:firstLine="480" w:firstLineChars="200"/>
              <w:rPr>
                <w:color w:val="000000" w:themeColor="text1"/>
                <w14:textFill>
                  <w14:solidFill>
                    <w14:schemeClr w14:val="tx1"/>
                  </w14:solidFill>
                </w14:textFill>
              </w:rPr>
            </w:pPr>
            <w:r>
              <w:rPr>
                <w:bCs/>
                <w:color w:val="000000" w:themeColor="text1"/>
                <w14:textFill>
                  <w14:solidFill>
                    <w14:schemeClr w14:val="tx1"/>
                  </w14:solidFill>
                </w14:textFill>
              </w:rPr>
              <w:t>生态保护目标见表3.</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-3</w:t>
            </w:r>
            <w:r>
              <w:rPr>
                <w:color w:val="000000" w:themeColor="text1"/>
                <w14:textFill>
                  <w14:solidFill>
                    <w14:schemeClr w14:val="tx1"/>
                  </w14:solidFill>
                </w14:textFill>
              </w:rPr>
              <w:t>。</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-3  生态环境保护目标一览表</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760"/>
              <w:gridCol w:w="3399"/>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269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位置(m)</w:t>
                  </w:r>
                </w:p>
              </w:tc>
              <w:tc>
                <w:tcPr>
                  <w:tcW w:w="3319" w:type="dxa"/>
                  <w:tcBorders>
                    <w:top w:val="single" w:color="auto" w:sz="4" w:space="0"/>
                    <w:left w:val="single" w:color="auto" w:sz="4" w:space="0"/>
                    <w:bottom w:val="single" w:color="auto" w:sz="4" w:space="0"/>
                    <w:right w:val="single" w:color="auto" w:sz="4" w:space="0"/>
                  </w:tcBorders>
                  <w:vAlign w:val="center"/>
                </w:tcPr>
                <w:p>
                  <w:pPr>
                    <w:pStyle w:val="30"/>
                    <w:rPr>
                      <w:bCs/>
                      <w:color w:val="000000" w:themeColor="text1"/>
                      <w14:textFill>
                        <w14:solidFill>
                          <w14:schemeClr w14:val="tx1"/>
                        </w14:solidFill>
                      </w14:textFill>
                    </w:rPr>
                  </w:pPr>
                  <w:r>
                    <w:rPr>
                      <w:color w:val="000000" w:themeColor="text1"/>
                      <w14:textFill>
                        <w14:solidFill>
                          <w14:schemeClr w14:val="tx1"/>
                        </w14:solidFill>
                      </w14:textFill>
                    </w:rPr>
                    <w:t>环境敏感特性</w:t>
                  </w:r>
                </w:p>
              </w:tc>
              <w:tc>
                <w:tcPr>
                  <w:tcW w:w="1057"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影响时段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土壤</w:t>
                  </w:r>
                </w:p>
              </w:tc>
              <w:tc>
                <w:tcPr>
                  <w:tcW w:w="269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项目占地外延200m范围内</w:t>
                  </w:r>
                </w:p>
              </w:tc>
              <w:tc>
                <w:tcPr>
                  <w:tcW w:w="331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属农林生态系统，受人类活动影响强烈</w:t>
                  </w:r>
                </w:p>
              </w:tc>
              <w:tc>
                <w:tcPr>
                  <w:tcW w:w="1057" w:type="dxa"/>
                  <w:vMerge w:val="restart"/>
                  <w:tcBorders>
                    <w:top w:val="single" w:color="auto" w:sz="4" w:space="0"/>
                    <w:left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植被</w:t>
                  </w:r>
                </w:p>
              </w:tc>
              <w:tc>
                <w:tcPr>
                  <w:tcW w:w="269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项目占地外延200m范围内</w:t>
                  </w:r>
                </w:p>
              </w:tc>
              <w:tc>
                <w:tcPr>
                  <w:tcW w:w="331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属农林生态系统，受人类活动影响强烈</w:t>
                  </w:r>
                </w:p>
              </w:tc>
              <w:tc>
                <w:tcPr>
                  <w:tcW w:w="1057" w:type="dxa"/>
                  <w:vMerge w:val="continue"/>
                  <w:tcBorders>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环境风险保护目标详见表3.3-4。</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表3.3-4   环境风险保护目标统计表</w:t>
            </w:r>
          </w:p>
          <w:tbl>
            <w:tblPr>
              <w:tblStyle w:val="19"/>
              <w:tblW w:w="8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665"/>
              <w:gridCol w:w="945"/>
              <w:gridCol w:w="1500"/>
              <w:gridCol w:w="234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方位</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与井口最近</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距离/m</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保护目标特性</w:t>
                  </w:r>
                </w:p>
              </w:tc>
              <w:tc>
                <w:tcPr>
                  <w:tcW w:w="1032"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0~500m范围分散居民点</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四周</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114~499</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分散居民点，总计83户，约388人</w:t>
                  </w:r>
                </w:p>
              </w:tc>
              <w:tc>
                <w:tcPr>
                  <w:tcW w:w="1032"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龙翔社区</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维新镇</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2100</w:t>
                  </w:r>
                </w:p>
              </w:tc>
              <w:tc>
                <w:tcPr>
                  <w:tcW w:w="234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约</w:t>
                  </w:r>
                  <w:r>
                    <w:rPr>
                      <w:rFonts w:hint="eastAsia"/>
                      <w:color w:val="000000" w:themeColor="text1"/>
                      <w14:textFill>
                        <w14:solidFill>
                          <w14:schemeClr w14:val="tx1"/>
                        </w14:solidFill>
                      </w14:textFill>
                    </w:rPr>
                    <w:t>4.0万人</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仓湾社区</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2600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散户居民，约30户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杨柳村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1800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散户居民，约8户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六角村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散户居民，约5户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田家镇</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约1.0万人</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垭口村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4800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散户居民，约25户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新堰村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盘石村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3800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散户居民，约15户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莲花村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3800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沿河村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2400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散户居民，约30户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大佛村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散户居民，约25户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少云镇</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约5000人</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砚池村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4800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双堰村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黄堡村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营基村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小渡镇</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约5000人</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黄坪村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散户居民，约12户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新滩村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2900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散户居民，约20户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塘坝镇</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约1.0万人</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罗坪村</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4700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散户居民，约25户</w:t>
                  </w:r>
                </w:p>
              </w:tc>
              <w:tc>
                <w:tcPr>
                  <w:tcW w:w="1032"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河坝水库</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2340" w:type="dxa"/>
                  <w:vAlign w:val="center"/>
                </w:tcPr>
                <w:p>
                  <w:pPr>
                    <w:pStyle w:val="30"/>
                    <w:rPr>
                      <w:color w:val="000000" w:themeColor="text1"/>
                      <w14:textFill>
                        <w14:solidFill>
                          <w14:schemeClr w14:val="tx1"/>
                        </w14:solidFill>
                      </w14:textFill>
                    </w:rPr>
                  </w:pPr>
                  <w:r>
                    <w:rPr>
                      <w:rFonts w:hint="eastAsia"/>
                      <w:bCs/>
                      <w:color w:val="000000" w:themeColor="text1"/>
                      <w14:textFill>
                        <w14:solidFill>
                          <w14:schemeClr w14:val="tx1"/>
                        </w14:solidFill>
                      </w14:textFill>
                    </w:rPr>
                    <w:t>小（一）型水库，库容约660万m</w:t>
                  </w:r>
                  <w:r>
                    <w:rPr>
                      <w:rFonts w:hint="eastAsia"/>
                      <w:bCs/>
                      <w:color w:val="000000" w:themeColor="text1"/>
                      <w:vertAlign w:val="superscript"/>
                      <w14:textFill>
                        <w14:solidFill>
                          <w14:schemeClr w14:val="tx1"/>
                        </w14:solidFill>
                      </w14:textFill>
                    </w:rPr>
                    <w:t>3</w:t>
                  </w:r>
                </w:p>
              </w:tc>
              <w:tc>
                <w:tcPr>
                  <w:tcW w:w="1032"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琼江</w:t>
                  </w:r>
                </w:p>
              </w:tc>
              <w:tc>
                <w:tcPr>
                  <w:tcW w:w="9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50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3100</w:t>
                  </w:r>
                </w:p>
              </w:tc>
              <w:tc>
                <w:tcPr>
                  <w:tcW w:w="234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Ⅲ类水域</w:t>
                  </w:r>
                </w:p>
              </w:tc>
              <w:tc>
                <w:tcPr>
                  <w:tcW w:w="1032" w:type="dxa"/>
                  <w:vMerge w:val="continue"/>
                  <w:vAlign w:val="center"/>
                </w:tcPr>
                <w:p>
                  <w:pPr>
                    <w:pStyle w:val="30"/>
                    <w:rPr>
                      <w:color w:val="000000" w:themeColor="text1"/>
                      <w14:textFill>
                        <w14:solidFill>
                          <w14:schemeClr w14:val="tx1"/>
                        </w14:solidFill>
                      </w14:textFill>
                    </w:rPr>
                  </w:pPr>
                </w:p>
              </w:tc>
            </w:tr>
          </w:tbl>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3.3.6废水、固废转运途中环境保护目标</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工程废水</w:t>
            </w:r>
            <w:r>
              <w:rPr>
                <w:rFonts w:hint="eastAsia"/>
                <w:color w:val="000000" w:themeColor="text1"/>
                <w14:textFill>
                  <w14:solidFill>
                    <w14:schemeClr w14:val="tx1"/>
                  </w14:solidFill>
                </w14:textFill>
              </w:rPr>
              <w:t>和固废</w:t>
            </w:r>
            <w:r>
              <w:rPr>
                <w:color w:val="000000" w:themeColor="text1"/>
                <w14:textFill>
                  <w14:solidFill>
                    <w14:schemeClr w14:val="tx1"/>
                  </w14:solidFill>
                </w14:textFill>
              </w:rPr>
              <w:t>的转运路线较长，沿途经过的地区多，存在发生事故所引发的此生环境污染。一旦发生交通事故或其他原因导致</w:t>
            </w:r>
            <w:r>
              <w:rPr>
                <w:rFonts w:hint="eastAsia"/>
                <w:color w:val="000000" w:themeColor="text1"/>
                <w14:textFill>
                  <w14:solidFill>
                    <w14:schemeClr w14:val="tx1"/>
                  </w14:solidFill>
                </w14:textFill>
              </w:rPr>
              <w:t>的环境影响为</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外溢</w:t>
            </w:r>
            <w:r>
              <w:rPr>
                <w:rFonts w:hint="eastAsia"/>
                <w:color w:val="000000" w:themeColor="text1"/>
                <w14:textFill>
                  <w14:solidFill>
                    <w14:schemeClr w14:val="tx1"/>
                  </w14:solidFill>
                </w14:textFill>
              </w:rPr>
              <w:t>或固废倾倒而引起所途径</w:t>
            </w:r>
            <w:r>
              <w:rPr>
                <w:color w:val="000000" w:themeColor="text1"/>
                <w14:textFill>
                  <w14:solidFill>
                    <w14:schemeClr w14:val="tx1"/>
                  </w14:solidFill>
                </w14:textFill>
              </w:rPr>
              <w:t>地表水体</w:t>
            </w:r>
            <w:r>
              <w:rPr>
                <w:rFonts w:hint="eastAsia"/>
                <w:color w:val="000000" w:themeColor="text1"/>
                <w14:textFill>
                  <w14:solidFill>
                    <w14:schemeClr w14:val="tx1"/>
                  </w14:solidFill>
                </w14:textFill>
              </w:rPr>
              <w:t>污染事件。此处主要关注废水、固废转运途中途径的地表水体情况。见表3.3-5。</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3.3-5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转运线路沿线大型地表水体情况统计</w:t>
            </w:r>
          </w:p>
          <w:tbl>
            <w:tblPr>
              <w:tblStyle w:val="18"/>
              <w:tblW w:w="82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34"/>
              <w:gridCol w:w="1066"/>
              <w:gridCol w:w="2430"/>
              <w:gridCol w:w="967"/>
              <w:gridCol w:w="11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634"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线路</w:t>
                  </w: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水体名称</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穿越位置与公路的位置关系</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穿越次数</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水域功能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restart"/>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废水转运至</w:t>
                  </w:r>
                  <w:r>
                    <w:rPr>
                      <w:rFonts w:hint="eastAsia"/>
                      <w:color w:val="000000" w:themeColor="text1"/>
                      <w:sz w:val="21"/>
                      <w14:textFill>
                        <w14:solidFill>
                          <w14:schemeClr w14:val="tx1"/>
                        </w14:solidFill>
                      </w14:textFill>
                    </w:rPr>
                    <w:t>四川瑞利生物科技有限公司</w:t>
                  </w:r>
                  <w:r>
                    <w:rPr>
                      <w:color w:val="000000" w:themeColor="text1"/>
                      <w:sz w:val="21"/>
                      <w14:textFill>
                        <w14:solidFill>
                          <w14:schemeClr w14:val="tx1"/>
                        </w14:solidFill>
                      </w14:textFill>
                    </w:rPr>
                    <w:t>废水处理</w:t>
                  </w:r>
                  <w:r>
                    <w:rPr>
                      <w:rFonts w:hint="eastAsia"/>
                      <w:color w:val="000000" w:themeColor="text1"/>
                      <w:sz w:val="21"/>
                      <w14:textFill>
                        <w14:solidFill>
                          <w14:schemeClr w14:val="tx1"/>
                        </w14:solidFill>
                      </w14:textFill>
                    </w:rPr>
                    <w:t>厂</w:t>
                  </w: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琼江河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高速</w:t>
                  </w:r>
                  <w:r>
                    <w:rPr>
                      <w:color w:val="000000" w:themeColor="text1"/>
                      <w:sz w:val="21"/>
                      <w14:textFill>
                        <w14:solidFill>
                          <w14:schemeClr w14:val="tx1"/>
                        </w14:solidFill>
                      </w14:textFill>
                    </w:rPr>
                    <w:t>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濑溪河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窟窿河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restart"/>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一般固废</w:t>
                  </w:r>
                  <w:r>
                    <w:rPr>
                      <w:color w:val="000000" w:themeColor="text1"/>
                      <w:sz w:val="21"/>
                      <w14:textFill>
                        <w14:solidFill>
                          <w14:schemeClr w14:val="tx1"/>
                        </w14:solidFill>
                      </w14:textFill>
                    </w:rPr>
                    <w:t>转运至</w:t>
                  </w:r>
                  <w:r>
                    <w:rPr>
                      <w:rFonts w:hint="eastAsia"/>
                      <w:color w:val="000000" w:themeColor="text1"/>
                      <w:sz w:val="21"/>
                      <w14:textFill>
                        <w14:solidFill>
                          <w14:schemeClr w14:val="tx1"/>
                        </w14:solidFill>
                      </w14:textFill>
                    </w:rPr>
                    <w:t>泸县秀水冠柱建材厂</w:t>
                  </w: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琼江河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高速</w:t>
                  </w:r>
                  <w:r>
                    <w:rPr>
                      <w:color w:val="000000" w:themeColor="text1"/>
                      <w:sz w:val="21"/>
                      <w14:textFill>
                        <w14:solidFill>
                          <w14:schemeClr w14:val="tx1"/>
                        </w14:solidFill>
                      </w14:textFill>
                    </w:rPr>
                    <w:t>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濑溪河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窟窿河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restart"/>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危险固废</w:t>
                  </w:r>
                  <w:r>
                    <w:rPr>
                      <w:color w:val="000000" w:themeColor="text1"/>
                      <w:sz w:val="21"/>
                      <w14:textFill>
                        <w14:solidFill>
                          <w14:schemeClr w14:val="tx1"/>
                        </w14:solidFill>
                      </w14:textFill>
                    </w:rPr>
                    <w:t>转运至</w:t>
                  </w:r>
                  <w:r>
                    <w:rPr>
                      <w:rFonts w:hint="eastAsia"/>
                      <w:color w:val="000000" w:themeColor="text1"/>
                      <w:sz w:val="21"/>
                      <w14:textFill>
                        <w14:solidFill>
                          <w14:schemeClr w14:val="tx1"/>
                        </w14:solidFill>
                      </w14:textFill>
                    </w:rPr>
                    <w:t>珙县易洁环保科技有限公司</w:t>
                  </w: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琼江河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高速</w:t>
                  </w:r>
                  <w:r>
                    <w:rPr>
                      <w:color w:val="000000" w:themeColor="text1"/>
                      <w:sz w:val="21"/>
                      <w14:textFill>
                        <w14:solidFill>
                          <w14:schemeClr w14:val="tx1"/>
                        </w14:solidFill>
                      </w14:textFill>
                    </w:rPr>
                    <w:t>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濑溪河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窟窿河</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沱江</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634" w:type="dxa"/>
                  <w:vMerge w:val="continue"/>
                  <w:vAlign w:val="center"/>
                </w:tcPr>
                <w:p>
                  <w:pPr>
                    <w:pStyle w:val="52"/>
                    <w:spacing w:line="300" w:lineRule="exact"/>
                    <w:ind w:firstLine="0" w:firstLineChars="0"/>
                    <w:jc w:val="center"/>
                    <w:rPr>
                      <w:color w:val="000000" w:themeColor="text1"/>
                      <w:sz w:val="21"/>
                      <w14:textFill>
                        <w14:solidFill>
                          <w14:schemeClr w14:val="tx1"/>
                        </w14:solidFill>
                      </w14:textFill>
                    </w:rPr>
                  </w:pPr>
                </w:p>
              </w:tc>
              <w:tc>
                <w:tcPr>
                  <w:tcW w:w="1066"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长江</w:t>
                  </w:r>
                </w:p>
              </w:tc>
              <w:tc>
                <w:tcPr>
                  <w:tcW w:w="2430"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高速公路桥上穿越</w:t>
                  </w:r>
                </w:p>
              </w:tc>
              <w:tc>
                <w:tcPr>
                  <w:tcW w:w="967"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125" w:type="dxa"/>
                  <w:vAlign w:val="center"/>
                </w:tcPr>
                <w:p>
                  <w:pPr>
                    <w:pStyle w:val="52"/>
                    <w:spacing w:line="300" w:lineRule="exact"/>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Ⅲ类水体</w:t>
                  </w:r>
                </w:p>
              </w:tc>
            </w:tr>
          </w:tbl>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7"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评价</w:t>
            </w:r>
          </w:p>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标准</w:t>
            </w:r>
          </w:p>
        </w:tc>
        <w:tc>
          <w:tcPr>
            <w:tcW w:w="8447" w:type="dxa"/>
          </w:tcPr>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3.4环境质量标准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本项目所在地环境功能区划及执行的环境质量标准见表3.4-1。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表3.4-1   环境所在地环境功能区划及执行标准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76"/>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功能区划及执行标准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二类区，执行《环境空气质量标准》(B3095-2012)中的二级标准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琼江属Ⅲ类水域，执行《地表水环境质量标准》（GB3838- 2002）Ⅲ类标准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2类区，执行《声环境质量标准》（GB3096-2008）2类标准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地下水环境</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Ⅲ类区，执行《地下水质量标准》（GB/T14848- 2017）Ⅲ类标准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执行《土壤环境质量 农用地土壤污染风险管控标准（试行）》（GB15618-2018）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2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生态功能区</w:t>
                  </w:r>
                </w:p>
              </w:tc>
              <w:tc>
                <w:tcPr>
                  <w:tcW w:w="620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IV3-2渝西方山丘陵营养物质保持－水体保护生态功能区</w:t>
                  </w:r>
                </w:p>
              </w:tc>
            </w:tr>
          </w:tbl>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3.5污染物排放标准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本项目执行的污染物排放标准见表3.5-1。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表3.5-1  污染物排放标准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93"/>
              <w:gridCol w:w="6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9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648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执行的排放标准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648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施工期废气排放执行重庆市《大气污染物综合排放标准》（DB50/418-2016）中其他区域标准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648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生活污水采用旱厕收集后农用，不外排。钻井废水在井场进行预处理后回用，不可再回用部分运至附近污水处理厂处理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648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施工噪声执行《建筑施工场界环境噪声排放标准》（GB12523-2011）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9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固体</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废物</w:t>
                  </w:r>
                </w:p>
              </w:tc>
              <w:tc>
                <w:tcPr>
                  <w:tcW w:w="648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水基泥浆钻井固废执行《一般工业固体废物贮存和填埋污染控制标准》（GB18599-2020），外运地方砖厂制砖综合利用；废油按照《危险废物贮存污染控制标准》（GB18597-2001）（2013修订版）相关要求，交由危废资质单位处置</w:t>
                  </w:r>
                </w:p>
              </w:tc>
            </w:tr>
          </w:tbl>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1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w:t>
            </w:r>
          </w:p>
        </w:tc>
        <w:tc>
          <w:tcPr>
            <w:tcW w:w="8447" w:type="dxa"/>
            <w:vAlign w:val="center"/>
          </w:tcPr>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本项目为天然气勘探井钻井工程，只涉及施工期，不涉及地面集输工程，各类污染采取了相应的处理，可实现资源利用或达标排放，同时随着钻井工程的完成而消失，不会造成长期影响，建议不设总量控制指标。</w:t>
            </w:r>
          </w:p>
        </w:tc>
      </w:tr>
    </w:tbl>
    <w:p>
      <w:pPr>
        <w:ind w:firstLine="480"/>
        <w:jc w:val="center"/>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tbl>
      <w:tblPr>
        <w:tblStyle w:val="18"/>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4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752" w:type="dxa"/>
            <w:tcMar>
              <w:left w:w="28" w:type="dxa"/>
              <w:right w:w="28" w:type="dxa"/>
            </w:tcMar>
            <w:vAlign w:val="center"/>
          </w:tcPr>
          <w:p>
            <w:pPr>
              <w:pStyle w:val="15"/>
              <w:rPr>
                <w:color w:val="000000" w:themeColor="text1"/>
                <w:sz w:val="24"/>
                <w:szCs w:val="24"/>
                <w14:textFill>
                  <w14:solidFill>
                    <w14:schemeClr w14:val="tx1"/>
                  </w14:solidFill>
                </w14:textFill>
              </w:rPr>
            </w:pPr>
            <w:bookmarkStart w:id="2" w:name="_Hlk49796138"/>
            <w:r>
              <w:rPr>
                <w:rFonts w:hint="eastAsia"/>
                <w:color w:val="000000" w:themeColor="text1"/>
                <w:sz w:val="24"/>
                <w:szCs w:val="24"/>
                <w14:textFill>
                  <w14:solidFill>
                    <w14:schemeClr w14:val="tx1"/>
                  </w14:solidFill>
                </w14:textFill>
              </w:rPr>
              <w:t>施工期生态环境影响分析</w:t>
            </w:r>
            <w:bookmarkEnd w:id="2"/>
          </w:p>
        </w:tc>
        <w:tc>
          <w:tcPr>
            <w:tcW w:w="8490" w:type="dxa"/>
          </w:tcPr>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工艺流程及产排污简述</w:t>
            </w:r>
          </w:p>
          <w:p>
            <w:pPr>
              <w:adjustRightInd w:val="0"/>
              <w:snapToGrid w:val="0"/>
              <w:outlineLvl w:val="2"/>
              <w:rPr>
                <w:b/>
                <w:bCs/>
                <w:color w:val="000000" w:themeColor="text1"/>
                <w14:textFill>
                  <w14:solidFill>
                    <w14:schemeClr w14:val="tx1"/>
                  </w14:solidFill>
                </w14:textFill>
              </w:rPr>
            </w:pPr>
            <w:r>
              <w:rPr>
                <w:b/>
                <w:bCs/>
                <w:color w:val="000000" w:themeColor="text1"/>
                <w14:textFill>
                  <w14:solidFill>
                    <w14:schemeClr w14:val="tx1"/>
                  </w14:solidFill>
                </w14:textFill>
              </w:rPr>
              <w:t>4.1.1钻前工程</w:t>
            </w:r>
          </w:p>
          <w:p>
            <w:pPr>
              <w:adjustRightInd w:val="0"/>
              <w:snapToGrid w:val="0"/>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钻前工程是为钻井工程进行的前期基础设施建设，</w:t>
            </w:r>
            <w:r>
              <w:rPr>
                <w:rFonts w:hint="eastAsia"/>
                <w:bCs/>
                <w:color w:val="000000" w:themeColor="text1"/>
                <w14:textFill>
                  <w14:solidFill>
                    <w14:schemeClr w14:val="tx1"/>
                  </w14:solidFill>
                </w14:textFill>
              </w:rPr>
              <w:t>主要</w:t>
            </w:r>
            <w:r>
              <w:rPr>
                <w:bCs/>
                <w:color w:val="000000" w:themeColor="text1"/>
                <w14:textFill>
                  <w14:solidFill>
                    <w14:schemeClr w14:val="tx1"/>
                  </w14:solidFill>
                </w14:textFill>
              </w:rPr>
              <w:t>包括</w:t>
            </w:r>
            <w:r>
              <w:rPr>
                <w:rFonts w:hint="eastAsia"/>
                <w:bCs/>
                <w:color w:val="000000" w:themeColor="text1"/>
                <w14:textFill>
                  <w14:solidFill>
                    <w14:schemeClr w14:val="tx1"/>
                  </w14:solidFill>
                </w14:textFill>
              </w:rPr>
              <w:t>井场、</w:t>
            </w:r>
            <w:r>
              <w:rPr>
                <w:bCs/>
                <w:color w:val="000000" w:themeColor="text1"/>
                <w14:textFill>
                  <w14:solidFill>
                    <w14:schemeClr w14:val="tx1"/>
                  </w14:solidFill>
                </w14:textFill>
              </w:rPr>
              <w:t>井口及设备基础及设备运输安装。施工过程及主要环境影响因素见图4.1-1。</w:t>
            </w:r>
          </w:p>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99.75pt;width:374.25pt;" o:ole="t" filled="f" o:preferrelative="t" stroked="f" coordsize="21600,21600">
                  <v:path/>
                  <v:fill on="f" focussize="0,0"/>
                  <v:stroke on="f" joinstyle="miter"/>
                  <v:imagedata r:id="rId26" o:title=""/>
                  <o:lock v:ext="edit" aspectratio="t"/>
                  <w10:wrap type="none"/>
                  <w10:anchorlock/>
                </v:shape>
                <o:OLEObject Type="Embed" ProgID="Visio.Drawing.11" ShapeID="_x0000_i1026" DrawAspect="Content" ObjectID="_1468075726" r:id="rId25">
                  <o:LockedField>false</o:LockedField>
                </o:OLEObject>
              </w:object>
            </w:r>
          </w:p>
          <w:p>
            <w:pPr>
              <w:pStyle w:val="26"/>
              <w:spacing w:line="460" w:lineRule="exact"/>
              <w:rPr>
                <w:color w:val="000000" w:themeColor="text1"/>
                <w14:textFill>
                  <w14:solidFill>
                    <w14:schemeClr w14:val="tx1"/>
                  </w14:solidFill>
                </w14:textFill>
              </w:rPr>
            </w:pPr>
            <w:r>
              <w:rPr>
                <w:color w:val="000000" w:themeColor="text1"/>
                <w14:textFill>
                  <w14:solidFill>
                    <w14:schemeClr w14:val="tx1"/>
                  </w14:solidFill>
                </w14:textFill>
              </w:rPr>
              <w:t>图4.1-1  施工过程及主要环境影响因素</w:t>
            </w:r>
          </w:p>
          <w:p>
            <w:pPr>
              <w:adjustRightInd w:val="0"/>
              <w:snapToGrid w:val="0"/>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.1.2钻井工程</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工程采用常规钻井工艺，包括钻井、固井、完井等作业流程。钻井通过钻机、转盘，带动钻杆切削地层，同时由泥浆泵经钻杆向井内注入高压泥浆，冲刷井底，将切削下的岩屑不断地带至地面，整个过程循环进行，使井不断加深，直至目的井深。钻井中途需要停钻，以便起下钻具更换钻头、下套管、固井和检修设备。钻井作业为24小时连续作业，钻井期间主要的环境影响因素是柴油机、发电机运行时产生废气，钻进、起下钻和固井作业等产生的废水，机械设备运转时产生的噪声，以及钻井岩屑、废弃泥浆等固体废物。</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（1）钻井</w:t>
            </w:r>
          </w:p>
          <w:p>
            <w:pPr>
              <w:adjustRightInd w:val="0"/>
              <w:snapToGrid w:val="0"/>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本项目采用</w:t>
            </w:r>
            <w:r>
              <w:rPr>
                <w:color w:val="000000" w:themeColor="text1"/>
                <w14:textFill>
                  <w14:solidFill>
                    <w14:schemeClr w14:val="tx1"/>
                  </w14:solidFill>
                </w14:textFill>
              </w:rPr>
              <w:t>“导管</w:t>
            </w:r>
            <w:r>
              <w:rPr>
                <w:rFonts w:hint="eastAsia"/>
                <w:color w:val="000000" w:themeColor="text1"/>
                <w14:textFill>
                  <w14:solidFill>
                    <w14:schemeClr w14:val="tx1"/>
                  </w14:solidFill>
                </w14:textFill>
              </w:rPr>
              <w:t>+四开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钻井方式，导管</w:t>
            </w:r>
            <w:r>
              <w:rPr>
                <w:rFonts w:hint="eastAsia"/>
                <w:bCs/>
                <w:color w:val="000000" w:themeColor="text1"/>
                <w14:textFill>
                  <w14:solidFill>
                    <w14:schemeClr w14:val="tx1"/>
                  </w14:solidFill>
                </w14:textFill>
              </w:rPr>
              <w:t>段采用</w:t>
            </w:r>
            <w:r>
              <w:rPr>
                <w:rFonts w:hint="eastAsia"/>
                <w:color w:val="000000" w:themeColor="text1"/>
                <w14:textFill>
                  <w14:solidFill>
                    <w14:schemeClr w14:val="tx1"/>
                  </w14:solidFill>
                </w14:textFill>
              </w:rPr>
              <w:t>膨润土钻井液</w:t>
            </w:r>
            <w:r>
              <w:rPr>
                <w:rFonts w:hint="eastAsia"/>
                <w:bCs/>
                <w:color w:val="000000" w:themeColor="text1"/>
                <w14:textFill>
                  <w14:solidFill>
                    <w14:schemeClr w14:val="tx1"/>
                  </w14:solidFill>
                </w14:textFill>
              </w:rPr>
              <w:t>钻井，一开~四开段采用水基钻井液钻井。钻井液均不涉及有毒有害物质、重金属。</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①导管钻井阶段</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在导管表层钻进阶段，为了保护地表含水层，避免聚合物泥浆等钻井液对地下水环境造成不利影响，建设单位拟采用</w:t>
            </w:r>
            <w:r>
              <w:rPr>
                <w:rFonts w:hint="eastAsia"/>
                <w:color w:val="000000" w:themeColor="text1"/>
                <w14:textFill>
                  <w14:solidFill>
                    <w14:schemeClr w14:val="tx1"/>
                  </w14:solidFill>
                </w14:textFill>
              </w:rPr>
              <w:t>膨润土钻井液</w:t>
            </w:r>
            <w:r>
              <w:rPr>
                <w:rFonts w:hint="eastAsia"/>
                <w:bCs/>
                <w:color w:val="000000" w:themeColor="text1"/>
                <w14:textFill>
                  <w14:solidFill>
                    <w14:schemeClr w14:val="tx1"/>
                  </w14:solidFill>
                </w14:textFill>
              </w:rPr>
              <w:t>钻井工艺进行导管钻井作业。导管段钻进所使用的钻井液为仅含密度约1.06g/cm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的预水化膨润土浆，相比其他泥浆，可大幅降低钻井液对表层地下水的影响，该阶段动力来源于井场内设的网电。</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②一开~四开钻井阶段</w:t>
            </w:r>
          </w:p>
        </w:tc>
      </w:tr>
    </w:tbl>
    <w:p>
      <w:pPr>
        <w:ind w:firstLine="480"/>
        <w:jc w:val="center"/>
        <w:rPr>
          <w:color w:val="000000" w:themeColor="text1"/>
          <w14:textFill>
            <w14:solidFill>
              <w14:schemeClr w14:val="tx1"/>
            </w14:solidFill>
          </w14:textFill>
        </w:rPr>
        <w:sectPr>
          <w:headerReference r:id="rId12" w:type="default"/>
          <w:pgSz w:w="11906" w:h="16838"/>
          <w:pgMar w:top="1440" w:right="1800" w:bottom="1440" w:left="1800" w:header="851" w:footer="992" w:gutter="0"/>
          <w:cols w:space="425" w:num="1"/>
          <w:docGrid w:type="lines" w:linePitch="312" w:charSpace="0"/>
        </w:sectPr>
      </w:pPr>
    </w:p>
    <w:tbl>
      <w:tblPr>
        <w:tblStyle w:val="18"/>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tcMar>
              <w:left w:w="28" w:type="dxa"/>
              <w:right w:w="28"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施工期生态环境影响分析</w:t>
            </w:r>
          </w:p>
        </w:tc>
        <w:tc>
          <w:tcPr>
            <w:tcW w:w="8492" w:type="dxa"/>
          </w:tcPr>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导管段钻井完成后，进入水基钻井阶段，一开、二开、三开、四开均采用水基钻井液。水基钻井阶段采用现场清洁化生产方案，对钻井过程中产生的污染物实行随钻处理。</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钻井过程中，返回地表的钻井岩屑通过泥浆管进入振动筛进行固液分离，将钻井液中粒径大于0.1mm的钻屑留于筛上，振动筛筛下的泥浆直接进入泥浆循环罐暂存，使用时先通过除砂器将粒径大于 0.07mm的钻屑进行分离后再循环用于后续钻井水基钻井液的配浆作业；振动筛的筛上物质和除砂除泥器分离出的细小固相物质则通过螺旋传输器进入清洁化生产区中进行处置，分离出来的废水进入废水罐中，采用物理沉降、机械除渣的方式进行沉淀处理，沉淀后上清液中进入回用罐中，可回用部分用于钻井作业和后续钻井的配浆作业，不可回用部分则通过罐车运至附近工业污水处理厂处理达标后外排；分离的固相物质（水基钻屑）堆存于岩屑收集罐，定期外运砖厂进行资源化利用。</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（2）固井作业</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固井是在已钻成的井眼内下入套管，然后在套管与井壁之间环空内注入水泥浆将套管和地层固结在一起的工艺过程，可保证钻井安全。</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固井工程包括下套管和注水泥两个过程。下套管就是在已经钻成的井眼中按规定深度下入一定直径、由某种或几种不同钢级及壁厚的套管组成的套管柱。</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注水泥就是在地面上将水泥浆通过套管柱注入到井眼与套管柱之间的环形空间中的过程。固井的主要目的是封隔疏松的易塌、易漏地层；封隔油、气、水层，防止互相窜漏，防止钻遇气层天然气泄漏。固井作业的主要设备有下灰罐车、混合漏斗和其他附属安全放喷设备等。</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固井过程采用特种水泥由供应厂家按作业要求配制完成，然后由灰罐车直接密闭运至作业场地，灰罐车内设搅拌设备，现场按配比由泵吸入液相配制液后，通过密闭搅拌，制成所需特种水泥，进行固井作业。此过程中在密闭罐内进行，无粉尘产生，仅搅拌过程产生设备噪声，配置过程中应加强管理，防治粉尘产生。</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（3）完井作业</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当钻井钻至目的层后，对气井进行完井作业，以取得该井施工段流体性质、测试产能、地层压力等详细工程资料。完井作业包括洗井、射孔、气井酸化作业、测试放喷等过程。</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①洗井</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完钻后首先要进行洗井作业，采用清水对套管进行清洗；根据类比调查，单口井洗井所需清水量与最终返排出的水量大致相当，约110m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。大部分洗井废水从井口返排，进入废水罐中；少部分洗井废水从放喷口返排，经燃烧池侧面的混凝土明沟进入集酸池，然后泵入废水罐中；经预处理后采用罐车运至附近工业污水处理厂处理达标后排放。</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②射孔完井</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工程采用射孔完井方式。射孔完井是指下入油层套管封固产层后再用射孔弹将套管、水泥环、部分产层射穿，形成油气流通通道。射穿产层后油气井的生产能力受产层压力、产层性质、射孔参数及质量影响。射孔噪声一般产生在地表以下上千米的产层，不会对地表的声环境造成影响。</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③气井酸化作业</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射孔完毕后，为了消除井筒附近地层渗透率降低的不良影响，以达到增产的目的，在测试放喷前需要对气井进行酸化处理，酸化液的主要成分为HCl，项目井型为定向井，根据类比调查，单口井酸化液的用量约1200m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，在完井测试阶段从井底返排出来（约1120m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）。在完井测试阶段从井底返排出来进入废水罐中加碱中和后，最终运送至附近工业污水处理厂处理。</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④测试放喷</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为了解气井的产气量，在完井后，需进行测试。测试放喷是在射孔作业后，利用测试放喷专用管线将井内油气引至燃烧池点火燃烧对油气井进行产量测试的过程。单井测试放喷时间约1~2天，依据测试气量，间歇性放喷，每次持续放喷时间约3h。</w:t>
            </w:r>
          </w:p>
          <w:p>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（4）完井搬迁</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完井测试结果若表明该井有工业开采价值，则进行后续的试采工程，并单独开展环评工作。若该井不产油气或无工业开采价值，则将井关闭。完井搬迁前钻后污染物应得到妥善处理，做到工完、料净、场地清，井场应恢复其原来的土地利用状况或者按土地承包人的意愿转换土地用。</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4.2</w:t>
            </w:r>
            <w:r>
              <w:rPr>
                <w:color w:val="000000" w:themeColor="text1"/>
                <w14:textFill>
                  <w14:solidFill>
                    <w14:schemeClr w14:val="tx1"/>
                  </w14:solidFill>
                </w14:textFill>
              </w:rPr>
              <w:t>污染物产生及排放情况</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4.2.1生态影响</w:t>
            </w:r>
          </w:p>
          <w:p>
            <w:pPr>
              <w:adjustRightInd w:val="0"/>
              <w:snapToGrid w:val="0"/>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本项目钻前工程对生态环境的影响因素包括工程占地、土石方开挖、回填等活动对土地的扰动作用，项目生态影响主要包括植被破坏、改变土地利用性质、造成水土流失等</w:t>
            </w:r>
            <w:r>
              <w:rPr>
                <w:rFonts w:hint="eastAsia"/>
                <w:bCs/>
                <w:color w:val="000000" w:themeColor="text1"/>
                <w14:textFill>
                  <w14:solidFill>
                    <w14:schemeClr w14:val="tx1"/>
                  </w14:solidFill>
                </w14:textFill>
              </w:rPr>
              <w:t>。</w:t>
            </w:r>
          </w:p>
          <w:p>
            <w:pPr>
              <w:adjustRightInd w:val="0"/>
              <w:snapToGrid w:val="0"/>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.2.2</w:t>
            </w:r>
            <w:r>
              <w:rPr>
                <w:rFonts w:hint="eastAsia"/>
                <w:b/>
                <w:bCs/>
                <w:color w:val="000000" w:themeColor="text1"/>
                <w14:textFill>
                  <w14:solidFill>
                    <w14:schemeClr w14:val="tx1"/>
                  </w14:solidFill>
                </w14:textFill>
              </w:rPr>
              <w:t>废气</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（1）钻前</w:t>
            </w:r>
            <w:r>
              <w:rPr>
                <w:color w:val="000000" w:themeColor="text1"/>
                <w14:textFill>
                  <w14:solidFill>
                    <w14:schemeClr w14:val="tx1"/>
                  </w14:solidFill>
                </w14:textFill>
              </w:rPr>
              <w:t>工程</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钻前工程废气主要</w:t>
            </w:r>
            <w:r>
              <w:rPr>
                <w:bCs/>
                <w:color w:val="000000" w:themeColor="text1"/>
                <w14:textFill>
                  <w14:solidFill>
                    <w14:schemeClr w14:val="tx1"/>
                  </w14:solidFill>
                </w14:textFill>
              </w:rPr>
              <w:t>为土石方开挖、材料运输、卸放等过程中产生的扬尘，主要污染物为</w:t>
            </w:r>
            <w:r>
              <w:rPr>
                <w:rFonts w:hint="eastAsia"/>
                <w:bCs/>
                <w:color w:val="000000" w:themeColor="text1"/>
                <w14:textFill>
                  <w14:solidFill>
                    <w14:schemeClr w14:val="tx1"/>
                  </w14:solidFill>
                </w14:textFill>
              </w:rPr>
              <w:t>颗粒物，</w:t>
            </w:r>
            <w:r>
              <w:rPr>
                <w:bCs/>
                <w:color w:val="000000" w:themeColor="text1"/>
                <w14:textFill>
                  <w14:solidFill>
                    <w14:schemeClr w14:val="tx1"/>
                  </w14:solidFill>
                </w14:textFill>
              </w:rPr>
              <w:t>钻前工程施工期短暂，扬尘产生量小</w:t>
            </w:r>
            <w:r>
              <w:rPr>
                <w:rFonts w:hint="eastAsia"/>
                <w:bCs/>
                <w:color w:val="000000" w:themeColor="text1"/>
                <w14:textFill>
                  <w14:solidFill>
                    <w14:schemeClr w14:val="tx1"/>
                  </w14:solidFill>
                </w14:textFill>
              </w:rPr>
              <w:t>。</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（2）钻井工程</w:t>
            </w:r>
          </w:p>
          <w:p>
            <w:pPr>
              <w:adjustRightInd w:val="0"/>
              <w:snapToGri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钻井</w:t>
            </w:r>
            <w:r>
              <w:rPr>
                <w:rFonts w:hint="eastAsia"/>
                <w:color w:val="000000" w:themeColor="text1"/>
                <w14:textFill>
                  <w14:solidFill>
                    <w14:schemeClr w14:val="tx1"/>
                  </w14:solidFill>
                </w14:textFill>
              </w:rPr>
              <w:t>工程废气主要包括备用柴油机、发电机产生的废气、测试放喷和事故放喷废气等。</w:t>
            </w:r>
          </w:p>
          <w:p>
            <w:pPr>
              <w:adjustRightInd w:val="0"/>
              <w:snapToGrid w:val="0"/>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①备用柴油机组燃烧废气</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采用ZJ70D钻机钻井，钻井作业时，配置2组柴油发电机（备用），运行负荷810kw，油耗180g/（kw/h），单台发电机耗油量约145.8kg/h，项目钻井工程周期约10个月，参考合深4井、合深5井等钻井情况，预计备用柴油发电机单台运行时间约120h，其他为起下钻、固井等作业时间。则单台柴油机总油耗约为17.5t。</w:t>
            </w:r>
          </w:p>
          <w:p>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拟建项目使用的为合格的轻质环保型成品柴油，此类柴油燃烧主要污染因子为NOx和少量烟尘等。柴油燃烧过程烟尘和NOx排放系数</w:t>
            </w:r>
            <w:r>
              <w:rPr>
                <w:rFonts w:hint="eastAsia"/>
                <w:color w:val="000000" w:themeColor="text1"/>
                <w14:textFill>
                  <w14:solidFill>
                    <w14:schemeClr w14:val="tx1"/>
                  </w14:solidFill>
                </w14:textFill>
              </w:rPr>
              <w:t>分别</w:t>
            </w:r>
            <w:r>
              <w:rPr>
                <w:color w:val="000000" w:themeColor="text1"/>
                <w14:textFill>
                  <w14:solidFill>
                    <w14:schemeClr w14:val="tx1"/>
                  </w14:solidFill>
                </w14:textFill>
              </w:rPr>
              <w:t>参考《固定污染源监测质量保证与质量控制技术规范》（HJ/T373-2007）</w:t>
            </w:r>
            <w:r>
              <w:rPr>
                <w:rFonts w:hint="eastAsia"/>
                <w:color w:val="000000" w:themeColor="text1"/>
                <w14:textFill>
                  <w14:solidFill>
                    <w14:schemeClr w14:val="tx1"/>
                  </w14:solidFill>
                </w14:textFill>
              </w:rPr>
              <w:t>中5.3.3、</w:t>
            </w:r>
            <w:r>
              <w:rPr>
                <w:color w:val="000000" w:themeColor="text1"/>
                <w14:textFill>
                  <w14:solidFill>
                    <w14:schemeClr w14:val="tx1"/>
                  </w14:solidFill>
                </w14:textFill>
              </w:rPr>
              <w:t>5.3.5提出的系数计算，即烟尘为1.6kg/t柴油、NOx为9.62kg/t柴油，则烟尘</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排放量</w:t>
            </w:r>
            <w:r>
              <w:rPr>
                <w:rFonts w:hint="eastAsia"/>
                <w:color w:val="000000" w:themeColor="text1"/>
                <w14:textFill>
                  <w14:solidFill>
                    <w14:schemeClr w14:val="tx1"/>
                  </w14:solidFill>
                </w14:textFill>
              </w:rPr>
              <w:t>约56.0</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（0.47kg/h）</w:t>
            </w:r>
            <w:r>
              <w:rPr>
                <w:color w:val="000000" w:themeColor="text1"/>
                <w14:textFill>
                  <w14:solidFill>
                    <w14:schemeClr w14:val="tx1"/>
                  </w14:solidFill>
                </w14:textFill>
              </w:rPr>
              <w:t>，NOx排放量</w:t>
            </w:r>
            <w:r>
              <w:rPr>
                <w:rFonts w:hint="eastAsia"/>
                <w:color w:val="000000" w:themeColor="text1"/>
                <w14:textFill>
                  <w14:solidFill>
                    <w14:schemeClr w14:val="tx1"/>
                  </w14:solidFill>
                </w14:textFill>
              </w:rPr>
              <w:t>约为336.7</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2.81</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p>
            <w:pPr>
              <w:adjustRightInd w:val="0"/>
              <w:snapToGrid w:val="0"/>
              <w:ind w:firstLine="480" w:firstLineChars="200"/>
              <w:rPr>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②</w:t>
            </w:r>
            <w:r>
              <w:rPr>
                <w:rFonts w:hint="eastAsia"/>
                <w:color w:val="000000" w:themeColor="text1"/>
                <w14:textFill>
                  <w14:solidFill>
                    <w14:schemeClr w14:val="tx1"/>
                  </w14:solidFill>
                </w14:textFill>
              </w:rPr>
              <w:t>测试</w:t>
            </w:r>
            <w:r>
              <w:rPr>
                <w:color w:val="000000" w:themeColor="text1"/>
                <w14:textFill>
                  <w14:solidFill>
                    <w14:schemeClr w14:val="tx1"/>
                  </w14:solidFill>
                </w14:textFill>
              </w:rPr>
              <w:t>放喷废气</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为了解气井产层的产气量，在完井后，需进行测试放喷，测试放喷产生的废气量取决于所钻井的产气量和测试时间，一般产量大的井其放喷量也较大。测试放喷的天然气经点火燃烧，其主要污染物为SO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。测试放喷时间一般为3小时，属短期排放。项目目的层测试放喷（测试时间3h）天然气在燃烧池内，经排气筒高度为1m的对空短火焰燃烧器点火燃烧后排放（火炬源排放），经</w:t>
            </w:r>
            <w:r>
              <w:rPr>
                <w:rFonts w:hint="eastAsia"/>
                <w:color w:val="000000" w:themeColor="text1"/>
                <w14:textFill>
                  <w14:solidFill>
                    <w14:schemeClr w14:val="tx1"/>
                  </w14:solidFill>
                </w14:textFill>
              </w:rPr>
              <w:t>燃烧池点燃</w:t>
            </w:r>
            <w:r>
              <w:rPr>
                <w:color w:val="000000" w:themeColor="text1"/>
                <w14:textFill>
                  <w14:solidFill>
                    <w14:schemeClr w14:val="tx1"/>
                  </w14:solidFill>
                </w14:textFill>
              </w:rPr>
              <w:t>后，1m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天然气燃烧后产生的烟气量为10.5m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，天然气燃烧热值取为34.870MJ/m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autoSpaceDE w:val="0"/>
              <w:autoSpaceDN w:val="0"/>
              <w:adjustRightInd w:val="0"/>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根据钻井设计，参考高石16井测试结果</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预计</w:t>
            </w:r>
            <w:r>
              <w:rPr>
                <w:color w:val="000000" w:themeColor="text1"/>
                <w14:textFill>
                  <w14:solidFill>
                    <w14:schemeClr w14:val="tx1"/>
                  </w14:solidFill>
                </w14:textFill>
              </w:rPr>
              <w:t>测试放喷期间天然气放喷量</w:t>
            </w:r>
            <w:r>
              <w:rPr>
                <w:rFonts w:hint="eastAsia"/>
                <w:color w:val="000000" w:themeColor="text1"/>
                <w14:textFill>
                  <w14:solidFill>
                    <w14:schemeClr w14:val="tx1"/>
                  </w14:solidFill>
                </w14:textFill>
              </w:rPr>
              <w:t>为6.811</w:t>
            </w: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77.36</w:t>
            </w:r>
            <w:r>
              <w:rPr>
                <w:color w:val="000000" w:themeColor="text1"/>
                <w14:textFill>
                  <w14:solidFill>
                    <w14:schemeClr w14:val="tx1"/>
                  </w14:solidFill>
                </w14:textFill>
              </w:rPr>
              <w:t>t），经点火燃烧后其主要污染物为SO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。NOx排放量根据《工业污染源产排污系数手册》（2010年修订版），天然气燃烧NOx产污系数按18.71kg/10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计算；SO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最大排放量根据物料平衡计算，则拟建项目天然气放喷废气各类污染物最大排放量如下：</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灯影组四段</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0.128</w:t>
            </w:r>
            <w:r>
              <w:rPr>
                <w:color w:val="000000" w:themeColor="text1"/>
                <w14:textFill>
                  <w14:solidFill>
                    <w14:schemeClr w14:val="tx1"/>
                  </w14:solidFill>
                </w14:textFill>
              </w:rPr>
              <w:t>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0.606</w:t>
            </w:r>
            <w:r>
              <w:rPr>
                <w:color w:val="000000" w:themeColor="text1"/>
                <w14:textFill>
                  <w14:solidFill>
                    <w14:schemeClr w14:val="tx1"/>
                  </w14:solidFill>
                </w14:textFill>
              </w:rPr>
              <w:t>t、CO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106.29</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③非正常生产时事故放喷天然气经点燃后排放废气</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含硫化氢天然气井失控井口点火时间规定》（AQ2016-2008）、《含硫化氢天然气井公众危害程度分级方法》（AQ2017-2008）等规范要求，含硫化氢天然气井发生井喷，至少应在15min内实施井口点火，则点火前主要污染物是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S，点火后主要污染物是SO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，产生量小且时间短暂，最周围环境影响较小</w:t>
            </w:r>
            <w:r>
              <w:rPr>
                <w:color w:val="000000" w:themeColor="text1"/>
                <w14:textFill>
                  <w14:solidFill>
                    <w14:schemeClr w14:val="tx1"/>
                  </w14:solidFill>
                </w14:textFill>
              </w:rPr>
              <w:t>。</w:t>
            </w:r>
          </w:p>
          <w:p>
            <w:pPr>
              <w:adjustRightInd w:val="0"/>
              <w:snapToGrid w:val="0"/>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.2.3</w:t>
            </w:r>
            <w:r>
              <w:rPr>
                <w:rFonts w:hint="eastAsia"/>
                <w:b/>
                <w:bCs/>
                <w:color w:val="000000" w:themeColor="text1"/>
                <w14:textFill>
                  <w14:solidFill>
                    <w14:schemeClr w14:val="tx1"/>
                  </w14:solidFill>
                </w14:textFill>
              </w:rPr>
              <w:t>废水</w:t>
            </w:r>
          </w:p>
          <w:p>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（1）钻前工程</w:t>
            </w:r>
          </w:p>
          <w:p>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钻前工程废水包括施工废水和施工人员生活污水。</w:t>
            </w:r>
          </w:p>
          <w:p>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施工废水主要为井场基础建设时砂石骨料加工等产生的含SS废水，</w:t>
            </w:r>
            <w:r>
              <w:rPr>
                <w:rFonts w:hint="eastAsia"/>
                <w:bCs/>
                <w:color w:val="000000" w:themeColor="text1"/>
                <w14:textFill>
                  <w14:solidFill>
                    <w14:schemeClr w14:val="tx1"/>
                  </w14:solidFill>
                </w14:textFill>
              </w:rPr>
              <w:t>类比同类工程，产生量约为2m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w:t>
            </w:r>
            <w:r>
              <w:rPr>
                <w:bCs/>
                <w:color w:val="000000" w:themeColor="text1"/>
                <w14:textFill>
                  <w14:solidFill>
                    <w14:schemeClr w14:val="tx1"/>
                  </w14:solidFill>
                </w14:textFill>
              </w:rPr>
              <w:t>施工废水经沉淀处理后回用。</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钻前工程</w:t>
            </w:r>
            <w:r>
              <w:rPr>
                <w:bCs/>
                <w:color w:val="000000" w:themeColor="text1"/>
                <w14:textFill>
                  <w14:solidFill>
                    <w14:schemeClr w14:val="tx1"/>
                  </w14:solidFill>
                </w14:textFill>
              </w:rPr>
              <w:t>施工人员约为20人，生活用水量</w:t>
            </w:r>
            <w:r>
              <w:rPr>
                <w:color w:val="000000" w:themeColor="text1"/>
                <w14:textFill>
                  <w14:solidFill>
                    <w14:schemeClr w14:val="tx1"/>
                  </w14:solidFill>
                </w14:textFill>
              </w:rPr>
              <w:t>按120L/d人计算，</w:t>
            </w:r>
            <w:r>
              <w:rPr>
                <w:bCs/>
                <w:color w:val="000000" w:themeColor="text1"/>
                <w14:textFill>
                  <w14:solidFill>
                    <w14:schemeClr w14:val="tx1"/>
                  </w14:solidFill>
                </w14:textFill>
              </w:rPr>
              <w:t>工期约为30天，则生活用水量为72m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(2.4m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color w:val="000000" w:themeColor="text1"/>
                <w14:textFill>
                  <w14:solidFill>
                    <w14:schemeClr w14:val="tx1"/>
                  </w14:solidFill>
                </w14:textFill>
              </w:rPr>
              <w:t>排污系数取0.80，生活污水量为57.6m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(1.92</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/d)。生活污水主要污染物为COD、BOD</w:t>
            </w:r>
            <w:r>
              <w:rPr>
                <w:bCs/>
                <w:color w:val="000000" w:themeColor="text1"/>
                <w:vertAlign w:val="subscript"/>
                <w14:textFill>
                  <w14:solidFill>
                    <w14:schemeClr w14:val="tx1"/>
                  </w14:solidFill>
                </w14:textFill>
              </w:rPr>
              <w:t>5</w:t>
            </w:r>
            <w:r>
              <w:rPr>
                <w:bCs/>
                <w:color w:val="000000" w:themeColor="text1"/>
                <w14:textFill>
                  <w14:solidFill>
                    <w14:schemeClr w14:val="tx1"/>
                  </w14:solidFill>
                </w14:textFill>
              </w:rPr>
              <w:t>、SS和NH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-N，浓度分别为400mg/L、200mg/L、250mg/L、25mg/L。钻前工程施工人员租住附近民房，不设施工营地，生活污水利用当地旱厕等设施处置，作为农肥使用。</w:t>
            </w:r>
          </w:p>
          <w:p>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（2）钻井工程</w:t>
            </w:r>
          </w:p>
          <w:p>
            <w:pPr>
              <w:pStyle w:val="35"/>
              <w:adjustRightInd w:val="0"/>
              <w:snapToGrid w:val="0"/>
              <w:spacing w:line="460" w:lineRule="exact"/>
              <w:ind w:firstLine="48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本项目严格实施雨污分流，井场四周设置有雨水排水沟，场外雨水随雨水沟排放。</w:t>
            </w:r>
          </w:p>
          <w:p>
            <w:pPr>
              <w:pStyle w:val="35"/>
              <w:adjustRightInd w:val="0"/>
              <w:snapToGrid w:val="0"/>
              <w:spacing w:line="460" w:lineRule="exact"/>
              <w:ind w:firstLine="48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钻井期间产生的废水主要包括钻井废水、洗井废水、酸化废水、方井雨水和生活污水。钻井废水、洗井废水、酸化废水和方井雨水均汇至井场清洁化操作平台进行随钻处理。生活污水经旱厕收集处理后用作农肥，不外排。</w:t>
            </w:r>
          </w:p>
          <w:p>
            <w:pPr>
              <w:pStyle w:val="35"/>
              <w:spacing w:line="460" w:lineRule="exact"/>
              <w:ind w:firstLine="48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①钻井废水</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钻井过程中产生的钻井废水主要包括导管钻、一开~四开水基钻井液钻进阶段产生的废水。</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钻井液在返回地面后，大部分水随泥浆进入泥浆循环系统回用，小部分水随振动筛、离心机和除砂除泥器分离出的钻屑进入清洁生产操作平台，经固液分离后在回用罐中暂存后，优先回用于配置钻井液，不可回用部分进入废水罐，经预处理后随钻委托有资质的第三方单位外运处理。</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bCs/>
                <w:color w:val="000000" w:themeColor="text1"/>
                <w14:textFill>
                  <w14:solidFill>
                    <w14:schemeClr w14:val="tx1"/>
                  </w14:solidFill>
                </w14:textFill>
              </w:rPr>
              <w:t>《排放源统计调查产排污核算方法和系数手册》中1</w:t>
            </w:r>
            <w:r>
              <w:rPr>
                <w:bCs/>
                <w:color w:val="000000" w:themeColor="text1"/>
                <w14:textFill>
                  <w14:solidFill>
                    <w14:schemeClr w14:val="tx1"/>
                  </w14:solidFill>
                </w14:textFill>
              </w:rPr>
              <w:t>120</w:t>
            </w:r>
            <w:r>
              <w:rPr>
                <w:rFonts w:hint="eastAsia"/>
                <w:bCs/>
                <w:color w:val="000000" w:themeColor="text1"/>
                <w14:textFill>
                  <w14:solidFill>
                    <w14:schemeClr w14:val="tx1"/>
                  </w14:solidFill>
                </w14:textFill>
              </w:rPr>
              <w:t>《石油和天然气开采专业及辅助性活动行业系数手册》，</w:t>
            </w:r>
            <w:r>
              <w:rPr>
                <w:rFonts w:hint="eastAsia"/>
                <w:color w:val="000000" w:themeColor="text1"/>
                <w14:textFill>
                  <w14:solidFill>
                    <w14:schemeClr w14:val="tx1"/>
                  </w14:solidFill>
                </w14:textFill>
              </w:rPr>
              <w:t>钻井作业（普通气井）≤2千米进尺废水量为54.94t/100m，2~4千米进尺废水量为46.41t/100m，</w:t>
            </w:r>
            <w:r>
              <w:rPr>
                <w:rFonts w:hint="eastAsia" w:ascii="宋体" w:hAnsi="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rFonts w:hint="eastAsia" w:ascii="宋体" w:hAnsi="宋体" w:cs="宋体"/>
                <w:color w:val="000000" w:themeColor="text1"/>
                <w14:textFill>
                  <w14:solidFill>
                    <w14:schemeClr w14:val="tx1"/>
                  </w14:solidFill>
                </w14:textFill>
              </w:rPr>
              <w:t>千米进尺废水量为</w:t>
            </w:r>
            <w:r>
              <w:rPr>
                <w:rFonts w:hint="eastAsia"/>
                <w:color w:val="000000" w:themeColor="text1"/>
                <w14:textFill>
                  <w14:solidFill>
                    <w14:schemeClr w14:val="tx1"/>
                  </w14:solidFill>
                </w14:textFill>
              </w:rPr>
              <w:t>52.64t/100m，工程井深5500m，经计算工程废水量产生量约为2816.6t</w:t>
            </w:r>
            <w:r>
              <w:rPr>
                <w:rFonts w:hint="eastAsia"/>
                <w:color w:val="000000" w:themeColor="text1"/>
                <w:kern w:val="0"/>
                <w14:textFill>
                  <w14:solidFill>
                    <w14:schemeClr w14:val="tx1"/>
                  </w14:solidFill>
                </w14:textFill>
              </w:rPr>
              <w:t>。</w:t>
            </w:r>
            <w:r>
              <w:rPr>
                <w:rFonts w:hint="eastAsia"/>
                <w:color w:val="000000" w:themeColor="text1"/>
                <w14:textFill>
                  <w14:solidFill>
                    <w14:schemeClr w14:val="tx1"/>
                  </w14:solidFill>
                </w14:textFill>
              </w:rPr>
              <w:t>参考邻区同类型项目类比调查，常规钻井阶段损耗量约5%，回用率按85%计。钻井过程中产生的废水经清洁化生产操作平台处理后回用于配制钻井液，钻井过程中</w:t>
            </w:r>
            <w:r>
              <w:rPr>
                <w:rFonts w:hint="eastAsia"/>
                <w:color w:val="000000" w:themeColor="text1"/>
                <w:kern w:val="0"/>
                <w14:textFill>
                  <w14:solidFill>
                    <w14:schemeClr w14:val="tx1"/>
                  </w14:solidFill>
                </w14:textFill>
              </w:rPr>
              <w:t>剩余废水经井场内废水罐暂存后，拟</w:t>
            </w:r>
            <w:r>
              <w:rPr>
                <w:rFonts w:hint="eastAsia"/>
                <w:color w:val="000000" w:themeColor="text1"/>
                <w14:textFill>
                  <w14:solidFill>
                    <w14:schemeClr w14:val="tx1"/>
                  </w14:solidFill>
                </w14:textFill>
              </w:rPr>
              <w:t>外运至</w:t>
            </w:r>
            <w:r>
              <w:rPr>
                <w:color w:val="000000" w:themeColor="text1"/>
                <w14:textFill>
                  <w14:solidFill>
                    <w14:schemeClr w14:val="tx1"/>
                  </w14:solidFill>
                </w14:textFill>
              </w:rPr>
              <w:t>四川瑞利生物科技有限公司</w:t>
            </w:r>
            <w:r>
              <w:rPr>
                <w:rFonts w:hint="eastAsia"/>
                <w:color w:val="000000" w:themeColor="text1"/>
                <w14:textFill>
                  <w14:solidFill>
                    <w14:schemeClr w14:val="tx1"/>
                  </w14:solidFill>
                </w14:textFill>
              </w:rPr>
              <w:t>或其他第三方资质单位</w:t>
            </w:r>
            <w:r>
              <w:rPr>
                <w:color w:val="000000" w:themeColor="text1"/>
                <w14:textFill>
                  <w14:solidFill>
                    <w14:schemeClr w14:val="tx1"/>
                  </w14:solidFill>
                </w14:textFill>
              </w:rPr>
              <w:t>处置达标</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w:t>
            </w:r>
          </w:p>
          <w:p>
            <w:pPr>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拟建项目用水及废水产生情况见下表。</w:t>
            </w:r>
          </w:p>
          <w:p>
            <w:pPr>
              <w:pStyle w:val="26"/>
              <w:rPr>
                <w:color w:val="000000" w:themeColor="text1"/>
                <w14:textFill>
                  <w14:solidFill>
                    <w14:schemeClr w14:val="tx1"/>
                  </w14:solidFill>
                </w14:textFill>
              </w:rPr>
            </w:pPr>
            <w:r>
              <w:rPr>
                <w:color w:val="000000" w:themeColor="text1"/>
                <w14:textFill>
                  <w14:solidFill>
                    <w14:schemeClr w14:val="tx1"/>
                  </w14:solidFill>
                </w14:textFill>
              </w:rPr>
              <w:t xml:space="preserve">表4.2-2  </w:t>
            </w:r>
            <w:r>
              <w:rPr>
                <w:rFonts w:hint="eastAsia"/>
                <w:color w:val="000000" w:themeColor="text1"/>
                <w14:textFill>
                  <w14:solidFill>
                    <w14:schemeClr w14:val="tx1"/>
                  </w14:solidFill>
                </w14:textFill>
              </w:rPr>
              <w:t xml:space="preserve"> 钻井</w:t>
            </w:r>
            <w:r>
              <w:rPr>
                <w:color w:val="000000" w:themeColor="text1"/>
                <w14:textFill>
                  <w14:solidFill>
                    <w14:schemeClr w14:val="tx1"/>
                  </w14:solidFill>
                </w14:textFill>
              </w:rPr>
              <w:t xml:space="preserve">废水产生一览表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单位：m</w:t>
            </w:r>
            <w:r>
              <w:rPr>
                <w:color w:val="000000" w:themeColor="text1"/>
                <w:vertAlign w:val="superscript"/>
                <w14:textFill>
                  <w14:solidFill>
                    <w14:schemeClr w14:val="tx1"/>
                  </w14:solidFill>
                </w14:textFill>
              </w:rPr>
              <w:t>3</w:t>
            </w:r>
          </w:p>
          <w:tbl>
            <w:tblPr>
              <w:tblStyle w:val="18"/>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893"/>
              <w:gridCol w:w="1326"/>
              <w:gridCol w:w="1017"/>
              <w:gridCol w:w="101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9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井号</w:t>
                  </w:r>
                </w:p>
              </w:tc>
              <w:tc>
                <w:tcPr>
                  <w:tcW w:w="69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钻井</w:t>
                  </w:r>
                  <w:r>
                    <w:rPr>
                      <w:color w:val="000000" w:themeColor="text1"/>
                      <w14:textFill>
                        <w14:solidFill>
                          <w14:schemeClr w14:val="tx1"/>
                        </w14:solidFill>
                      </w14:textFill>
                    </w:rPr>
                    <w:t>深度</w:t>
                  </w:r>
                  <w:r>
                    <w:rPr>
                      <w:rFonts w:hint="eastAsia"/>
                      <w:color w:val="000000" w:themeColor="text1"/>
                      <w14:textFill>
                        <w14:solidFill>
                          <w14:schemeClr w14:val="tx1"/>
                        </w14:solidFill>
                      </w14:textFill>
                    </w:rPr>
                    <w:t>（m）</w:t>
                  </w:r>
                </w:p>
              </w:tc>
              <w:tc>
                <w:tcPr>
                  <w:tcW w:w="54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水</w:t>
                  </w:r>
                </w:p>
                <w:p>
                  <w:pPr>
                    <w:pStyle w:val="30"/>
                    <w:rPr>
                      <w:color w:val="000000" w:themeColor="text1"/>
                      <w14:textFill>
                        <w14:solidFill>
                          <w14:schemeClr w14:val="tx1"/>
                        </w14:solidFill>
                      </w14:textFill>
                    </w:rPr>
                  </w:pPr>
                  <w:r>
                    <w:rPr>
                      <w:color w:val="000000" w:themeColor="text1"/>
                      <w14:textFill>
                        <w14:solidFill>
                          <w14:schemeClr w14:val="tx1"/>
                        </w14:solidFill>
                      </w14:textFill>
                    </w:rPr>
                    <w:t>用量</w:t>
                  </w:r>
                </w:p>
              </w:tc>
              <w:tc>
                <w:tcPr>
                  <w:tcW w:w="80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补充水</w:t>
                  </w:r>
                  <w:r>
                    <w:rPr>
                      <w:color w:val="000000" w:themeColor="text1"/>
                      <w14:textFill>
                        <w14:solidFill>
                          <w14:schemeClr w14:val="tx1"/>
                        </w14:solidFill>
                      </w14:textFill>
                    </w:rPr>
                    <w:t>量</w:t>
                  </w:r>
                </w:p>
              </w:tc>
              <w:tc>
                <w:tcPr>
                  <w:tcW w:w="62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损耗量</w:t>
                  </w:r>
                </w:p>
              </w:tc>
              <w:tc>
                <w:tcPr>
                  <w:tcW w:w="61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回用量</w:t>
                  </w:r>
                </w:p>
              </w:tc>
              <w:tc>
                <w:tcPr>
                  <w:tcW w:w="1026"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剩余</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量</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（外运处置量）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9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合深9井</w:t>
                  </w:r>
                </w:p>
              </w:tc>
              <w:tc>
                <w:tcPr>
                  <w:tcW w:w="69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5500</w:t>
                  </w:r>
                </w:p>
              </w:tc>
              <w:tc>
                <w:tcPr>
                  <w:tcW w:w="544" w:type="pct"/>
                  <w:noWrap/>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2965.3</w:t>
                  </w:r>
                </w:p>
              </w:tc>
              <w:tc>
                <w:tcPr>
                  <w:tcW w:w="80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570.8</w:t>
                  </w:r>
                </w:p>
              </w:tc>
              <w:tc>
                <w:tcPr>
                  <w:tcW w:w="62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148.3</w:t>
                  </w:r>
                </w:p>
              </w:tc>
              <w:tc>
                <w:tcPr>
                  <w:tcW w:w="61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2394.5</w:t>
                  </w:r>
                </w:p>
              </w:tc>
              <w:tc>
                <w:tcPr>
                  <w:tcW w:w="1026"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422.6</w:t>
                  </w:r>
                </w:p>
              </w:tc>
            </w:tr>
          </w:tbl>
          <w:p>
            <w:pPr>
              <w:pStyle w:val="9"/>
              <w:tabs>
                <w:tab w:val="left" w:pos="2321"/>
              </w:tabs>
              <w:spacing w:after="0" w:line="440" w:lineRule="exact"/>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钻井废水</w:t>
            </w:r>
            <w:r>
              <w:rPr>
                <w:color w:val="000000" w:themeColor="text1"/>
                <w:sz w:val="24"/>
                <w14:textFill>
                  <w14:solidFill>
                    <w14:schemeClr w14:val="tx1"/>
                  </w14:solidFill>
                </w14:textFill>
              </w:rPr>
              <w:t>主要污染物成分为钻井泥浆成分，其性质是钻井泥浆的高倍稀释废水。采用的水基钻井泥浆不含重金属，钻井废水无重金属污染，具有COD、悬浮物浓度高的特点。</w:t>
            </w:r>
            <w:r>
              <w:rPr>
                <w:rFonts w:hint="eastAsia"/>
                <w:bCs/>
                <w:color w:val="000000" w:themeColor="text1"/>
                <w:sz w:val="24"/>
                <w14:textFill>
                  <w14:solidFill>
                    <w14:schemeClr w14:val="tx1"/>
                  </w14:solidFill>
                </w14:textFill>
              </w:rPr>
              <w:t>类比调查区域类同类型项目钻井废水</w:t>
            </w:r>
            <w:r>
              <w:rPr>
                <w:rFonts w:hint="eastAsia"/>
                <w:color w:val="000000" w:themeColor="text1"/>
                <w:sz w:val="24"/>
                <w14:textFill>
                  <w14:solidFill>
                    <w14:schemeClr w14:val="tx1"/>
                  </w14:solidFill>
                </w14:textFill>
              </w:rPr>
              <w:t>水质见下表4.2-3。</w:t>
            </w:r>
          </w:p>
          <w:p>
            <w:pPr>
              <w:pStyle w:val="26"/>
              <w:rPr>
                <w:color w:val="000000" w:themeColor="text1"/>
                <w14:textFill>
                  <w14:solidFill>
                    <w14:schemeClr w14:val="tx1"/>
                  </w14:solidFill>
                </w14:textFill>
              </w:rPr>
            </w:pPr>
            <w:r>
              <w:rPr>
                <w:color w:val="000000" w:themeColor="text1"/>
                <w14:textFill>
                  <w14:solidFill>
                    <w14:schemeClr w14:val="tx1"/>
                  </w14:solidFill>
                </w14:textFill>
              </w:rPr>
              <w:t xml:space="preserve">表4.2-3  </w:t>
            </w:r>
            <w:r>
              <w:rPr>
                <w:rFonts w:hint="eastAsia"/>
                <w:color w:val="000000" w:themeColor="text1"/>
                <w14:textFill>
                  <w14:solidFill>
                    <w14:schemeClr w14:val="tx1"/>
                  </w14:solidFill>
                </w14:textFill>
              </w:rPr>
              <w:t xml:space="preserve"> 钻井废水中污染物浓度类比预测一览表</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036"/>
              <w:gridCol w:w="1174"/>
              <w:gridCol w:w="1136"/>
              <w:gridCol w:w="1136"/>
              <w:gridCol w:w="115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废水种类</w:t>
                  </w:r>
                </w:p>
              </w:tc>
              <w:tc>
                <w:tcPr>
                  <w:tcW w:w="637" w:type="pct"/>
                  <w:vMerge w:val="restar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产生量（m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w:t>
                  </w:r>
                </w:p>
              </w:tc>
              <w:tc>
                <w:tcPr>
                  <w:tcW w:w="3613" w:type="pct"/>
                  <w:gridSpan w:val="5"/>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主要污染物浓度（单位mg/L，pH无量纲）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49" w:type="pct"/>
                  <w:vMerge w:val="continue"/>
                  <w:vAlign w:val="center"/>
                </w:tcPr>
                <w:p>
                  <w:pPr>
                    <w:adjustRightInd w:val="0"/>
                    <w:snapToGrid w:val="0"/>
                    <w:ind w:left="-120" w:leftChars="-50" w:right="-120" w:rightChars="-50"/>
                    <w:jc w:val="center"/>
                    <w:rPr>
                      <w:color w:val="000000" w:themeColor="text1"/>
                      <w:sz w:val="21"/>
                      <w14:textFill>
                        <w14:solidFill>
                          <w14:schemeClr w14:val="tx1"/>
                        </w14:solidFill>
                      </w14:textFill>
                    </w:rPr>
                  </w:pPr>
                </w:p>
              </w:tc>
              <w:tc>
                <w:tcPr>
                  <w:tcW w:w="637" w:type="pct"/>
                  <w:vMerge w:val="continue"/>
                  <w:vAlign w:val="center"/>
                </w:tcPr>
                <w:p>
                  <w:pPr>
                    <w:adjustRightInd w:val="0"/>
                    <w:snapToGrid w:val="0"/>
                    <w:ind w:left="-120" w:leftChars="-50" w:right="-120" w:rightChars="-50"/>
                    <w:jc w:val="center"/>
                    <w:rPr>
                      <w:color w:val="000000" w:themeColor="text1"/>
                      <w:sz w:val="21"/>
                      <w14:textFill>
                        <w14:solidFill>
                          <w14:schemeClr w14:val="tx1"/>
                        </w14:solidFill>
                      </w14:textFill>
                    </w:rPr>
                  </w:pPr>
                </w:p>
              </w:tc>
              <w:tc>
                <w:tcPr>
                  <w:tcW w:w="722"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pH</w:t>
                  </w:r>
                </w:p>
              </w:tc>
              <w:tc>
                <w:tcPr>
                  <w:tcW w:w="69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COD</w:t>
                  </w:r>
                </w:p>
              </w:tc>
              <w:tc>
                <w:tcPr>
                  <w:tcW w:w="69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石油类</w:t>
                  </w:r>
                </w:p>
              </w:tc>
              <w:tc>
                <w:tcPr>
                  <w:tcW w:w="70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783"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Cl</w:t>
                  </w:r>
                  <w:r>
                    <w:rPr>
                      <w:rFonts w:hint="eastAsia"/>
                      <w:color w:val="000000" w:themeColor="text1"/>
                      <w:sz w:val="21"/>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钻井</w:t>
                  </w:r>
                  <w:r>
                    <w:rPr>
                      <w:rFonts w:hint="eastAsia"/>
                      <w:color w:val="000000" w:themeColor="text1"/>
                      <w:sz w:val="21"/>
                      <w14:textFill>
                        <w14:solidFill>
                          <w14:schemeClr w14:val="tx1"/>
                        </w14:solidFill>
                      </w14:textFill>
                    </w:rPr>
                    <w:t>废水</w:t>
                  </w:r>
                </w:p>
              </w:tc>
              <w:tc>
                <w:tcPr>
                  <w:tcW w:w="637"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422.6</w:t>
                  </w:r>
                </w:p>
              </w:tc>
              <w:tc>
                <w:tcPr>
                  <w:tcW w:w="722"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10~11</w:t>
                  </w:r>
                </w:p>
              </w:tc>
              <w:tc>
                <w:tcPr>
                  <w:tcW w:w="69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≤5000</w:t>
                  </w:r>
                </w:p>
              </w:tc>
              <w:tc>
                <w:tcPr>
                  <w:tcW w:w="69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w:t>
                  </w:r>
                </w:p>
              </w:tc>
              <w:tc>
                <w:tcPr>
                  <w:tcW w:w="709"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≤2000</w:t>
                  </w:r>
                </w:p>
              </w:tc>
              <w:tc>
                <w:tcPr>
                  <w:tcW w:w="783" w:type="pct"/>
                  <w:vAlign w:val="center"/>
                </w:tcPr>
                <w:p>
                  <w:pPr>
                    <w:adjustRightInd w:val="0"/>
                    <w:snapToGrid w:val="0"/>
                    <w:ind w:left="-120" w:leftChars="-50" w:right="-120" w:rightChars="-5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w:t>
                  </w:r>
                  <w:r>
                    <w:rPr>
                      <w:color w:val="000000" w:themeColor="text1"/>
                      <w:sz w:val="21"/>
                      <w14:textFill>
                        <w14:solidFill>
                          <w14:schemeClr w14:val="tx1"/>
                        </w14:solidFill>
                      </w14:textFill>
                    </w:rPr>
                    <w:cr/>
                  </w:r>
                  <w:r>
                    <w:rPr>
                      <w:color w:val="000000" w:themeColor="text1"/>
                      <w:sz w:val="21"/>
                      <w14:textFill>
                        <w14:solidFill>
                          <w14:schemeClr w14:val="tx1"/>
                        </w14:solidFill>
                      </w14:textFill>
                    </w:rPr>
                    <w:t>0</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②洗井废水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拟建项目完钻后首先要进行洗井，项目采用清水对套管进行清洗。根据</w:t>
            </w:r>
            <w:r>
              <w:rPr>
                <w:rFonts w:hint="eastAsia"/>
                <w:bCs/>
                <w:color w:val="000000" w:themeColor="text1"/>
                <w14:textFill>
                  <w14:solidFill>
                    <w14:schemeClr w14:val="tx1"/>
                  </w14:solidFill>
                </w14:textFill>
              </w:rPr>
              <w:t>《排放源统计调查产排污核算方法和系数手册》中1120《石油和天然气开采专业及辅助性活动行业系数手册》产污系数，洗井液产生量为25.29t/井，</w:t>
            </w:r>
            <w:r>
              <w:rPr>
                <w:rFonts w:hint="eastAsia"/>
                <w:color w:val="000000" w:themeColor="text1"/>
                <w:kern w:val="0"/>
                <w14:textFill>
                  <w14:solidFill>
                    <w14:schemeClr w14:val="tx1"/>
                  </w14:solidFill>
                </w14:textFill>
              </w:rPr>
              <w:t>则洗井用水量为28.1m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w:t>
            </w:r>
            <w:r>
              <w:rPr>
                <w:color w:val="000000" w:themeColor="text1"/>
                <w14:textFill>
                  <w14:solidFill>
                    <w14:schemeClr w14:val="tx1"/>
                  </w14:solidFill>
                </w14:textFill>
              </w:rPr>
              <w:t>最终返排出的水量约为用量的90%，洗井废水均至井场清洁化操作平台进行随钻处理</w:t>
            </w:r>
            <w:r>
              <w:rPr>
                <w:rFonts w:hint="eastAsia"/>
                <w:color w:val="000000" w:themeColor="text1"/>
                <w14:textFill>
                  <w14:solidFill>
                    <w14:schemeClr w14:val="tx1"/>
                  </w14:solidFill>
                </w14:textFill>
              </w:rPr>
              <w:t>（主要是中和沉淀处理）</w:t>
            </w:r>
            <w:r>
              <w:rPr>
                <w:color w:val="000000" w:themeColor="text1"/>
                <w14:textFill>
                  <w14:solidFill>
                    <w14:schemeClr w14:val="tx1"/>
                  </w14:solidFill>
                </w14:textFill>
              </w:rPr>
              <w:t>，</w:t>
            </w:r>
            <w:r>
              <w:rPr>
                <w:color w:val="000000" w:themeColor="text1"/>
                <w:kern w:val="0"/>
                <w14:textFill>
                  <w14:solidFill>
                    <w14:schemeClr w14:val="tx1"/>
                  </w14:solidFill>
                </w14:textFill>
              </w:rPr>
              <w:t>大部分洗井废水从井口返排，泵入废水罐中；少部分洗井废水从放喷口返排，经燃烧池侧面的排酸沟进入集酸池</w:t>
            </w:r>
            <w:r>
              <w:rPr>
                <w:rFonts w:hint="eastAsia"/>
                <w:color w:val="000000" w:themeColor="text1"/>
                <w14:textFill>
                  <w14:solidFill>
                    <w14:schemeClr w14:val="tx1"/>
                  </w14:solidFill>
                </w14:textFill>
              </w:rPr>
              <w:t>，最后外运至</w:t>
            </w:r>
            <w:r>
              <w:rPr>
                <w:color w:val="000000" w:themeColor="text1"/>
                <w14:textFill>
                  <w14:solidFill>
                    <w14:schemeClr w14:val="tx1"/>
                  </w14:solidFill>
                </w14:textFill>
              </w:rPr>
              <w:t>四川瑞利生物科技有限公司</w:t>
            </w:r>
            <w:r>
              <w:rPr>
                <w:rFonts w:hint="eastAsia"/>
                <w:color w:val="000000" w:themeColor="text1"/>
                <w14:textFill>
                  <w14:solidFill>
                    <w14:schemeClr w14:val="tx1"/>
                  </w14:solidFill>
                </w14:textFill>
              </w:rPr>
              <w:t>或其他第三方资质单位</w:t>
            </w:r>
            <w:r>
              <w:rPr>
                <w:color w:val="000000" w:themeColor="text1"/>
                <w14:textFill>
                  <w14:solidFill>
                    <w14:schemeClr w14:val="tx1"/>
                  </w14:solidFill>
                </w14:textFill>
              </w:rPr>
              <w:t>处置达标</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。经类比调查，洗井作业产生的废水水质情况见表4.2-4。</w:t>
            </w:r>
          </w:p>
          <w:p>
            <w:pPr>
              <w:pStyle w:val="26"/>
              <w:rPr>
                <w:color w:val="000000" w:themeColor="text1"/>
                <w14:textFill>
                  <w14:solidFill>
                    <w14:schemeClr w14:val="tx1"/>
                  </w14:solidFill>
                </w14:textFill>
              </w:rPr>
            </w:pPr>
            <w:r>
              <w:rPr>
                <w:color w:val="000000" w:themeColor="text1"/>
                <w14:textFill>
                  <w14:solidFill>
                    <w14:schemeClr w14:val="tx1"/>
                  </w14:solidFill>
                </w14:textFill>
              </w:rPr>
              <w:t xml:space="preserve">表4.2-4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洗井</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污染物浓度</w:t>
            </w:r>
            <w:r>
              <w:rPr>
                <w:color w:val="000000" w:themeColor="text1"/>
                <w14:textFill>
                  <w14:solidFill>
                    <w14:schemeClr w14:val="tx1"/>
                  </w14:solidFill>
                </w14:textFill>
              </w:rPr>
              <w:t xml:space="preserve">产生一览表 </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084"/>
              <w:gridCol w:w="1140"/>
              <w:gridCol w:w="1136"/>
              <w:gridCol w:w="1140"/>
              <w:gridCol w:w="1158"/>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restar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废水种类</w:t>
                  </w:r>
                </w:p>
              </w:tc>
              <w:tc>
                <w:tcPr>
                  <w:tcW w:w="667" w:type="pct"/>
                  <w:vMerge w:val="restart"/>
                  <w:vAlign w:val="center"/>
                </w:tcPr>
                <w:p>
                  <w:pPr>
                    <w:autoSpaceDE w:val="0"/>
                    <w:autoSpaceDN w:val="0"/>
                    <w:adjustRightInd w:val="0"/>
                    <w:jc w:val="center"/>
                    <w:rPr>
                      <w:bCs/>
                      <w:color w:val="000000" w:themeColor="text1"/>
                      <w:kern w:val="0"/>
                      <w:vertAlign w:val="superscript"/>
                      <w14:textFill>
                        <w14:solidFill>
                          <w14:schemeClr w14:val="tx1"/>
                        </w14:solidFill>
                      </w14:textFill>
                    </w:rPr>
                  </w:pPr>
                  <w:r>
                    <w:rPr>
                      <w:bCs/>
                      <w:color w:val="000000" w:themeColor="text1"/>
                      <w:kern w:val="0"/>
                      <w14:textFill>
                        <w14:solidFill>
                          <w14:schemeClr w14:val="tx1"/>
                        </w14:solidFill>
                      </w14:textFill>
                    </w:rPr>
                    <w:t>产生量（m</w:t>
                  </w:r>
                  <w:r>
                    <w:rPr>
                      <w:bCs/>
                      <w:color w:val="000000" w:themeColor="text1"/>
                      <w:kern w:val="0"/>
                      <w:vertAlign w:val="superscript"/>
                      <w14:textFill>
                        <w14:solidFill>
                          <w14:schemeClr w14:val="tx1"/>
                        </w14:solidFill>
                      </w14:textFill>
                    </w:rPr>
                    <w:t>3</w:t>
                  </w:r>
                  <w:r>
                    <w:rPr>
                      <w:bCs/>
                      <w:color w:val="000000" w:themeColor="text1"/>
                      <w:kern w:val="0"/>
                      <w14:textFill>
                        <w14:solidFill>
                          <w14:schemeClr w14:val="tx1"/>
                        </w14:solidFill>
                      </w14:textFill>
                    </w:rPr>
                    <w:t>）</w:t>
                  </w:r>
                </w:p>
              </w:tc>
              <w:tc>
                <w:tcPr>
                  <w:tcW w:w="3594" w:type="pct"/>
                  <w:gridSpan w:val="5"/>
                  <w:vAlign w:val="center"/>
                </w:tcPr>
                <w:p>
                  <w:pPr>
                    <w:autoSpaceDE w:val="0"/>
                    <w:autoSpaceDN w:val="0"/>
                    <w:adjustRightInd w:val="0"/>
                    <w:jc w:val="center"/>
                    <w:rPr>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主要污染物浓度（单位mg/L，pH无量纲）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Merge w:val="continue"/>
                  <w:vAlign w:val="center"/>
                </w:tcPr>
                <w:p>
                  <w:pPr>
                    <w:widowControl/>
                    <w:jc w:val="center"/>
                    <w:rPr>
                      <w:bCs/>
                      <w:color w:val="000000" w:themeColor="text1"/>
                      <w:kern w:val="0"/>
                      <w14:textFill>
                        <w14:solidFill>
                          <w14:schemeClr w14:val="tx1"/>
                        </w14:solidFill>
                      </w14:textFill>
                    </w:rPr>
                  </w:pPr>
                </w:p>
              </w:tc>
              <w:tc>
                <w:tcPr>
                  <w:tcW w:w="667" w:type="pct"/>
                  <w:vMerge w:val="continue"/>
                  <w:vAlign w:val="center"/>
                </w:tcPr>
                <w:p>
                  <w:pPr>
                    <w:widowControl/>
                    <w:jc w:val="center"/>
                    <w:rPr>
                      <w:bCs/>
                      <w:color w:val="000000" w:themeColor="text1"/>
                      <w:kern w:val="0"/>
                      <w:vertAlign w:val="superscript"/>
                      <w14:textFill>
                        <w14:solidFill>
                          <w14:schemeClr w14:val="tx1"/>
                        </w14:solidFill>
                      </w14:textFill>
                    </w:rPr>
                  </w:pPr>
                </w:p>
              </w:tc>
              <w:tc>
                <w:tcPr>
                  <w:tcW w:w="701"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pH</w:t>
                  </w:r>
                </w:p>
              </w:tc>
              <w:tc>
                <w:tcPr>
                  <w:tcW w:w="699"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COD</w:t>
                  </w:r>
                </w:p>
              </w:tc>
              <w:tc>
                <w:tcPr>
                  <w:tcW w:w="701"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石油类</w:t>
                  </w:r>
                </w:p>
              </w:tc>
              <w:tc>
                <w:tcPr>
                  <w:tcW w:w="712"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SS</w:t>
                  </w:r>
                </w:p>
              </w:tc>
              <w:tc>
                <w:tcPr>
                  <w:tcW w:w="781" w:type="pct"/>
                  <w:vAlign w:val="center"/>
                </w:tcPr>
                <w:p>
                  <w:pPr>
                    <w:autoSpaceDE w:val="0"/>
                    <w:autoSpaceDN w:val="0"/>
                    <w:adjustRightInd w:val="0"/>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Cl</w:t>
                  </w:r>
                  <w:r>
                    <w:rPr>
                      <w:rFonts w:hint="eastAsia"/>
                      <w:bCs/>
                      <w:color w:val="000000" w:themeColor="text1"/>
                      <w:kern w:val="0"/>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洗井废水</w:t>
                  </w:r>
                </w:p>
              </w:tc>
              <w:tc>
                <w:tcPr>
                  <w:tcW w:w="667" w:type="pct"/>
                  <w:vAlign w:val="center"/>
                </w:tcPr>
                <w:p>
                  <w:pPr>
                    <w:autoSpaceDE w:val="0"/>
                    <w:autoSpaceDN w:val="0"/>
                    <w:adjustRightInd w:val="0"/>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25.29</w:t>
                  </w:r>
                </w:p>
              </w:tc>
              <w:tc>
                <w:tcPr>
                  <w:tcW w:w="701" w:type="pct"/>
                  <w:vAlign w:val="center"/>
                </w:tcPr>
                <w:p>
                  <w:pPr>
                    <w:autoSpaceDE w:val="0"/>
                    <w:autoSpaceDN w:val="0"/>
                    <w:adjustRightInd w:val="0"/>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6.0</w:t>
                  </w: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9.0</w:t>
                  </w:r>
                </w:p>
              </w:tc>
              <w:tc>
                <w:tcPr>
                  <w:tcW w:w="699"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≤2500</w:t>
                  </w:r>
                </w:p>
              </w:tc>
              <w:tc>
                <w:tcPr>
                  <w:tcW w:w="701"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10</w:t>
                  </w:r>
                  <w:r>
                    <w:rPr>
                      <w:bCs/>
                      <w:color w:val="000000" w:themeColor="text1"/>
                      <w:kern w:val="0"/>
                      <w14:textFill>
                        <w14:solidFill>
                          <w14:schemeClr w14:val="tx1"/>
                        </w14:solidFill>
                      </w14:textFill>
                    </w:rPr>
                    <w:t>0</w:t>
                  </w:r>
                </w:p>
              </w:tc>
              <w:tc>
                <w:tcPr>
                  <w:tcW w:w="712"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≤4500</w:t>
                  </w:r>
                </w:p>
              </w:tc>
              <w:tc>
                <w:tcPr>
                  <w:tcW w:w="781" w:type="pct"/>
                  <w:vAlign w:val="center"/>
                </w:tcPr>
                <w:p>
                  <w:pPr>
                    <w:autoSpaceDE w:val="0"/>
                    <w:autoSpaceDN w:val="0"/>
                    <w:adjustRightIn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5000</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③酸化废水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射孔完毕后，为了消除井筒附近地层渗透率降低的不良影响，以达到增产的目的，在测试放喷前需要对气井进行酸化作业处理，酸化液的主要成分为HCl。参照</w:t>
            </w:r>
            <w:r>
              <w:rPr>
                <w:rFonts w:hint="eastAsia"/>
                <w:bCs/>
                <w:color w:val="000000" w:themeColor="text1"/>
                <w14:textFill>
                  <w14:solidFill>
                    <w14:schemeClr w14:val="tx1"/>
                  </w14:solidFill>
                </w14:textFill>
              </w:rPr>
              <w:t>《排放源统计调查产排污核算方法和系数手册》中1120《石油和天然气开采专业及辅助性活动行业系数手册》中井下作业（气井酸化压裂）产污系数，废酸化液产生量为82.3m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/井，</w:t>
            </w:r>
            <w:r>
              <w:rPr>
                <w:rFonts w:hint="eastAsia"/>
                <w:color w:val="000000" w:themeColor="text1"/>
                <w14:textFill>
                  <w14:solidFill>
                    <w14:schemeClr w14:val="tx1"/>
                  </w14:solidFill>
                </w14:textFill>
              </w:rPr>
              <w:t>在完井测试阶段从井底返排出来，进入废水罐，加碱液（用氧化钙配置）进行中和，及时外运至</w:t>
            </w:r>
            <w:r>
              <w:rPr>
                <w:color w:val="000000" w:themeColor="text1"/>
                <w14:textFill>
                  <w14:solidFill>
                    <w14:schemeClr w14:val="tx1"/>
                  </w14:solidFill>
                </w14:textFill>
              </w:rPr>
              <w:t>四川瑞利生物科技有限公司</w:t>
            </w:r>
            <w:r>
              <w:rPr>
                <w:rFonts w:hint="eastAsia"/>
                <w:color w:val="000000" w:themeColor="text1"/>
                <w14:textFill>
                  <w14:solidFill>
                    <w14:schemeClr w14:val="tx1"/>
                  </w14:solidFill>
                </w14:textFill>
              </w:rPr>
              <w:t>或其他第三方资质单位</w:t>
            </w:r>
            <w:r>
              <w:rPr>
                <w:color w:val="000000" w:themeColor="text1"/>
                <w14:textFill>
                  <w14:solidFill>
                    <w14:schemeClr w14:val="tx1"/>
                  </w14:solidFill>
                </w14:textFill>
              </w:rPr>
              <w:t>处置</w:t>
            </w:r>
            <w:r>
              <w:rPr>
                <w:rFonts w:hint="eastAsia"/>
                <w:color w:val="000000" w:themeColor="text1"/>
                <w14:textFill>
                  <w14:solidFill>
                    <w14:schemeClr w14:val="tx1"/>
                  </w14:solidFill>
                </w14:textFill>
              </w:rPr>
              <w:t>达</w:t>
            </w:r>
            <w:r>
              <w:rPr>
                <w:color w:val="000000" w:themeColor="text1"/>
                <w14:textFill>
                  <w14:solidFill>
                    <w14:schemeClr w14:val="tx1"/>
                  </w14:solidFill>
                </w14:textFill>
              </w:rPr>
              <w:t>标</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。经类比调查，酸化作业产生的废水水质情况见下表。</w:t>
            </w:r>
          </w:p>
          <w:p>
            <w:pPr>
              <w:pStyle w:val="26"/>
              <w:rPr>
                <w:color w:val="000000" w:themeColor="text1"/>
                <w14:textFill>
                  <w14:solidFill>
                    <w14:schemeClr w14:val="tx1"/>
                  </w14:solidFill>
                </w14:textFill>
              </w:rPr>
            </w:pPr>
            <w:r>
              <w:rPr>
                <w:color w:val="000000" w:themeColor="text1"/>
                <w14:textFill>
                  <w14:solidFill>
                    <w14:schemeClr w14:val="tx1"/>
                  </w14:solidFill>
                </w14:textFill>
              </w:rPr>
              <w:t xml:space="preserve">表4.2-5  </w:t>
            </w:r>
            <w:r>
              <w:rPr>
                <w:rFonts w:hint="eastAsia"/>
                <w:color w:val="000000" w:themeColor="text1"/>
                <w14:textFill>
                  <w14:solidFill>
                    <w14:schemeClr w14:val="tx1"/>
                  </w14:solidFill>
                </w14:textFill>
              </w:rPr>
              <w:t xml:space="preserve"> 酸化</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污染物浓度</w:t>
            </w:r>
            <w:r>
              <w:rPr>
                <w:color w:val="000000" w:themeColor="text1"/>
                <w14:textFill>
                  <w14:solidFill>
                    <w14:schemeClr w14:val="tx1"/>
                  </w14:solidFill>
                </w14:textFill>
              </w:rPr>
              <w:t>产生一览表</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50"/>
              <w:gridCol w:w="1148"/>
              <w:gridCol w:w="1148"/>
              <w:gridCol w:w="1148"/>
              <w:gridCol w:w="114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废水种类</w:t>
                  </w:r>
                </w:p>
              </w:tc>
              <w:tc>
                <w:tcPr>
                  <w:tcW w:w="646" w:type="pct"/>
                  <w:vMerge w:val="restart"/>
                  <w:vAlign w:val="center"/>
                </w:tcPr>
                <w:p>
                  <w:pPr>
                    <w:autoSpaceDE w:val="0"/>
                    <w:autoSpaceDN w:val="0"/>
                    <w:adjustRightInd w:val="0"/>
                    <w:spacing w:line="240" w:lineRule="auto"/>
                    <w:jc w:val="center"/>
                    <w:rPr>
                      <w:bCs/>
                      <w:color w:val="000000" w:themeColor="text1"/>
                      <w:kern w:val="0"/>
                      <w:sz w:val="21"/>
                      <w:vertAlign w:val="superscript"/>
                      <w14:textFill>
                        <w14:solidFill>
                          <w14:schemeClr w14:val="tx1"/>
                        </w14:solidFill>
                      </w14:textFill>
                    </w:rPr>
                  </w:pPr>
                  <w:r>
                    <w:rPr>
                      <w:bCs/>
                      <w:color w:val="000000" w:themeColor="text1"/>
                      <w:kern w:val="0"/>
                      <w:sz w:val="21"/>
                      <w14:textFill>
                        <w14:solidFill>
                          <w14:schemeClr w14:val="tx1"/>
                        </w14:solidFill>
                      </w14:textFill>
                    </w:rPr>
                    <w:t>产生量（m</w:t>
                  </w:r>
                  <w:r>
                    <w:rPr>
                      <w:bCs/>
                      <w:color w:val="000000" w:themeColor="text1"/>
                      <w:kern w:val="0"/>
                      <w:sz w:val="21"/>
                      <w:vertAlign w:val="superscript"/>
                      <w14:textFill>
                        <w14:solidFill>
                          <w14:schemeClr w14:val="tx1"/>
                        </w14:solidFill>
                      </w14:textFill>
                    </w:rPr>
                    <w:t>3</w:t>
                  </w:r>
                  <w:r>
                    <w:rPr>
                      <w:bCs/>
                      <w:color w:val="000000" w:themeColor="text1"/>
                      <w:kern w:val="0"/>
                      <w:sz w:val="21"/>
                      <w14:textFill>
                        <w14:solidFill>
                          <w14:schemeClr w14:val="tx1"/>
                        </w14:solidFill>
                      </w14:textFill>
                    </w:rPr>
                    <w:t>）</w:t>
                  </w:r>
                </w:p>
              </w:tc>
              <w:tc>
                <w:tcPr>
                  <w:tcW w:w="3605" w:type="pct"/>
                  <w:gridSpan w:val="5"/>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rFonts w:hint="eastAsia"/>
                      <w:color w:val="000000" w:themeColor="text1"/>
                      <w:sz w:val="21"/>
                      <w14:textFill>
                        <w14:solidFill>
                          <w14:schemeClr w14:val="tx1"/>
                        </w14:solidFill>
                      </w14:textFill>
                    </w:rPr>
                    <w:t>主要污染物浓度（单位mg/L，pH无量纲）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vAlign w:val="center"/>
                </w:tcPr>
                <w:p>
                  <w:pPr>
                    <w:widowControl/>
                    <w:spacing w:line="240" w:lineRule="auto"/>
                    <w:jc w:val="center"/>
                    <w:rPr>
                      <w:bCs/>
                      <w:color w:val="000000" w:themeColor="text1"/>
                      <w:kern w:val="0"/>
                      <w:sz w:val="21"/>
                      <w14:textFill>
                        <w14:solidFill>
                          <w14:schemeClr w14:val="tx1"/>
                        </w14:solidFill>
                      </w14:textFill>
                    </w:rPr>
                  </w:pPr>
                </w:p>
              </w:tc>
              <w:tc>
                <w:tcPr>
                  <w:tcW w:w="646" w:type="pct"/>
                  <w:vMerge w:val="continue"/>
                  <w:vAlign w:val="center"/>
                </w:tcPr>
                <w:p>
                  <w:pPr>
                    <w:widowControl/>
                    <w:spacing w:line="240" w:lineRule="auto"/>
                    <w:jc w:val="center"/>
                    <w:rPr>
                      <w:bCs/>
                      <w:color w:val="000000" w:themeColor="text1"/>
                      <w:kern w:val="0"/>
                      <w:sz w:val="21"/>
                      <w:vertAlign w:val="superscript"/>
                      <w14:textFill>
                        <w14:solidFill>
                          <w14:schemeClr w14:val="tx1"/>
                        </w14:solidFill>
                      </w14:textFill>
                    </w:rPr>
                  </w:pP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pH</w:t>
                  </w: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COD</w:t>
                  </w: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石油类</w:t>
                  </w:r>
                </w:p>
              </w:tc>
              <w:tc>
                <w:tcPr>
                  <w:tcW w:w="707"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SS</w:t>
                  </w:r>
                </w:p>
              </w:tc>
              <w:tc>
                <w:tcPr>
                  <w:tcW w:w="779"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rFonts w:hint="eastAsia"/>
                      <w:bCs/>
                      <w:color w:val="000000" w:themeColor="text1"/>
                      <w:kern w:val="0"/>
                      <w:sz w:val="21"/>
                      <w14:textFill>
                        <w14:solidFill>
                          <w14:schemeClr w14:val="tx1"/>
                        </w14:solidFill>
                      </w14:textFill>
                    </w:rPr>
                    <w:t>Cl</w:t>
                  </w:r>
                  <w:r>
                    <w:rPr>
                      <w:rFonts w:hint="eastAsia"/>
                      <w:bCs/>
                      <w:color w:val="000000" w:themeColor="text1"/>
                      <w:kern w:val="0"/>
                      <w:sz w:val="21"/>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rFonts w:hint="eastAsia"/>
                      <w:bCs/>
                      <w:color w:val="000000" w:themeColor="text1"/>
                      <w:kern w:val="0"/>
                      <w:sz w:val="21"/>
                      <w14:textFill>
                        <w14:solidFill>
                          <w14:schemeClr w14:val="tx1"/>
                        </w14:solidFill>
                      </w14:textFill>
                    </w:rPr>
                    <w:t>酸化废水</w:t>
                  </w:r>
                </w:p>
              </w:tc>
              <w:tc>
                <w:tcPr>
                  <w:tcW w:w="64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rFonts w:hint="eastAsia"/>
                      <w:bCs/>
                      <w:color w:val="000000" w:themeColor="text1"/>
                      <w:kern w:val="0"/>
                      <w:sz w:val="21"/>
                      <w14:textFill>
                        <w14:solidFill>
                          <w14:schemeClr w14:val="tx1"/>
                        </w14:solidFill>
                      </w14:textFill>
                    </w:rPr>
                    <w:t>82.3</w:t>
                  </w: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w:t>
                  </w:r>
                  <w:r>
                    <w:rPr>
                      <w:rFonts w:hint="eastAsia"/>
                      <w:bCs/>
                      <w:color w:val="000000" w:themeColor="text1"/>
                      <w:kern w:val="0"/>
                      <w:sz w:val="21"/>
                      <w14:textFill>
                        <w14:solidFill>
                          <w14:schemeClr w14:val="tx1"/>
                        </w14:solidFill>
                      </w14:textFill>
                    </w:rPr>
                    <w:t>5.0</w:t>
                  </w: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w:t>
                  </w:r>
                  <w:r>
                    <w:rPr>
                      <w:rFonts w:hint="eastAsia"/>
                      <w:bCs/>
                      <w:color w:val="000000" w:themeColor="text1"/>
                      <w:kern w:val="0"/>
                      <w:sz w:val="21"/>
                      <w14:textFill>
                        <w14:solidFill>
                          <w14:schemeClr w14:val="tx1"/>
                        </w14:solidFill>
                      </w14:textFill>
                    </w:rPr>
                    <w:t>10</w:t>
                  </w:r>
                  <w:r>
                    <w:rPr>
                      <w:bCs/>
                      <w:color w:val="000000" w:themeColor="text1"/>
                      <w:kern w:val="0"/>
                      <w:sz w:val="21"/>
                      <w14:textFill>
                        <w14:solidFill>
                          <w14:schemeClr w14:val="tx1"/>
                        </w14:solidFill>
                      </w14:textFill>
                    </w:rPr>
                    <w:t>00</w:t>
                  </w:r>
                </w:p>
              </w:tc>
              <w:tc>
                <w:tcPr>
                  <w:tcW w:w="706"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w:t>
                  </w:r>
                  <w:r>
                    <w:rPr>
                      <w:rFonts w:hint="eastAsia"/>
                      <w:bCs/>
                      <w:color w:val="000000" w:themeColor="text1"/>
                      <w:kern w:val="0"/>
                      <w:sz w:val="21"/>
                      <w14:textFill>
                        <w14:solidFill>
                          <w14:schemeClr w14:val="tx1"/>
                        </w14:solidFill>
                      </w14:textFill>
                    </w:rPr>
                    <w:t>15</w:t>
                  </w:r>
                </w:p>
              </w:tc>
              <w:tc>
                <w:tcPr>
                  <w:tcW w:w="707"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w:t>
                  </w:r>
                  <w:r>
                    <w:rPr>
                      <w:rFonts w:hint="eastAsia"/>
                      <w:bCs/>
                      <w:color w:val="000000" w:themeColor="text1"/>
                      <w:kern w:val="0"/>
                      <w:sz w:val="21"/>
                      <w14:textFill>
                        <w14:solidFill>
                          <w14:schemeClr w14:val="tx1"/>
                        </w14:solidFill>
                      </w14:textFill>
                    </w:rPr>
                    <w:t>10</w:t>
                  </w:r>
                  <w:r>
                    <w:rPr>
                      <w:bCs/>
                      <w:color w:val="000000" w:themeColor="text1"/>
                      <w:kern w:val="0"/>
                      <w:sz w:val="21"/>
                      <w14:textFill>
                        <w14:solidFill>
                          <w14:schemeClr w14:val="tx1"/>
                        </w14:solidFill>
                      </w14:textFill>
                    </w:rPr>
                    <w:t>00</w:t>
                  </w:r>
                </w:p>
              </w:tc>
              <w:tc>
                <w:tcPr>
                  <w:tcW w:w="779" w:type="pct"/>
                  <w:vAlign w:val="center"/>
                </w:tcPr>
                <w:p>
                  <w:pPr>
                    <w:autoSpaceDE w:val="0"/>
                    <w:autoSpaceDN w:val="0"/>
                    <w:adjustRightInd w:val="0"/>
                    <w:spacing w:line="240" w:lineRule="auto"/>
                    <w:jc w:val="center"/>
                    <w:rPr>
                      <w:bCs/>
                      <w:color w:val="000000" w:themeColor="text1"/>
                      <w:kern w:val="0"/>
                      <w:sz w:val="21"/>
                      <w14:textFill>
                        <w14:solidFill>
                          <w14:schemeClr w14:val="tx1"/>
                        </w14:solidFill>
                      </w14:textFill>
                    </w:rPr>
                  </w:pPr>
                  <w:r>
                    <w:rPr>
                      <w:bCs/>
                      <w:color w:val="000000" w:themeColor="text1"/>
                      <w:kern w:val="0"/>
                      <w:sz w:val="21"/>
                      <w14:textFill>
                        <w14:solidFill>
                          <w14:schemeClr w14:val="tx1"/>
                        </w14:solidFill>
                      </w14:textFill>
                    </w:rPr>
                    <w:t>≤</w:t>
                  </w:r>
                  <w:r>
                    <w:rPr>
                      <w:rFonts w:hint="eastAsia"/>
                      <w:bCs/>
                      <w:color w:val="000000" w:themeColor="text1"/>
                      <w:kern w:val="0"/>
                      <w:sz w:val="21"/>
                      <w14:textFill>
                        <w14:solidFill>
                          <w14:schemeClr w14:val="tx1"/>
                        </w14:solidFill>
                      </w14:textFill>
                    </w:rPr>
                    <w:t>7000</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④雨水</w:t>
            </w:r>
          </w:p>
          <w:p>
            <w:pPr>
              <w:spacing w:line="440" w:lineRule="exact"/>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由于拟建项目井场采用清污分流制</w:t>
            </w:r>
            <w:r>
              <w:rPr>
                <w:rFonts w:hint="eastAsia"/>
                <w:color w:val="000000" w:themeColor="text1"/>
                <w:kern w:val="0"/>
                <w14:textFill>
                  <w14:solidFill>
                    <w14:schemeClr w14:val="tx1"/>
                  </w14:solidFill>
                </w14:textFill>
              </w:rPr>
              <w:t>，分为井场方井区、设备基础区（方井除外）、井场其他区域排水。</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a.方井雨水</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方井区域雨水设置1座集水坑（</w:t>
            </w:r>
            <w:r>
              <w:rPr>
                <w:color w:val="000000" w:themeColor="text1"/>
                <w:szCs w:val="24"/>
                <w14:textFill>
                  <w14:solidFill>
                    <w14:schemeClr w14:val="tx1"/>
                  </w14:solidFill>
                </w14:textFill>
              </w:rPr>
              <w:t>0.5m×0.5m×0.5m</w:t>
            </w:r>
            <w:r>
              <w:rPr>
                <w:rFonts w:hint="eastAsia"/>
                <w:color w:val="000000" w:themeColor="text1"/>
                <w:kern w:val="0"/>
                <w14:textFill>
                  <w14:solidFill>
                    <w14:schemeClr w14:val="tx1"/>
                  </w14:solidFill>
                </w14:textFill>
              </w:rPr>
              <w:t>）收集雨水。根据设计资料，方井区域占地面积按20m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，结合铜梁区气象资料，铜梁区年均降雨量为1071mm，计算的</w:t>
            </w:r>
            <w:bookmarkStart w:id="3" w:name="OLE_LINK1"/>
            <w:bookmarkStart w:id="4" w:name="OLE_LINK2"/>
            <w:r>
              <w:rPr>
                <w:rFonts w:hint="eastAsia"/>
                <w:color w:val="000000" w:themeColor="text1"/>
                <w:kern w:val="0"/>
                <w14:textFill>
                  <w14:solidFill>
                    <w14:schemeClr w14:val="tx1"/>
                  </w14:solidFill>
                </w14:textFill>
              </w:rPr>
              <w:t>方井区域雨水量</w:t>
            </w:r>
            <w:bookmarkEnd w:id="3"/>
            <w:bookmarkEnd w:id="4"/>
            <w:r>
              <w:rPr>
                <w:rFonts w:hint="eastAsia"/>
                <w:color w:val="000000" w:themeColor="text1"/>
                <w:kern w:val="0"/>
                <w14:textFill>
                  <w14:solidFill>
                    <w14:schemeClr w14:val="tx1"/>
                  </w14:solidFill>
                </w14:textFill>
              </w:rPr>
              <w:t>约为22m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，经集水坑收集后泵入清洁生产操作平台内废水罐中处置后回用，主要用于泥浆储备罐区配制水泥钻井液。</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b.方井外的设备基础区域雨水</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方井外的设备基础区域雨水通过1套长240m的挡水墙阻挡雨水外流，并设4座集水坑（</w:t>
            </w:r>
            <w:r>
              <w:rPr>
                <w:color w:val="000000" w:themeColor="text1"/>
                <w:szCs w:val="24"/>
                <w14:textFill>
                  <w14:solidFill>
                    <w14:schemeClr w14:val="tx1"/>
                  </w14:solidFill>
                </w14:textFill>
              </w:rPr>
              <w:t>0.</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m×0.</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m×0.</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m</w:t>
            </w:r>
            <w:r>
              <w:rPr>
                <w:rFonts w:hint="eastAsia"/>
                <w:color w:val="000000" w:themeColor="text1"/>
                <w:kern w:val="0"/>
                <w14:textFill>
                  <w14:solidFill>
                    <w14:schemeClr w14:val="tx1"/>
                  </w14:solidFill>
                </w14:textFill>
              </w:rPr>
              <w:t>）收集雨水。根据设计资料，设备基础区域（方井除外）占地面积按1100m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，结合铜梁区气象资料，铜梁区年均降雨量为1071mm，计算的方井区域雨水量约为1178m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，经4座集水坑收集后泵入清洁生产操作平台内废水罐中处置后回用，主要用于泥浆储备罐区配制水泥钻井液。</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综上，井场内收集的雨水主要为设备基础区域雨水（包括方井雨水），合计约1200m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，收集后泵入清洁生产操作平台内废水罐中处置后回用，不外排。</w:t>
            </w:r>
          </w:p>
          <w:p>
            <w:pPr>
              <w:spacing w:line="440" w:lineRule="exact"/>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c.井场内非设备基础区域雨水</w:t>
            </w:r>
          </w:p>
          <w:p>
            <w:pPr>
              <w:ind w:firstLine="480" w:firstLineChars="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井场内</w:t>
            </w:r>
            <w:r>
              <w:rPr>
                <w:color w:val="000000" w:themeColor="text1"/>
                <w:kern w:val="0"/>
                <w14:textFill>
                  <w14:solidFill>
                    <w14:schemeClr w14:val="tx1"/>
                  </w14:solidFill>
                </w14:textFill>
              </w:rPr>
              <w:t>雨水依靠井场设置的地面坡度</w:t>
            </w:r>
            <w:r>
              <w:rPr>
                <w:rFonts w:hint="eastAsia"/>
                <w:color w:val="000000" w:themeColor="text1"/>
                <w:kern w:val="0"/>
                <w14:textFill>
                  <w14:solidFill>
                    <w14:schemeClr w14:val="tx1"/>
                  </w14:solidFill>
                </w14:textFill>
              </w:rPr>
              <w:t>排入井场四周设置的</w:t>
            </w:r>
            <w:r>
              <w:rPr>
                <w:color w:val="000000" w:themeColor="text1"/>
                <w:kern w:val="0"/>
                <w14:textFill>
                  <w14:solidFill>
                    <w14:schemeClr w14:val="tx1"/>
                  </w14:solidFill>
                </w14:textFill>
              </w:rPr>
              <w:t>排水沟</w:t>
            </w:r>
            <w:r>
              <w:rPr>
                <w:rFonts w:hint="eastAsia"/>
                <w:color w:val="000000" w:themeColor="text1"/>
                <w:kern w:val="0"/>
                <w:szCs w:val="24"/>
                <w14:textFill>
                  <w14:solidFill>
                    <w14:schemeClr w14:val="tx1"/>
                  </w14:solidFill>
                </w14:textFill>
              </w:rPr>
              <w:t>（长</w:t>
            </w:r>
            <w:r>
              <w:rPr>
                <w:rFonts w:hint="eastAsia"/>
                <w:color w:val="000000" w:themeColor="text1"/>
                <w:szCs w:val="24"/>
                <w14:textFill>
                  <w14:solidFill>
                    <w14:schemeClr w14:val="tx1"/>
                  </w14:solidFill>
                </w14:textFill>
              </w:rPr>
              <w:t>240</w:t>
            </w:r>
            <w:r>
              <w:rPr>
                <w:color w:val="000000" w:themeColor="text1"/>
                <w:szCs w:val="24"/>
                <w14:textFill>
                  <w14:solidFill>
                    <w14:schemeClr w14:val="tx1"/>
                  </w14:solidFill>
                </w14:textFill>
              </w:rPr>
              <w:t>m×宽0.4m×高0.3m</w:t>
            </w:r>
            <w:r>
              <w:rPr>
                <w:rFonts w:hint="eastAsia"/>
                <w:color w:val="000000" w:themeColor="text1"/>
                <w:kern w:val="0"/>
                <w:szCs w:val="24"/>
                <w14:textFill>
                  <w14:solidFill>
                    <w14:schemeClr w14:val="tx1"/>
                  </w14:solidFill>
                </w14:textFill>
              </w:rPr>
              <w:t>）</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由井场四周隔油池处理后</w:t>
            </w:r>
            <w:r>
              <w:rPr>
                <w:color w:val="000000" w:themeColor="text1"/>
                <w:kern w:val="0"/>
                <w14:textFill>
                  <w14:solidFill>
                    <w14:schemeClr w14:val="tx1"/>
                  </w14:solidFill>
                </w14:textFill>
              </w:rPr>
              <w:t>排出场外</w:t>
            </w:r>
            <w:r>
              <w:rPr>
                <w:rFonts w:hint="eastAsia"/>
                <w:color w:val="000000" w:themeColor="text1"/>
                <w:kern w:val="0"/>
                <w14:textFill>
                  <w14:solidFill>
                    <w14:schemeClr w14:val="tx1"/>
                  </w14:solidFill>
                </w14:textFill>
              </w:rPr>
              <w:t>，随场外雨水排入周边地表自然水系。</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⑤生活污水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施工人员约50人，生活用水按120L/d人计算，则生活用水量6m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/d，钻井施工期约10个月（约300d），则生活用水总量为1800m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，排污系数取0.80，则生活污水产生量为1440m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。生活污水主要污染物为COD、BOD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、SS和NH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-N，浓度分别为400mg/L、200mg/L、250mg/L、25mg/L。生活污水经旱厕收集处理后作为农肥使用。</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pStyle w:val="26"/>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288pt;width:413.25pt;" o:ole="t" filled="f" o:preferrelative="t" stroked="f" coordsize="21600,21600">
                  <v:path/>
                  <v:fill on="f" focussize="0,0"/>
                  <v:stroke on="f" joinstyle="miter"/>
                  <v:imagedata r:id="rId28" o:title=""/>
                  <o:lock v:ext="edit" aspectratio="t"/>
                  <w10:wrap type="none"/>
                  <w10:anchorlock/>
                </v:shape>
                <o:OLEObject Type="Embed" ProgID="Visio.Drawing.11" ShapeID="_x0000_i1027" DrawAspect="Content" ObjectID="_1468075727" r:id="rId27">
                  <o:LockedField>false</o:LockedField>
                </o:OLEObject>
              </w:object>
            </w:r>
            <w:r>
              <w:rPr>
                <w:rFonts w:hint="eastAsia"/>
                <w:color w:val="000000" w:themeColor="text1"/>
                <w14:textFill>
                  <w14:solidFill>
                    <w14:schemeClr w14:val="tx1"/>
                  </w14:solidFill>
                </w14:textFill>
              </w:rPr>
              <w:t>图4.2-1   项目水平衡图（单位：m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adjustRightInd w:val="0"/>
              <w:snapToGrid w:val="0"/>
              <w:outlineLvl w:val="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.2.4</w:t>
            </w:r>
            <w:r>
              <w:rPr>
                <w:rFonts w:hint="eastAsia"/>
                <w:b/>
                <w:bCs/>
                <w:color w:val="000000" w:themeColor="text1"/>
                <w14:textFill>
                  <w14:solidFill>
                    <w14:schemeClr w14:val="tx1"/>
                  </w14:solidFill>
                </w14:textFill>
              </w:rPr>
              <w:t>噪声</w:t>
            </w:r>
          </w:p>
          <w:p>
            <w:pPr>
              <w:pStyle w:val="35"/>
              <w:spacing w:line="460" w:lineRule="exact"/>
              <w:ind w:firstLine="482"/>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钻前工程</w:t>
            </w:r>
          </w:p>
          <w:p>
            <w:pPr>
              <w:pStyle w:val="35"/>
              <w:spacing w:line="46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钻前</w:t>
            </w:r>
            <w:r>
              <w:rPr>
                <w:rFonts w:hint="eastAsia"/>
                <w:color w:val="000000" w:themeColor="text1"/>
                <w:sz w:val="24"/>
                <w:szCs w:val="24"/>
                <w14:textFill>
                  <w14:solidFill>
                    <w14:schemeClr w14:val="tx1"/>
                  </w14:solidFill>
                </w14:textFill>
              </w:rPr>
              <w:t>工程</w:t>
            </w:r>
            <w:r>
              <w:rPr>
                <w:color w:val="000000" w:themeColor="text1"/>
                <w:sz w:val="24"/>
                <w:szCs w:val="24"/>
                <w14:textFill>
                  <w14:solidFill>
                    <w14:schemeClr w14:val="tx1"/>
                  </w14:solidFill>
                </w14:textFill>
              </w:rPr>
              <w:t>的噪声主要是推土机、挖掘机、载重车辆等产生的噪声，噪声声级范围</w:t>
            </w:r>
            <w:r>
              <w:rPr>
                <w:rFonts w:hint="eastAsia"/>
                <w:color w:val="000000" w:themeColor="text1"/>
                <w:sz w:val="24"/>
                <w:szCs w:val="24"/>
                <w14:textFill>
                  <w14:solidFill>
                    <w14:schemeClr w14:val="tx1"/>
                  </w14:solidFill>
                </w14:textFill>
              </w:rPr>
              <w:t>源强</w:t>
            </w:r>
            <w:r>
              <w:rPr>
                <w:color w:val="000000" w:themeColor="text1"/>
                <w:sz w:val="24"/>
                <w:szCs w:val="24"/>
                <w14:textFill>
                  <w14:solidFill>
                    <w14:schemeClr w14:val="tx1"/>
                  </w14:solidFill>
                </w14:textFill>
              </w:rPr>
              <w:t>见表4.2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钻前工程施工工程量小，仅昼间施工。</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钻前工程主要噪声源强特性</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单位：dB(A)</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559"/>
              <w:gridCol w:w="1638"/>
              <w:gridCol w:w="1336"/>
              <w:gridCol w:w="1336"/>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设备名称</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测点距施工机具距离m</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噪声值dB(A)</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运行方式</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推土机</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83~88</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挖掘机</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85~90</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载重机车</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80~85</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钻孔机</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80~85</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空压机</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80~88</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振捣棒</w:t>
                  </w:r>
                </w:p>
              </w:tc>
              <w:tc>
                <w:tcPr>
                  <w:tcW w:w="16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3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移动设备</w:t>
                  </w:r>
                </w:p>
              </w:tc>
              <w:tc>
                <w:tcPr>
                  <w:tcW w:w="14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间断，﹤1h</w:t>
                  </w:r>
                </w:p>
              </w:tc>
            </w:tr>
          </w:tbl>
          <w:p>
            <w:pPr>
              <w:pStyle w:val="35"/>
              <w:ind w:firstLine="482"/>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钻井工程</w:t>
            </w:r>
          </w:p>
          <w:p>
            <w:pPr>
              <w:pStyle w:val="35"/>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钻井噪声主要来源于备用柴油机</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发电机</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钻井设备、泥浆泵、振动筛等连续性噪声和测试放喷噪声，噪声源强在85~1</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0dB(A)</w:t>
            </w:r>
            <w:r>
              <w:rPr>
                <w:rFonts w:hint="eastAsia"/>
                <w:color w:val="000000" w:themeColor="text1"/>
                <w:sz w:val="24"/>
                <w:szCs w:val="24"/>
                <w14:textFill>
                  <w14:solidFill>
                    <w14:schemeClr w14:val="tx1"/>
                  </w14:solidFill>
                </w14:textFill>
              </w:rPr>
              <w:t>。</w:t>
            </w:r>
          </w:p>
          <w:p>
            <w:pPr>
              <w:pStyle w:val="35"/>
              <w:ind w:firstLine="480"/>
              <w:rPr>
                <w:color w:val="000000" w:themeColor="text1"/>
                <w:sz w:val="24"/>
                <w:szCs w:val="24"/>
                <w14:textFill>
                  <w14:solidFill>
                    <w14:schemeClr w14:val="tx1"/>
                  </w14:solidFill>
                </w14:textFill>
              </w:rPr>
            </w:pPr>
          </w:p>
          <w:p>
            <w:pPr>
              <w:pStyle w:val="26"/>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钻井工程</w:t>
            </w:r>
            <w:r>
              <w:rPr>
                <w:color w:val="000000" w:themeColor="text1"/>
                <w14:textFill>
                  <w14:solidFill>
                    <w14:schemeClr w14:val="tx1"/>
                  </w14:solidFill>
                </w14:textFill>
              </w:rPr>
              <w:t>主要噪声源强特性</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单位：dB(A)</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439"/>
              <w:gridCol w:w="661"/>
              <w:gridCol w:w="1162"/>
              <w:gridCol w:w="702"/>
              <w:gridCol w:w="1094"/>
              <w:gridCol w:w="1162"/>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阶段</w:t>
                  </w: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主要噪声</w:t>
                  </w:r>
                </w:p>
                <w:p>
                  <w:pPr>
                    <w:pStyle w:val="30"/>
                    <w:rPr>
                      <w:color w:val="000000" w:themeColor="text1"/>
                      <w14:textFill>
                        <w14:solidFill>
                          <w14:schemeClr w14:val="tx1"/>
                        </w14:solidFill>
                      </w14:textFill>
                    </w:rPr>
                  </w:pPr>
                  <w:r>
                    <w:rPr>
                      <w:color w:val="000000" w:themeColor="text1"/>
                      <w14:textFill>
                        <w14:solidFill>
                          <w14:schemeClr w14:val="tx1"/>
                        </w14:solidFill>
                      </w14:textFill>
                    </w:rPr>
                    <w:t>设备</w:t>
                  </w:r>
                </w:p>
              </w:tc>
              <w:tc>
                <w:tcPr>
                  <w:tcW w:w="6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单台源强</w:t>
                  </w:r>
                </w:p>
                <w:p>
                  <w:pPr>
                    <w:pStyle w:val="30"/>
                    <w:rPr>
                      <w:color w:val="000000" w:themeColor="text1"/>
                      <w14:textFill>
                        <w14:solidFill>
                          <w14:schemeClr w14:val="tx1"/>
                        </w14:solidFill>
                      </w14:textFill>
                    </w:rPr>
                  </w:pPr>
                  <w:r>
                    <w:rPr>
                      <w:color w:val="000000" w:themeColor="text1"/>
                      <w14:textFill>
                        <w14:solidFill>
                          <w14:schemeClr w14:val="tx1"/>
                        </w14:solidFill>
                      </w14:textFill>
                    </w:rPr>
                    <w:t>dB(A)</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噪声</w:t>
                  </w:r>
                </w:p>
                <w:p>
                  <w:pPr>
                    <w:pStyle w:val="30"/>
                    <w:rPr>
                      <w:color w:val="000000" w:themeColor="text1"/>
                      <w14:textFill>
                        <w14:solidFill>
                          <w14:schemeClr w14:val="tx1"/>
                        </w14:solidFill>
                      </w14:textFill>
                    </w:rPr>
                  </w:pPr>
                  <w:r>
                    <w:rPr>
                      <w:color w:val="000000" w:themeColor="text1"/>
                      <w14:textFill>
                        <w14:solidFill>
                          <w14:schemeClr w14:val="tx1"/>
                        </w14:solidFill>
                      </w14:textFill>
                    </w:rPr>
                    <w:t>特性</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排放时间</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频谱特性</w:t>
                  </w: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声源种类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钻井</w:t>
                  </w: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钻井设备</w:t>
                  </w:r>
                </w:p>
              </w:tc>
              <w:tc>
                <w:tcPr>
                  <w:tcW w:w="6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1套</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1147"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低频噪声为主，600～1000Hz以内，峰值在63～250Hz之间，具有波长较长，方向性弱，衰减消失缓慢等特点</w:t>
                  </w: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continue"/>
                  <w:vAlign w:val="center"/>
                </w:tcPr>
                <w:p>
                  <w:pPr>
                    <w:pStyle w:val="30"/>
                    <w:rPr>
                      <w:color w:val="000000" w:themeColor="text1"/>
                      <w14:textFill>
                        <w14:solidFill>
                          <w14:schemeClr w14:val="tx1"/>
                        </w14:solidFill>
                      </w14:textFill>
                    </w:rPr>
                  </w:pP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空气压缩机</w:t>
                  </w:r>
                </w:p>
              </w:tc>
              <w:tc>
                <w:tcPr>
                  <w:tcW w:w="6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1台</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continue"/>
                  <w:vAlign w:val="center"/>
                </w:tcPr>
                <w:p>
                  <w:pPr>
                    <w:pStyle w:val="30"/>
                    <w:rPr>
                      <w:color w:val="000000" w:themeColor="text1"/>
                      <w14:textFill>
                        <w14:solidFill>
                          <w14:schemeClr w14:val="tx1"/>
                        </w14:solidFill>
                      </w14:textFill>
                    </w:rPr>
                  </w:pP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泥浆泵</w:t>
                  </w:r>
                </w:p>
              </w:tc>
              <w:tc>
                <w:tcPr>
                  <w:tcW w:w="65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台</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continue"/>
                  <w:vAlign w:val="center"/>
                </w:tcPr>
                <w:p>
                  <w:pPr>
                    <w:pStyle w:val="30"/>
                    <w:rPr>
                      <w:color w:val="000000" w:themeColor="text1"/>
                      <w14:textFill>
                        <w14:solidFill>
                          <w14:schemeClr w14:val="tx1"/>
                        </w14:solidFill>
                      </w14:textFill>
                    </w:rPr>
                  </w:pP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65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台</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5</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continue"/>
                  <w:vAlign w:val="center"/>
                </w:tcPr>
                <w:p>
                  <w:pPr>
                    <w:pStyle w:val="30"/>
                    <w:rPr>
                      <w:color w:val="000000" w:themeColor="text1"/>
                      <w14:textFill>
                        <w14:solidFill>
                          <w14:schemeClr w14:val="tx1"/>
                        </w14:solidFill>
                      </w14:textFill>
                    </w:rPr>
                  </w:pP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电动化机组</w:t>
                  </w:r>
                </w:p>
              </w:tc>
              <w:tc>
                <w:tcPr>
                  <w:tcW w:w="6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2台</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85</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测试</w:t>
                  </w:r>
                </w:p>
              </w:tc>
              <w:tc>
                <w:tcPr>
                  <w:tcW w:w="142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事故放喷</w:t>
                  </w:r>
                </w:p>
              </w:tc>
              <w:tc>
                <w:tcPr>
                  <w:tcW w:w="6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空气</w:t>
                  </w:r>
                </w:p>
                <w:p>
                  <w:pPr>
                    <w:pStyle w:val="30"/>
                    <w:rPr>
                      <w:color w:val="000000" w:themeColor="text1"/>
                      <w14:textFill>
                        <w14:solidFill>
                          <w14:schemeClr w14:val="tx1"/>
                        </w14:solidFill>
                      </w14:textFill>
                    </w:rPr>
                  </w:pPr>
                  <w:r>
                    <w:rPr>
                      <w:color w:val="000000" w:themeColor="text1"/>
                      <w14:textFill>
                        <w14:solidFill>
                          <w14:schemeClr w14:val="tx1"/>
                        </w14:solidFill>
                      </w14:textFill>
                    </w:rPr>
                    <w:t>动力</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昼间3</w:t>
                  </w:r>
                  <w:r>
                    <w:rPr>
                      <w:rFonts w:hint="eastAsia"/>
                      <w:color w:val="000000" w:themeColor="text1"/>
                      <w14:textFill>
                        <w14:solidFill>
                          <w14:schemeClr w14:val="tx1"/>
                        </w14:solidFill>
                      </w14:textFill>
                    </w:rPr>
                    <w:t>h</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638"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备用</w:t>
                  </w: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柴油机</w:t>
                  </w:r>
                </w:p>
              </w:tc>
              <w:tc>
                <w:tcPr>
                  <w:tcW w:w="65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p>
              </w:tc>
              <w:tc>
                <w:tcPr>
                  <w:tcW w:w="11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95~100</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w:t>
                  </w:r>
                  <w:r>
                    <w:rPr>
                      <w:rFonts w:hint="eastAsia"/>
                      <w:color w:val="000000" w:themeColor="text1"/>
                      <w14:textFill>
                        <w14:solidFill>
                          <w14:schemeClr w14:val="tx1"/>
                        </w14:solidFill>
                      </w14:textFill>
                    </w:rPr>
                    <w:t>h</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38" w:type="dxa"/>
                  <w:vMerge w:val="continue"/>
                  <w:vAlign w:val="center"/>
                </w:tcPr>
                <w:p>
                  <w:pPr>
                    <w:pStyle w:val="30"/>
                    <w:rPr>
                      <w:color w:val="000000" w:themeColor="text1"/>
                      <w14:textFill>
                        <w14:solidFill>
                          <w14:schemeClr w14:val="tx1"/>
                        </w14:solidFill>
                      </w14:textFill>
                    </w:rPr>
                  </w:pPr>
                </w:p>
              </w:tc>
              <w:tc>
                <w:tcPr>
                  <w:tcW w:w="14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发电机</w:t>
                  </w:r>
                </w:p>
              </w:tc>
              <w:tc>
                <w:tcPr>
                  <w:tcW w:w="65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p>
              </w:tc>
              <w:tc>
                <w:tcPr>
                  <w:tcW w:w="11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p>
              </w:tc>
              <w:tc>
                <w:tcPr>
                  <w:tcW w:w="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108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w:t>
                  </w:r>
                  <w:r>
                    <w:rPr>
                      <w:rFonts w:hint="eastAsia"/>
                      <w:color w:val="000000" w:themeColor="text1"/>
                      <w14:textFill>
                        <w14:solidFill>
                          <w14:schemeClr w14:val="tx1"/>
                        </w14:solidFill>
                      </w14:textFill>
                    </w:rPr>
                    <w:t>h</w:t>
                  </w:r>
                </w:p>
              </w:tc>
              <w:tc>
                <w:tcPr>
                  <w:tcW w:w="1147" w:type="dxa"/>
                  <w:vMerge w:val="continue"/>
                  <w:vAlign w:val="center"/>
                </w:tcPr>
                <w:p>
                  <w:pPr>
                    <w:pStyle w:val="30"/>
                    <w:rPr>
                      <w:color w:val="000000" w:themeColor="text1"/>
                      <w14:textFill>
                        <w14:solidFill>
                          <w14:schemeClr w14:val="tx1"/>
                        </w14:solidFill>
                      </w14:textFill>
                    </w:rPr>
                  </w:pPr>
                </w:p>
              </w:tc>
              <w:tc>
                <w:tcPr>
                  <w:tcW w:w="113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固定声源</w:t>
                  </w:r>
                </w:p>
              </w:tc>
            </w:tr>
          </w:tbl>
          <w:p>
            <w:pPr>
              <w:adjustRightInd w:val="0"/>
              <w:snapToGrid w:val="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.2.5</w:t>
            </w:r>
            <w:r>
              <w:rPr>
                <w:rFonts w:hint="eastAsia"/>
                <w:b/>
                <w:bCs/>
                <w:color w:val="000000" w:themeColor="text1"/>
                <w14:textFill>
                  <w14:solidFill>
                    <w14:schemeClr w14:val="tx1"/>
                  </w14:solidFill>
                </w14:textFill>
              </w:rPr>
              <w:t>固体废物</w:t>
            </w:r>
          </w:p>
          <w:p>
            <w:pPr>
              <w:adjustRightInd w:val="0"/>
              <w:snapToGrid w:val="0"/>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钻前工程</w:t>
            </w:r>
          </w:p>
          <w:p>
            <w:pPr>
              <w:adjustRightInd w:val="0"/>
              <w:snapToGrid w:val="0"/>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钻前工程固体废物主要有开挖土石方、施工人员产生的生活垃圾。</w:t>
            </w:r>
          </w:p>
          <w:p>
            <w:pPr>
              <w:adjustRightInd w:val="0"/>
              <w:snapToGrid w:val="0"/>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井场及井场道路开挖土石方，全部回填</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无弃方产生。</w:t>
            </w:r>
          </w:p>
          <w:p>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生活垃圾按0.5kg/人·d计算，平台施工人员20人，则产生量约为10kg/d，钻前施工期为30天，生活垃圾产生量共计0.3t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生活垃圾定点收集后，交环卫部门处置。</w:t>
            </w:r>
          </w:p>
          <w:p>
            <w:pPr>
              <w:ind w:firstLine="482" w:firstLineChars="200"/>
              <w:jc w:val="left"/>
              <w:rPr>
                <w:b/>
                <w:color w:val="000000" w:themeColor="text1"/>
                <w:szCs w:val="26"/>
                <w14:textFill>
                  <w14:solidFill>
                    <w14:schemeClr w14:val="tx1"/>
                  </w14:solidFill>
                </w14:textFill>
              </w:rPr>
            </w:pPr>
            <w:r>
              <w:rPr>
                <w:rFonts w:hint="eastAsia"/>
                <w:b/>
                <w:color w:val="000000" w:themeColor="text1"/>
                <w:szCs w:val="26"/>
                <w14:textFill>
                  <w14:solidFill>
                    <w14:schemeClr w14:val="tx1"/>
                  </w14:solidFill>
                </w14:textFill>
              </w:rPr>
              <w:t>（2）</w:t>
            </w:r>
            <w:r>
              <w:rPr>
                <w:b/>
                <w:color w:val="000000" w:themeColor="text1"/>
                <w:szCs w:val="26"/>
                <w14:textFill>
                  <w14:solidFill>
                    <w14:schemeClr w14:val="tx1"/>
                  </w14:solidFill>
                </w14:textFill>
              </w:rPr>
              <w:t>钻井</w:t>
            </w:r>
            <w:r>
              <w:rPr>
                <w:rFonts w:hint="eastAsia"/>
                <w:b/>
                <w:color w:val="000000" w:themeColor="text1"/>
                <w:szCs w:val="26"/>
                <w14:textFill>
                  <w14:solidFill>
                    <w14:schemeClr w14:val="tx1"/>
                  </w14:solidFill>
                </w14:textFill>
              </w:rPr>
              <w:t>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w:t>
            </w:r>
            <w:r>
              <w:rPr>
                <w:color w:val="000000" w:themeColor="text1"/>
                <w14:textFill>
                  <w14:solidFill>
                    <w14:schemeClr w14:val="tx1"/>
                  </w14:solidFill>
                </w14:textFill>
              </w:rPr>
              <w:t>产生的固体废物主要有钻井岩屑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废水罐污泥、废油</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生活垃圾。</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核查《国家危险废物名录》（2021），水基钻井岩屑不在《国家危险废物名录》（2021）中规定的危险废物之列，废油属于危险废物。根据《重庆市环境保护局关于天然气开采行业固体废物污染防治有关问题的通知》（渝环[2014]106号），石油天然气开采产生的水基钻井岩屑按照一般工业固体废物进行管理。</w:t>
            </w:r>
          </w:p>
          <w:p>
            <w:pPr>
              <w:ind w:firstLine="482" w:firstLineChars="200"/>
              <w:rPr>
                <w:b/>
                <w:color w:val="000000" w:themeColor="text1"/>
                <w14:textFill>
                  <w14:solidFill>
                    <w14:schemeClr w14:val="tx1"/>
                  </w14:solidFill>
                </w14:textFill>
              </w:rPr>
            </w:pPr>
            <w:r>
              <w:rPr>
                <w:rFonts w:hint="eastAsia" w:ascii="宋体" w:hAnsi="宋体" w:cs="宋体"/>
                <w:b/>
                <w:color w:val="000000" w:themeColor="text1"/>
                <w:lang w:eastAsia="ja-JP"/>
                <w14:textFill>
                  <w14:solidFill>
                    <w14:schemeClr w14:val="tx1"/>
                  </w14:solidFill>
                </w14:textFill>
              </w:rPr>
              <w:t>①</w:t>
            </w:r>
            <w:r>
              <w:rPr>
                <w:b/>
                <w:color w:val="000000" w:themeColor="text1"/>
                <w14:textFill>
                  <w14:solidFill>
                    <w14:schemeClr w14:val="tx1"/>
                  </w14:solidFill>
                </w14:textFill>
              </w:rPr>
              <w:t>钻井岩屑</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钻井岩屑是在钻井过程中钻头切削地层岩石而产生的碎屑，其产生量与井眼长度、平均井径有关。</w:t>
            </w:r>
            <w:r>
              <w:rPr>
                <w:rFonts w:hint="eastAsia"/>
                <w:color w:val="000000" w:themeColor="text1"/>
                <w14:textFill>
                  <w14:solidFill>
                    <w14:schemeClr w14:val="tx1"/>
                  </w14:solidFill>
                </w14:textFill>
              </w:rPr>
              <w:t>根据本项目钻井阶段各开次进尺、钻头尺寸，并取一定的容积扩大倍数。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根据西南油气田多年大量钻井数据的统计以及类比同类型钻井工程得出经验数据，平均每钻1m进尺产生岩屑约0.4m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，合深9井（导管段～一开～四开）钻井深度5324m，水基岩屑产生量约为2130m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，密度约为2.3t/m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，约4899t。定期外运至砖厂进行资源化综合利用。</w:t>
            </w:r>
          </w:p>
          <w:p>
            <w:pPr>
              <w:ind w:firstLine="482" w:firstLineChars="200"/>
              <w:rPr>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②废水基泥浆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钻井废泥浆是钻井过程中无法再利用而废弃的泥浆（损失泥浆）和钻井完工后地面水基泥浆循环系统内和井筒内贮存的钻井泥浆。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根据西南油气田大量钻井数据的统计以及类比同类型钻井工程，废泥浆产生量一般为每米进尺0.02m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，本工程导管段及水基泥浆钻进（一开～四开）段为5324m，可计算废钻井泥浆产生量约106.48m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，密度约为2t/m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，约212.96t。定期外运至砖厂进行资源化综合利用。</w:t>
            </w:r>
          </w:p>
          <w:p>
            <w:pPr>
              <w:ind w:firstLine="520"/>
              <w:rPr>
                <w:color w:val="000000" w:themeColor="text1"/>
                <w14:textFill>
                  <w14:solidFill>
                    <w14:schemeClr w14:val="tx1"/>
                  </w14:solidFill>
                </w14:textFill>
              </w:rPr>
            </w:pPr>
            <w:r>
              <w:rPr>
                <w:rFonts w:hint="eastAsia"/>
                <w:b/>
                <w:color w:val="000000" w:themeColor="text1"/>
                <w14:textFill>
                  <w14:solidFill>
                    <w14:schemeClr w14:val="tx1"/>
                  </w14:solidFill>
                </w14:textFill>
              </w:rPr>
              <w:t>③废水罐污泥</w:t>
            </w:r>
          </w:p>
          <w:p>
            <w:pPr>
              <w:ind w:firstLine="52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钻井废水在废水罐絮凝沉淀时会产生沉淀污泥。污泥的主要成分为钻井液、岩屑，根据类比调查，工程产生的废水罐污泥约50m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ind w:firstLine="520"/>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④</w:t>
            </w:r>
            <w:r>
              <w:rPr>
                <w:b/>
                <w:color w:val="000000" w:themeColor="text1"/>
                <w14:textFill>
                  <w14:solidFill>
                    <w14:schemeClr w14:val="tx1"/>
                  </w14:solidFill>
                </w14:textFill>
              </w:rPr>
              <w:t>废油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废油的主要来源是：机械（泥浆泵、转盘、链条等）润滑废油；清洗、保养产生的废油，如更换柴油机、发电机零部件和潜洗钻具、套管时产生的废油；本工程共产生废油约0.8t。废油属于危险废物（HW08），废油去向：现场配备废油回收桶，放置于危废暂存间，并采取防渗、防雨、防风、防晒，设置围堰保护措施，完钻后交有危废资质单位处置。</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间并做好“四防”（防风、防雨、防晒、防渗漏）措施，危废暂存场所做好重点防渗。依据《危险废物贮存污染控制标准》（GB 18597-2001）“危险废物的堆放基础必须防渗，防渗层为至少1米厚粘土层（渗透系数≤10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cm/s），或2毫米厚高密度聚乙烯，或至少2毫米厚的其它人工材料，渗透系数≤10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cm/s”。本工程危废间在已设计的重点防渗要求之上均增加2mm高密度聚乙烯膜，再用水泥砂浆抹面，渗透系数≤10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cm/s，可有效防止污染物入渗，并设置1.5m高砖混结构C20水泥抹面围堰防止泄露，彩钢棚防雨。</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危险废物产生情况一览表</w:t>
            </w:r>
          </w:p>
          <w:tbl>
            <w:tblPr>
              <w:tblStyle w:val="18"/>
              <w:tblW w:w="48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08"/>
              <w:gridCol w:w="850"/>
              <w:gridCol w:w="941"/>
              <w:gridCol w:w="805"/>
              <w:gridCol w:w="672"/>
              <w:gridCol w:w="672"/>
              <w:gridCol w:w="672"/>
              <w:gridCol w:w="672"/>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0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0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危险废物名称</w:t>
                  </w:r>
                </w:p>
              </w:tc>
              <w:tc>
                <w:tcPr>
                  <w:tcW w:w="5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物类别</w:t>
                  </w:r>
                </w:p>
              </w:tc>
              <w:tc>
                <w:tcPr>
                  <w:tcW w:w="59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危险废物代码</w:t>
                  </w:r>
                </w:p>
              </w:tc>
              <w:tc>
                <w:tcPr>
                  <w:tcW w:w="50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形态</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主要成分</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有害</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成分</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特性</w:t>
                  </w:r>
                  <w:r>
                    <w:rPr>
                      <w:color w:val="000000" w:themeColor="text1"/>
                      <w14:textFill>
                        <w14:solidFill>
                          <w14:schemeClr w14:val="tx1"/>
                        </w14:solidFill>
                      </w14:textFill>
                    </w:rPr>
                    <w:t>*</w:t>
                  </w:r>
                </w:p>
              </w:tc>
              <w:tc>
                <w:tcPr>
                  <w:tcW w:w="86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污染防治</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废油</w:t>
                  </w:r>
                </w:p>
              </w:tc>
              <w:tc>
                <w:tcPr>
                  <w:tcW w:w="5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HW08</w:t>
                  </w:r>
                </w:p>
              </w:tc>
              <w:tc>
                <w:tcPr>
                  <w:tcW w:w="591"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ascii="TimesNewRomanPSMT" w:hAnsi="TimesNewRomanPSMT" w:eastAsia="TimesNewRomanPSMT" w:cs="TimesNewRomanPSMT"/>
                      <w:color w:val="000000" w:themeColor="text1"/>
                      <w14:textFill>
                        <w14:solidFill>
                          <w14:schemeClr w14:val="tx1"/>
                        </w14:solidFill>
                      </w14:textFill>
                    </w:rPr>
                    <w:t>900-2</w:t>
                  </w:r>
                  <w:r>
                    <w:rPr>
                      <w:rFonts w:ascii="TimesNewRomanPSMT" w:hAnsi="TimesNewRomanPSMT" w:eastAsia="TimesNewRomanPSMT" w:cs="TimesNewRomanPSMT"/>
                      <w:color w:val="000000" w:themeColor="text1"/>
                      <w14:textFill>
                        <w14:solidFill>
                          <w14:schemeClr w14:val="tx1"/>
                        </w14:solidFill>
                      </w14:textFill>
                    </w:rPr>
                    <w:t>17</w:t>
                  </w:r>
                  <w:r>
                    <w:rPr>
                      <w:rFonts w:hint="eastAsia" w:ascii="TimesNewRomanPSMT" w:hAnsi="TimesNewRomanPSMT" w:eastAsia="TimesNewRomanPSMT" w:cs="TimesNewRomanPSMT"/>
                      <w:color w:val="000000" w:themeColor="text1"/>
                      <w14:textFill>
                        <w14:solidFill>
                          <w14:schemeClr w14:val="tx1"/>
                        </w14:solidFill>
                      </w14:textFill>
                    </w:rPr>
                    <w:t>-08</w:t>
                  </w:r>
                </w:p>
              </w:tc>
              <w:tc>
                <w:tcPr>
                  <w:tcW w:w="50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废矿物油</w:t>
                  </w:r>
                </w:p>
              </w:tc>
              <w:tc>
                <w:tcPr>
                  <w:tcW w:w="422"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ascii="TimesNewRomanPSMT" w:hAnsi="TimesNewRomanPSMT" w:eastAsia="TimesNewRomanPSMT" w:cs="TimesNewRomanPSMT"/>
                      <w:color w:val="000000" w:themeColor="text1"/>
                      <w14:textFill>
                        <w14:solidFill>
                          <w14:schemeClr w14:val="tx1"/>
                        </w14:solidFill>
                      </w14:textFill>
                    </w:rPr>
                    <w:t>T</w:t>
                  </w:r>
                  <w:r>
                    <w:rPr>
                      <w:rFonts w:hint="eastAsia" w:ascii="宋体" w:hAnsi="TimesNewRomanPSMT" w:cs="宋体"/>
                      <w:color w:val="000000" w:themeColor="text1"/>
                      <w14:textFill>
                        <w14:solidFill>
                          <w14:schemeClr w14:val="tx1"/>
                        </w14:solidFill>
                      </w14:textFill>
                    </w:rPr>
                    <w:t>，</w:t>
                  </w:r>
                  <w:r>
                    <w:rPr>
                      <w:rFonts w:hint="eastAsia" w:ascii="TimesNewRomanPSMT" w:hAnsi="TimesNewRomanPSMT" w:eastAsia="TimesNewRomanPSMT" w:cs="TimesNewRomanPSMT"/>
                      <w:color w:val="000000" w:themeColor="text1"/>
                      <w14:textFill>
                        <w14:solidFill>
                          <w14:schemeClr w14:val="tx1"/>
                        </w14:solidFill>
                      </w14:textFill>
                    </w:rPr>
                    <w:t>I</w:t>
                  </w:r>
                </w:p>
              </w:tc>
              <w:tc>
                <w:tcPr>
                  <w:tcW w:w="866"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交有危废资质单位处置</w:t>
                  </w:r>
                </w:p>
              </w:tc>
            </w:tr>
          </w:tbl>
          <w:p>
            <w:pPr>
              <w:tabs>
                <w:tab w:val="left" w:pos="1695"/>
              </w:tabs>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⑤</w:t>
            </w:r>
            <w:r>
              <w:rPr>
                <w:b/>
                <w:color w:val="000000" w:themeColor="text1"/>
                <w14:textFill>
                  <w14:solidFill>
                    <w14:schemeClr w14:val="tx1"/>
                  </w14:solidFill>
                </w14:textFill>
              </w:rPr>
              <w:t>生活垃圾</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w:t>
            </w:r>
            <w:r>
              <w:rPr>
                <w:color w:val="000000" w:themeColor="text1"/>
                <w14:textFill>
                  <w14:solidFill>
                    <w14:schemeClr w14:val="tx1"/>
                  </w14:solidFill>
                </w14:textFill>
              </w:rPr>
              <w:t>期间生活垃圾按0.5kg/人·d计算，施工人员50人，则产生量约为25kg/d，钻井</w:t>
            </w:r>
            <w:r>
              <w:rPr>
                <w:rFonts w:hint="eastAsia"/>
                <w:color w:val="000000" w:themeColor="text1"/>
                <w14:textFill>
                  <w14:solidFill>
                    <w14:schemeClr w14:val="tx1"/>
                  </w14:solidFill>
                </w14:textFill>
              </w:rPr>
              <w:t>工程</w:t>
            </w:r>
            <w:r>
              <w:rPr>
                <w:color w:val="000000" w:themeColor="text1"/>
                <w14:textFill>
                  <w14:solidFill>
                    <w14:schemeClr w14:val="tx1"/>
                  </w14:solidFill>
                </w14:textFill>
              </w:rPr>
              <w:t>施工期平均为180天，垃圾产生量共计4.5t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生活垃圾交环卫部门处置。</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项目固体废物产生量见表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9 </w:t>
            </w:r>
            <w:r>
              <w:rPr>
                <w:rFonts w:hint="eastAsia"/>
                <w:color w:val="000000" w:themeColor="text1"/>
                <w14:textFill>
                  <w14:solidFill>
                    <w14:schemeClr w14:val="tx1"/>
                  </w14:solidFill>
                </w14:textFill>
              </w:rPr>
              <w:t xml:space="preserve">  固体</w:t>
            </w:r>
            <w:r>
              <w:rPr>
                <w:color w:val="000000" w:themeColor="text1"/>
                <w14:textFill>
                  <w14:solidFill>
                    <w14:schemeClr w14:val="tx1"/>
                  </w14:solidFill>
                </w14:textFill>
              </w:rPr>
              <w:t>废物产生情况一览表</w:t>
            </w:r>
          </w:p>
          <w:tbl>
            <w:tblPr>
              <w:tblStyle w:val="18"/>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464"/>
              <w:gridCol w:w="1170"/>
              <w:gridCol w:w="1076"/>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49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阶段</w:t>
                  </w: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固废性质</w:t>
                  </w:r>
                </w:p>
              </w:tc>
              <w:tc>
                <w:tcPr>
                  <w:tcW w:w="22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钻前工程</w:t>
                  </w: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0.30t</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22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定点收集后，由环卫部门集中处置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vMerge w:val="restar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钻井</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工程</w:t>
                  </w: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水基岩屑</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4899t</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2234" w:type="pct"/>
                  <w:vMerge w:val="restart"/>
                  <w:tcBorders>
                    <w:top w:val="single" w:color="auto" w:sz="4" w:space="0"/>
                    <w:left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井场硬化或修建道路</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定期外运至符合环保手续的砖厂制砖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废水罐污泥</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50</w:t>
                  </w:r>
                  <w:r>
                    <w:rPr>
                      <w:rFonts w:eastAsia="等线"/>
                      <w:color w:val="000000" w:themeColor="text1"/>
                      <w14:textFill>
                        <w14:solidFill>
                          <w14:schemeClr w14:val="tx1"/>
                        </w14:solidFill>
                      </w14:textFill>
                    </w:rPr>
                    <w:t>m</w:t>
                  </w:r>
                  <w:r>
                    <w:rPr>
                      <w:rFonts w:eastAsia="等线"/>
                      <w:color w:val="000000" w:themeColor="text1"/>
                      <w:vertAlign w:val="superscript"/>
                      <w14:textFill>
                        <w14:solidFill>
                          <w14:schemeClr w14:val="tx1"/>
                        </w14:solidFill>
                      </w14:textFill>
                    </w:rPr>
                    <w:t>3</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2234" w:type="pct"/>
                  <w:vMerge w:val="continue"/>
                  <w:tcBorders>
                    <w:left w:val="single" w:color="auto" w:sz="4" w:space="0"/>
                    <w:right w:val="single" w:color="auto" w:sz="4" w:space="0"/>
                  </w:tcBorders>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废水基泥浆</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212.96t</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2234" w:type="pct"/>
                  <w:vMerge w:val="continue"/>
                  <w:tcBorders>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废油</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w:t>
                  </w:r>
                  <w:r>
                    <w:rPr>
                      <w:rFonts w:hint="eastAsia" w:eastAsia="等线"/>
                      <w:color w:val="000000" w:themeColor="text1"/>
                      <w14:textFill>
                        <w14:solidFill>
                          <w14:schemeClr w14:val="tx1"/>
                        </w14:solidFill>
                      </w14:textFill>
                    </w:rPr>
                    <w:t>8</w:t>
                  </w:r>
                  <w:r>
                    <w:rPr>
                      <w:rFonts w:eastAsia="等线"/>
                      <w:color w:val="000000" w:themeColor="text1"/>
                      <w14:textFill>
                        <w14:solidFill>
                          <w14:schemeClr w14:val="tx1"/>
                        </w14:solidFill>
                      </w14:textFill>
                    </w:rPr>
                    <w:t>t</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22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90" w:type="pct"/>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898"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718" w:type="pct"/>
                  <w:tcBorders>
                    <w:top w:val="single" w:color="auto" w:sz="4" w:space="0"/>
                    <w:left w:val="single" w:color="auto" w:sz="4" w:space="0"/>
                    <w:bottom w:val="single" w:color="auto" w:sz="4" w:space="0"/>
                    <w:right w:val="single" w:color="auto" w:sz="4" w:space="0"/>
                  </w:tcBorders>
                  <w:vAlign w:val="center"/>
                </w:tcPr>
                <w:p>
                  <w:pPr>
                    <w:pStyle w:val="30"/>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4.5t</w:t>
                  </w:r>
                </w:p>
              </w:tc>
              <w:tc>
                <w:tcPr>
                  <w:tcW w:w="660"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2234" w:type="pc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定点收集后，由环卫部门集中处置</w:t>
                  </w:r>
                </w:p>
              </w:tc>
            </w:tr>
          </w:tbl>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4.3影响分析</w:t>
            </w:r>
          </w:p>
          <w:p>
            <w:pPr>
              <w:pStyle w:val="32"/>
              <w:adjustRightInd w:val="0"/>
              <w:snapToGrid w:val="0"/>
              <w:spacing w:line="460" w:lineRule="exact"/>
              <w:ind w:firstLine="0" w:firstLineChars="0"/>
              <w:outlineLvl w:val="1"/>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4</w:t>
            </w:r>
            <w:r>
              <w:rPr>
                <w:b/>
                <w:color w:val="000000" w:themeColor="text1"/>
                <w:szCs w:val="24"/>
                <w14:textFill>
                  <w14:solidFill>
                    <w14:schemeClr w14:val="tx1"/>
                  </w14:solidFill>
                </w14:textFill>
              </w:rPr>
              <w:t>.3.</w:t>
            </w:r>
            <w:r>
              <w:rPr>
                <w:rFonts w:hint="eastAsia"/>
                <w:b/>
                <w:color w:val="000000" w:themeColor="text1"/>
                <w:szCs w:val="24"/>
                <w14:textFill>
                  <w14:solidFill>
                    <w14:schemeClr w14:val="tx1"/>
                  </w14:solidFill>
                </w14:textFill>
              </w:rPr>
              <w:t>1</w:t>
            </w:r>
            <w:r>
              <w:rPr>
                <w:b/>
                <w:color w:val="000000" w:themeColor="text1"/>
                <w:szCs w:val="24"/>
                <w14:textFill>
                  <w14:solidFill>
                    <w14:schemeClr w14:val="tx1"/>
                  </w14:solidFill>
                </w14:textFill>
              </w:rPr>
              <w:t>大气环境影响分析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钻前工程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钻前施工对环境空气的影响主要是道路扬尘及燃油动力机械废气。扬尘主要来自施工现场运输车辆、筑路机械作业过程中扬起的灰尘。这些扬尘粒径在</w:t>
            </w:r>
            <w:r>
              <w:rPr>
                <w:color w:val="000000" w:themeColor="text1"/>
                <w14:textFill>
                  <w14:solidFill>
                    <w14:schemeClr w14:val="tx1"/>
                  </w14:solidFill>
                </w14:textFill>
              </w:rPr>
              <w:t>3~80µm</w:t>
            </w:r>
            <w:r>
              <w:rPr>
                <w:rFonts w:hint="eastAsia"/>
                <w:color w:val="000000" w:themeColor="text1"/>
                <w14:textFill>
                  <w14:solidFill>
                    <w14:schemeClr w14:val="tx1"/>
                  </w14:solidFill>
                </w14:textFill>
              </w:rPr>
              <w:t>之间，比重在</w:t>
            </w:r>
            <w:r>
              <w:rPr>
                <w:color w:val="000000" w:themeColor="text1"/>
                <w14:textFill>
                  <w14:solidFill>
                    <w14:schemeClr w14:val="tx1"/>
                  </w14:solidFill>
                </w14:textFill>
              </w:rPr>
              <w:t>1.2~1.3</w:t>
            </w:r>
            <w:r>
              <w:rPr>
                <w:rFonts w:hint="eastAsia"/>
                <w:color w:val="000000" w:themeColor="text1"/>
                <w14:textFill>
                  <w14:solidFill>
                    <w14:schemeClr w14:val="tx1"/>
                  </w14:solidFill>
                </w14:textFill>
              </w:rPr>
              <w:t>。从粒径分析，施工扬尘易于沉降。项目所在区域风速小，产生的扬尘量小，同时在易产尘施工点采取定点洒水湿式作业措施，可有效降低局部施工产尘点扬尘。在加强洒水防尘作业后，对环境的影响是局部的，并随着施工的结束而结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各类燃油动力机械在现场进行场地挖填、运输、施工等作业时，排放的废气中含CO和NOx等污染物，由于施工的燃油机械为间断施工，加之污染物排放量小，对环境空气的不利影响很小，施工结束后，影响将消失。</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钻井工程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本项目为天然气钻井工程，不涉及后期的站场运营，因此大气环境影响为钻井期间的施工机械、施工车辆产生的尾气，无运营期污染物排放，项目废气主要包括柴油机、测试放喷和事故放喷废气等。</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柴油机废气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本项目采用ZJ70D钻机钻井，钻井作业时，利用柴油机给钻机上的各种设备如泥浆泵、天车、转盘等提供动力。柴油机为成套产品，有自带的烟气处理系统，其燃料燃烧会排放少量废气，主要污染物为NOx、CO、CO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、HC和少量烟尘等，进入大气中后将很快被稀释，且其影响的持续时间较短，钻井期间的大气污染物将随钻井工程的结束而消除，故对环境空气影响较小。</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测试放喷废气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放喷废气来自测试放喷过程中天然气燃烧，天然气采用空中燃烧可降低废气的毒性，测试放喷时间一般约3小时，属短期排放，将随测试放喷的结束而消失，通常因时间短而视为非正常工况废气。</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事故放喷废气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事故放喷是由于地层高压异常导致的，在石油天然气行业是低概率事件，为非正常工况。事故放喷主产物是天然气燃烧后产生的SO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、NOx、CO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O。事故放喷时间持续较短，通过专用的放喷管线将天然气引至燃烧池进行点火放喷。建设单位应制定事故放喷应急预案，定期演练，提高环境风险应对能力。</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放喷前，建设单位应对距离井口500m范围内的居民进行告知，并建立警戒点进行24小时警戒，严禁居民靠近，以减轻放喷废气对这些居民的影响。同时由于测试放喷时间一般为3小时，属短期排放，不会形成长期环境影响，短期影响也可控制在周边居民健康安全限值以下，污染物排放随测试放喷的结束而停止。</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项目钻井期间对周边大气环境影响较小</w:t>
            </w:r>
            <w:r>
              <w:rPr>
                <w:rFonts w:hint="eastAsia"/>
                <w:color w:val="000000" w:themeColor="text1"/>
                <w14:textFill>
                  <w14:solidFill>
                    <w14:schemeClr w14:val="tx1"/>
                  </w14:solidFill>
                </w14:textFill>
              </w:rPr>
              <w:t>。</w:t>
            </w:r>
          </w:p>
          <w:p>
            <w:pPr>
              <w:pStyle w:val="32"/>
              <w:adjustRightInd w:val="0"/>
              <w:snapToGrid w:val="0"/>
              <w:spacing w:line="460" w:lineRule="exact"/>
              <w:ind w:firstLine="0" w:firstLineChars="0"/>
              <w:outlineLvl w:val="1"/>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4</w:t>
            </w:r>
            <w:r>
              <w:rPr>
                <w:b/>
                <w:color w:val="000000" w:themeColor="text1"/>
                <w:szCs w:val="24"/>
                <w14:textFill>
                  <w14:solidFill>
                    <w14:schemeClr w14:val="tx1"/>
                  </w14:solidFill>
                </w14:textFill>
              </w:rPr>
              <w:t>.3.</w:t>
            </w:r>
            <w:r>
              <w:rPr>
                <w:rFonts w:hint="eastAsia"/>
                <w:b/>
                <w:color w:val="000000" w:themeColor="text1"/>
                <w:szCs w:val="24"/>
                <w14:textFill>
                  <w14:solidFill>
                    <w14:schemeClr w14:val="tx1"/>
                  </w14:solidFill>
                </w14:textFill>
              </w:rPr>
              <w:t>2声</w:t>
            </w:r>
            <w:r>
              <w:rPr>
                <w:b/>
                <w:color w:val="000000" w:themeColor="text1"/>
                <w:szCs w:val="24"/>
                <w14:textFill>
                  <w14:solidFill>
                    <w14:schemeClr w14:val="tx1"/>
                  </w14:solidFill>
                </w14:textFill>
              </w:rPr>
              <w:t>环境影响分析</w:t>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4.3.2.1钻前工程</w:t>
            </w:r>
          </w:p>
          <w:p>
            <w:pPr>
              <w:pStyle w:val="49"/>
              <w:adjustRightInd/>
              <w:snapToGrid/>
              <w:spacing w:line="440" w:lineRule="exact"/>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钻前工程施工噪声主要来自施工机械和运输车辆噪声，施工噪声影响虽然是暂时的，但施工过程中采用的施工机械一般都具有噪声高、无规则等特点，如不加以控制，将会对施工区域周边环境产生一定的影响。</w:t>
            </w:r>
            <w:r>
              <w:rPr>
                <w:rFonts w:hint="eastAsia"/>
                <w:color w:val="000000" w:themeColor="text1"/>
                <w:szCs w:val="24"/>
                <w14:textFill>
                  <w14:solidFill>
                    <w14:schemeClr w14:val="tx1"/>
                  </w14:solidFill>
                </w14:textFill>
              </w:rPr>
              <w:t>钻井过程中设备噪声也会对周围环境产生一定的影响。</w:t>
            </w:r>
          </w:p>
          <w:p>
            <w:pPr>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施工噪声预测模式</w:t>
            </w:r>
          </w:p>
          <w:p>
            <w:pPr>
              <w:pStyle w:val="49"/>
              <w:adjustRightInd/>
              <w:snapToGrid/>
              <w:spacing w:line="440" w:lineRule="exact"/>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本项目钻前施工设备均设在露天场地内，本次评价采用《环境影响评价技术导则 声环境》（HJ2.4-2021）中推荐的室外声源计算方法的无指向性点声源几何发散衰减公式进行预测。对于稳态机械设备，当声源处于自由空间且仅考虑声源的几何发散衰减，则距离点声源r处的声压级为：</w:t>
            </w:r>
          </w:p>
          <w:p>
            <w:pPr>
              <w:spacing w:line="360" w:lineRule="auto"/>
              <w:jc w:val="center"/>
              <w:rPr>
                <w:color w:val="000000" w:themeColor="text1"/>
                <w14:textFill>
                  <w14:solidFill>
                    <w14:schemeClr w14:val="tx1"/>
                  </w14:solidFill>
                </w14:textFill>
              </w:rPr>
            </w:pPr>
            <w:r>
              <w:rPr>
                <w:rFonts w:hint="eastAsia"/>
                <w:bCs/>
                <w:color w:val="000000" w:themeColor="text1"/>
                <w14:textFill>
                  <w14:solidFill>
                    <w14:schemeClr w14:val="tx1"/>
                  </w14:solidFill>
                </w14:textFill>
              </w:rPr>
              <w:drawing>
                <wp:inline distT="0" distB="0" distL="0" distR="0">
                  <wp:extent cx="4238625" cy="9817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238087" cy="981746"/>
                          </a:xfrm>
                          <a:prstGeom prst="rect">
                            <a:avLst/>
                          </a:prstGeom>
                          <a:noFill/>
                          <a:ln>
                            <a:noFill/>
                          </a:ln>
                        </pic:spPr>
                      </pic:pic>
                    </a:graphicData>
                  </a:graphic>
                </wp:inline>
              </w:drawing>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厂界预测点贡献值计算：</w:t>
            </w:r>
          </w:p>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86250" cy="125349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286250" cy="1253913"/>
                          </a:xfrm>
                          <a:prstGeom prst="rect">
                            <a:avLst/>
                          </a:prstGeom>
                          <a:noFill/>
                          <a:ln>
                            <a:noFill/>
                          </a:ln>
                        </pic:spPr>
                      </pic:pic>
                    </a:graphicData>
                  </a:graphic>
                </wp:inline>
              </w:drawing>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根据工程设计，拟建项目钻前工程仅白天施工，夜间不施工。</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声源的几何发散衰减</w:t>
            </w:r>
            <w:r>
              <w:rPr>
                <w:color w:val="000000" w:themeColor="text1"/>
                <w14:textFill>
                  <w14:solidFill>
                    <w14:schemeClr w14:val="tx1"/>
                  </w14:solidFill>
                </w14:textFill>
              </w:rPr>
              <w:t>对施工机械噪声的影响范围（作业点至噪声值达到标准的距离）进行预测，在不考虑任何声屏障和噪声防治措施的情况下</w:t>
            </w:r>
            <w:r>
              <w:rPr>
                <w:rFonts w:hint="eastAsia"/>
                <w:color w:val="000000" w:themeColor="text1"/>
                <w14:textFill>
                  <w14:solidFill>
                    <w14:schemeClr w14:val="tx1"/>
                  </w14:solidFill>
                </w14:textFill>
              </w:rPr>
              <w:t>，各施工机具声源在不同距离处的噪声影响值</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未考虑吸声、隔声等效果</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主要施工机械在不同距离的噪声值</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dB(A)</w:t>
            </w:r>
          </w:p>
          <w:tbl>
            <w:tblPr>
              <w:tblStyle w:val="18"/>
              <w:tblW w:w="8012" w:type="dxa"/>
              <w:jc w:val="center"/>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59"/>
              <w:gridCol w:w="818"/>
              <w:gridCol w:w="818"/>
              <w:gridCol w:w="818"/>
              <w:gridCol w:w="818"/>
              <w:gridCol w:w="819"/>
              <w:gridCol w:w="819"/>
              <w:gridCol w:w="819"/>
              <w:gridCol w:w="824"/>
            </w:tblGrid>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噪声源</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70m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130m</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150m</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200m</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推土机</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65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55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51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48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45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43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41 </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39 </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64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54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50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47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44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42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40 </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38 </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载重汽车</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62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52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48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45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42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40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38 </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36 </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钻孔机</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65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55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51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48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45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43 </w:t>
                  </w:r>
                </w:p>
              </w:tc>
              <w:tc>
                <w:tcPr>
                  <w:tcW w:w="83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41 </w:t>
                  </w:r>
                </w:p>
              </w:tc>
              <w:tc>
                <w:tcPr>
                  <w:tcW w:w="83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39 </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空压机</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58</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54</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51</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48</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46</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44</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42</w:t>
                  </w:r>
                </w:p>
              </w:tc>
            </w:tr>
            <w:tr>
              <w:tblPrEx>
                <w:tblBorders>
                  <w:top w:val="single" w:color="auto" w:sz="6"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振捣棒</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80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70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66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63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60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58 </w:t>
                  </w:r>
                </w:p>
              </w:tc>
              <w:tc>
                <w:tcPr>
                  <w:tcW w:w="510"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56 </w:t>
                  </w:r>
                </w:p>
              </w:tc>
              <w:tc>
                <w:tcPr>
                  <w:tcW w:w="51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 xml:space="preserve">54 </w:t>
                  </w:r>
                </w:p>
              </w:tc>
            </w:tr>
          </w:tbl>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上表可知，在不考虑任何声屏障和噪声防治措施的情况下，在距离50m处施工机具对声环境的贡献值为48~66dB（A），在距离100m处施工机具对声环境的贡献值为42~60dB（A），在距离200m处施工机具对声环境的贡献值为36~54dB（A）。</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w:t>
            </w:r>
            <w:r>
              <w:rPr>
                <w:color w:val="000000" w:themeColor="text1"/>
                <w14:textFill>
                  <w14:solidFill>
                    <w14:schemeClr w14:val="tx1"/>
                  </w14:solidFill>
                </w14:textFill>
              </w:rPr>
              <w:t>钻前工程夜间不施工，不存在施工噪声夜间超标环境影响；在不采取任何土建施工噪声防治措施的情况下，通过施工期噪声预测可知，在临近</w:t>
            </w:r>
            <w:r>
              <w:rPr>
                <w:rFonts w:hint="eastAsia"/>
                <w:color w:val="000000" w:themeColor="text1"/>
                <w14:textFill>
                  <w14:solidFill>
                    <w14:schemeClr w14:val="tx1"/>
                  </w14:solidFill>
                </w14:textFill>
              </w:rPr>
              <w:t>施工场地</w:t>
            </w:r>
            <w:r>
              <w:rPr>
                <w:color w:val="000000" w:themeColor="text1"/>
                <w14:textFill>
                  <w14:solidFill>
                    <w14:schemeClr w14:val="tx1"/>
                  </w14:solidFill>
                </w14:textFill>
              </w:rPr>
              <w:t>厂界30m范围内使用高噪声设备可能造成施工</w:t>
            </w:r>
            <w:r>
              <w:rPr>
                <w:rFonts w:hint="eastAsia"/>
                <w:color w:val="000000" w:themeColor="text1"/>
                <w14:textFill>
                  <w14:solidFill>
                    <w14:schemeClr w14:val="tx1"/>
                  </w14:solidFill>
                </w14:textFill>
              </w:rPr>
              <w:t>场</w:t>
            </w:r>
            <w:r>
              <w:rPr>
                <w:color w:val="000000" w:themeColor="text1"/>
                <w14:textFill>
                  <w14:solidFill>
                    <w14:schemeClr w14:val="tx1"/>
                  </w14:solidFill>
                </w14:textFill>
              </w:rPr>
              <w:t>界噪声不能满足《建筑施工场界环境噪声排放标准》（GB12523-2011）规定的昼间70dB（A）限值要求，需要采取适当措施降低环境影响。在钻前工程施工过程中，应尽量将高噪声设备安排在井场内远离周边居民点的位置布置，并选择合理的施工时间，避开周边居民休息时间进行施工，尽量将施工噪声对居民的影响降到最小，避免噪声扰民。</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敏感点环境影响分析</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根据现场调查，</w:t>
            </w:r>
            <w:r>
              <w:rPr>
                <w:rFonts w:hint="eastAsia"/>
                <w:color w:val="000000" w:themeColor="text1"/>
                <w14:textFill>
                  <w14:solidFill>
                    <w14:schemeClr w14:val="tx1"/>
                  </w14:solidFill>
                </w14:textFill>
              </w:rPr>
              <w:t>项目井场周边200m范围内分布有8处声环境保护目标</w:t>
            </w:r>
            <w:r>
              <w:rPr>
                <w:color w:val="000000" w:themeColor="text1"/>
                <w14:textFill>
                  <w14:solidFill>
                    <w14:schemeClr w14:val="tx1"/>
                  </w14:solidFill>
                </w14:textFill>
              </w:rPr>
              <w:t>，具体分布情况详见前表</w:t>
            </w:r>
            <w:r>
              <w:rPr>
                <w:rFonts w:hint="eastAsia"/>
                <w:color w:val="000000" w:themeColor="text1"/>
                <w14:textFill>
                  <w14:solidFill>
                    <w14:schemeClr w14:val="tx1"/>
                  </w14:solidFill>
                </w14:textFill>
              </w:rPr>
              <w:t>3.3-1</w:t>
            </w:r>
            <w:r>
              <w:rPr>
                <w:color w:val="000000" w:themeColor="text1"/>
                <w14:textFill>
                  <w14:solidFill>
                    <w14:schemeClr w14:val="tx1"/>
                  </w14:solidFill>
                </w14:textFill>
              </w:rPr>
              <w:t>。施工过程</w:t>
            </w:r>
            <w:r>
              <w:rPr>
                <w:rFonts w:hint="eastAsia"/>
                <w:color w:val="000000" w:themeColor="text1"/>
                <w14:textFill>
                  <w14:solidFill>
                    <w14:schemeClr w14:val="tx1"/>
                  </w14:solidFill>
                </w14:textFill>
              </w:rPr>
              <w:t>对周边200m范围内环境保护目标</w:t>
            </w:r>
            <w:r>
              <w:rPr>
                <w:color w:val="000000" w:themeColor="text1"/>
                <w14:textFill>
                  <w14:solidFill>
                    <w14:schemeClr w14:val="tx1"/>
                  </w14:solidFill>
                </w14:textFill>
              </w:rPr>
              <w:t>噪声影响预测见表</w:t>
            </w:r>
            <w:r>
              <w:rPr>
                <w:rFonts w:hint="eastAsia"/>
                <w:color w:val="000000" w:themeColor="text1"/>
                <w14:textFill>
                  <w14:solidFill>
                    <w14:schemeClr w14:val="tx1"/>
                  </w14:solidFill>
                </w14:textFill>
              </w:rPr>
              <w:t>4.3-2</w:t>
            </w:r>
            <w:r>
              <w:rPr>
                <w:color w:val="000000" w:themeColor="text1"/>
                <w14:textFill>
                  <w14:solidFill>
                    <w14:schemeClr w14:val="tx1"/>
                  </w14:solidFill>
                </w14:textFill>
              </w:rPr>
              <w:t>。</w:t>
            </w:r>
          </w:p>
          <w:p>
            <w:pPr>
              <w:spacing w:line="440" w:lineRule="exact"/>
              <w:ind w:firstLine="482" w:firstLineChars="200"/>
              <w:jc w:val="center"/>
              <w:rPr>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4.3-2</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钻前工程施工对</w:t>
            </w:r>
            <w:r>
              <w:rPr>
                <w:rFonts w:hint="eastAsia"/>
                <w:b/>
                <w:bCs/>
                <w:color w:val="000000" w:themeColor="text1"/>
                <w14:textFill>
                  <w14:solidFill>
                    <w14:schemeClr w14:val="tx1"/>
                  </w14:solidFill>
                </w14:textFill>
              </w:rPr>
              <w:t>环境保护</w:t>
            </w:r>
            <w:r>
              <w:rPr>
                <w:b/>
                <w:bCs/>
                <w:color w:val="000000" w:themeColor="text1"/>
                <w14:textFill>
                  <w14:solidFill>
                    <w14:schemeClr w14:val="tx1"/>
                  </w14:solidFill>
                </w14:textFill>
              </w:rPr>
              <w:t xml:space="preserve">目标影响预测  </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单位：dB（A）</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206"/>
              <w:gridCol w:w="904"/>
              <w:gridCol w:w="904"/>
              <w:gridCol w:w="968"/>
              <w:gridCol w:w="1252"/>
              <w:gridCol w:w="1222"/>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52"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声环境保护目标</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现状值/dB(A)</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标准值/dB(A)</w:t>
                  </w:r>
                </w:p>
              </w:tc>
              <w:tc>
                <w:tcPr>
                  <w:tcW w:w="604"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贡献值/dB(A)</w:t>
                  </w:r>
                </w:p>
              </w:tc>
              <w:tc>
                <w:tcPr>
                  <w:tcW w:w="78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预测值/dB(A)</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较现状增量/dB(A)</w:t>
                  </w:r>
                </w:p>
              </w:tc>
              <w:tc>
                <w:tcPr>
                  <w:tcW w:w="67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continue"/>
                  <w:vAlign w:val="center"/>
                </w:tcPr>
                <w:p>
                  <w:pPr>
                    <w:pStyle w:val="30"/>
                    <w:rPr>
                      <w:color w:val="000000" w:themeColor="text1"/>
                      <w14:textFill>
                        <w14:solidFill>
                          <w14:schemeClr w14:val="tx1"/>
                        </w14:solidFill>
                      </w14:textFill>
                    </w:rPr>
                  </w:pPr>
                </w:p>
              </w:tc>
              <w:tc>
                <w:tcPr>
                  <w:tcW w:w="752" w:type="pct"/>
                  <w:vMerge w:val="continue"/>
                  <w:vAlign w:val="center"/>
                </w:tcPr>
                <w:p>
                  <w:pPr>
                    <w:pStyle w:val="30"/>
                    <w:rPr>
                      <w:color w:val="000000" w:themeColor="text1"/>
                      <w14:textFill>
                        <w14:solidFill>
                          <w14:schemeClr w14:val="tx1"/>
                        </w14:solidFill>
                      </w14:textFill>
                    </w:rPr>
                  </w:pPr>
                </w:p>
              </w:tc>
              <w:tc>
                <w:tcPr>
                  <w:tcW w:w="564"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564"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604" w:type="pct"/>
                  <w:vMerge w:val="continue"/>
                  <w:vAlign w:val="center"/>
                </w:tcPr>
                <w:p>
                  <w:pPr>
                    <w:pStyle w:val="30"/>
                    <w:rPr>
                      <w:color w:val="000000" w:themeColor="text1"/>
                      <w14:textFill>
                        <w14:solidFill>
                          <w14:schemeClr w14:val="tx1"/>
                        </w14:solidFill>
                      </w14:textFill>
                    </w:rPr>
                  </w:pP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762"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674"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66.6</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66.7</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17.7</w:t>
                  </w:r>
                </w:p>
              </w:tc>
              <w:tc>
                <w:tcPr>
                  <w:tcW w:w="67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65.6</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65.7</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16.7</w:t>
                  </w:r>
                </w:p>
              </w:tc>
              <w:tc>
                <w:tcPr>
                  <w:tcW w:w="67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66.6</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66.7</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17.7</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62.3</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62.5</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13.5</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27</w:t>
                  </w:r>
                  <w:r>
                    <w:rPr>
                      <w:color w:val="000000" w:themeColor="text1"/>
                      <w14:textFill>
                        <w14:solidFill>
                          <w14:schemeClr w14:val="tx1"/>
                        </w14:solidFill>
                      </w14:textFill>
                    </w:rPr>
                    <w:t>#居民点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61.7</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61.9</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12.9</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64.9</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61.7</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61.9</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12.9</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5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#居民点</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56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04"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63.6</w:t>
                  </w:r>
                </w:p>
              </w:tc>
              <w:tc>
                <w:tcPr>
                  <w:tcW w:w="78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63.8</w:t>
                  </w:r>
                </w:p>
              </w:tc>
              <w:tc>
                <w:tcPr>
                  <w:tcW w:w="762"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14.8</w:t>
                  </w:r>
                </w:p>
              </w:tc>
              <w:tc>
                <w:tcPr>
                  <w:tcW w:w="674" w:type="pct"/>
                  <w:vAlign w:val="center"/>
                </w:tcPr>
                <w:p>
                  <w:pPr>
                    <w:pStyle w:val="30"/>
                    <w:rPr>
                      <w:b/>
                      <w:bCs/>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bl>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上表</w:t>
            </w:r>
            <w:r>
              <w:rPr>
                <w:color w:val="000000" w:themeColor="text1"/>
                <w14:textFill>
                  <w14:solidFill>
                    <w14:schemeClr w14:val="tx1"/>
                  </w14:solidFill>
                </w14:textFill>
              </w:rPr>
              <w:t>预测情况，</w:t>
            </w:r>
            <w:r>
              <w:rPr>
                <w:rFonts w:hint="eastAsia"/>
                <w:color w:val="000000" w:themeColor="text1"/>
                <w14:textFill>
                  <w14:solidFill>
                    <w14:schemeClr w14:val="tx1"/>
                  </w14:solidFill>
                </w14:textFill>
              </w:rPr>
              <w:t>拟建项目</w:t>
            </w:r>
            <w:r>
              <w:rPr>
                <w:color w:val="000000" w:themeColor="text1"/>
                <w14:textFill>
                  <w14:solidFill>
                    <w14:schemeClr w14:val="tx1"/>
                  </w14:solidFill>
                </w14:textFill>
              </w:rPr>
              <w:t>昼间钻前施工过程对周边200m范围</w:t>
            </w:r>
            <w:r>
              <w:rPr>
                <w:rFonts w:hint="eastAsia"/>
                <w:color w:val="000000" w:themeColor="text1"/>
                <w14:textFill>
                  <w14:solidFill>
                    <w14:schemeClr w14:val="tx1"/>
                  </w14:solidFill>
                </w14:textFill>
              </w:rPr>
              <w:t>内的</w:t>
            </w:r>
            <w:r>
              <w:rPr>
                <w:color w:val="000000" w:themeColor="text1"/>
                <w14:textFill>
                  <w14:solidFill>
                    <w14:schemeClr w14:val="tx1"/>
                  </w14:solidFill>
                </w14:textFill>
              </w:rPr>
              <w:t>居民</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的噪声预测值</w:t>
            </w:r>
            <w:r>
              <w:rPr>
                <w:rFonts w:hint="eastAsia"/>
                <w:color w:val="000000" w:themeColor="text1"/>
                <w14:textFill>
                  <w14:solidFill>
                    <w14:schemeClr w14:val="tx1"/>
                  </w14:solidFill>
                </w14:textFill>
              </w:rPr>
              <w:t>均不</w:t>
            </w:r>
            <w:r>
              <w:rPr>
                <w:color w:val="000000" w:themeColor="text1"/>
                <w14:textFill>
                  <w14:solidFill>
                    <w14:schemeClr w14:val="tx1"/>
                  </w14:solidFill>
                </w14:textFill>
              </w:rPr>
              <w:t>满足《声环境质量标准》（GB3096-2008）中</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r>
              <w:rPr>
                <w:rFonts w:hint="eastAsia"/>
                <w:color w:val="000000" w:themeColor="text1"/>
                <w14:textFill>
                  <w14:solidFill>
                    <w14:schemeClr w14:val="tx1"/>
                  </w14:solidFill>
                </w14:textFill>
              </w:rPr>
              <w:t>超标范围为1.9~6.7dB(A)，因此，为减小钻前施工噪声对周边居民的噪声影响，</w:t>
            </w:r>
            <w:r>
              <w:rPr>
                <w:color w:val="000000" w:themeColor="text1"/>
                <w14:textFill>
                  <w14:solidFill>
                    <w14:schemeClr w14:val="tx1"/>
                  </w14:solidFill>
                </w14:textFill>
              </w:rPr>
              <w:t>在钻前工程施工过程中，应尽量选择合理的施工时间，高噪声设备作业</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尽量避开周边居民午间休息时间，最大</w:t>
            </w:r>
            <w:r>
              <w:rPr>
                <w:rFonts w:hint="eastAsia"/>
                <w:color w:val="000000" w:themeColor="text1"/>
                <w14:textFill>
                  <w14:solidFill>
                    <w14:schemeClr w14:val="tx1"/>
                  </w14:solidFill>
                </w14:textFill>
              </w:rPr>
              <w:t>程度地避免</w:t>
            </w:r>
            <w:r>
              <w:rPr>
                <w:color w:val="000000" w:themeColor="text1"/>
                <w14:textFill>
                  <w14:solidFill>
                    <w14:schemeClr w14:val="tx1"/>
                  </w14:solidFill>
                </w14:textFill>
              </w:rPr>
              <w:t>噪声扰民</w:t>
            </w:r>
            <w:r>
              <w:rPr>
                <w:rFonts w:hint="eastAsia"/>
                <w:color w:val="000000" w:themeColor="text1"/>
                <w14:textFill>
                  <w14:solidFill>
                    <w14:schemeClr w14:val="tx1"/>
                  </w14:solidFill>
                </w14:textFill>
              </w:rPr>
              <w:t>，同时施工前应与周边居民协商。本次钻井工程</w:t>
            </w:r>
            <w:r>
              <w:rPr>
                <w:color w:val="000000" w:themeColor="text1"/>
                <w14:textFill>
                  <w14:solidFill>
                    <w14:schemeClr w14:val="tx1"/>
                  </w14:solidFill>
                </w14:textFill>
              </w:rPr>
              <w:t>钻前工程施工期较短，且仅昼间施工，施工噪声对环境影响程度有限，施工噪声影响随施工的结束而消失，不会形成施工噪声的长期声环境影响，其环境影响可控制在当地环境可接受范围内。</w:t>
            </w:r>
          </w:p>
          <w:p>
            <w:pP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4.3.2.2钻井工程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（1）厂界预测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A.厂界声源强及各厂界关系</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采用柴油发电机作为备用电源。钻井噪声主要来源于钻机、泥浆泵、振动筛等连续噪声，噪声源强在80~100dB(A)。目前钻井噪声处理难度较大，要减轻钻井噪声影响，主要还是通过钻井过程中采取相应的降噪措施。在钻井过程中采取的噪声防治措施有：柴油机和发电机自带铁皮设备机房，排气筒加消声罩，可以降噪约20dB(A)；在钻井过程中平稳操作，避免产生非正常的噪声；泥浆泵、振动筛、电动化机组等采用弹性垫料，可起到一定降噪效果，可以降低噪声约5~10dB(A)，本次评价取8dB(A)。</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钻井工程主要噪声源噪声值见表4.3-2。</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表4.3-2    钻井工程降噪前后的噪声源强统计表（室外声源）</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720"/>
              <w:gridCol w:w="1265"/>
              <w:gridCol w:w="332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主要噪声</w:t>
                  </w:r>
                </w:p>
                <w:p>
                  <w:pPr>
                    <w:pStyle w:val="30"/>
                    <w:rPr>
                      <w:color w:val="000000" w:themeColor="text1"/>
                      <w14:textFill>
                        <w14:solidFill>
                          <w14:schemeClr w14:val="tx1"/>
                        </w14:solidFill>
                      </w14:textFill>
                    </w:rPr>
                  </w:pPr>
                  <w:r>
                    <w:rPr>
                      <w:color w:val="000000" w:themeColor="text1"/>
                      <w14:textFill>
                        <w14:solidFill>
                          <w14:schemeClr w14:val="tx1"/>
                        </w14:solidFill>
                      </w14:textFill>
                    </w:rPr>
                    <w:t>设备</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单台源强</w:t>
                  </w:r>
                </w:p>
                <w:p>
                  <w:pPr>
                    <w:pStyle w:val="30"/>
                    <w:rPr>
                      <w:color w:val="000000" w:themeColor="text1"/>
                      <w14:textFill>
                        <w14:solidFill>
                          <w14:schemeClr w14:val="tx1"/>
                        </w14:solidFill>
                      </w14:textFill>
                    </w:rPr>
                  </w:pPr>
                  <w:r>
                    <w:rPr>
                      <w:color w:val="000000" w:themeColor="text1"/>
                      <w14:textFill>
                        <w14:solidFill>
                          <w14:schemeClr w14:val="tx1"/>
                        </w14:solidFill>
                      </w14:textFill>
                    </w:rPr>
                    <w:t>dB(A)</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降噪措施</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降噪后源强</w:t>
                  </w:r>
                  <w:r>
                    <w:rPr>
                      <w:color w:val="000000" w:themeColor="text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钻井设备</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1套</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空气压缩机</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1台</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泥浆泵</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2台</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加装弹性垫料</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2台</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5</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加装弹性垫料</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电动化机组</w:t>
                  </w:r>
                </w:p>
              </w:tc>
              <w:tc>
                <w:tcPr>
                  <w:tcW w:w="71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2台</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85</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加装弹性垫料</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柴油</w:t>
                  </w:r>
                  <w:r>
                    <w:rPr>
                      <w:rFonts w:hint="eastAsia"/>
                      <w:color w:val="000000" w:themeColor="text1"/>
                      <w14:textFill>
                        <w14:solidFill>
                          <w14:schemeClr w14:val="tx1"/>
                        </w14:solidFill>
                      </w14:textFill>
                    </w:rPr>
                    <w:t>机（备用）</w:t>
                  </w:r>
                </w:p>
              </w:tc>
              <w:tc>
                <w:tcPr>
                  <w:tcW w:w="71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p>
              </w:tc>
              <w:tc>
                <w:tcPr>
                  <w:tcW w:w="1260"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95~100</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机房隔声，并在排气筒加装消声器</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发电机</w:t>
                  </w:r>
                  <w:r>
                    <w:rPr>
                      <w:rFonts w:hint="eastAsia"/>
                      <w:color w:val="000000" w:themeColor="text1"/>
                      <w14:textFill>
                        <w14:solidFill>
                          <w14:schemeClr w14:val="tx1"/>
                        </w14:solidFill>
                      </w14:textFill>
                    </w:rPr>
                    <w:t>（备用）</w:t>
                  </w:r>
                </w:p>
              </w:tc>
              <w:tc>
                <w:tcPr>
                  <w:tcW w:w="71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p>
              </w:tc>
              <w:tc>
                <w:tcPr>
                  <w:tcW w:w="1260"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p>
              </w:tc>
              <w:tc>
                <w:tcPr>
                  <w:tcW w:w="33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机房隔声，并在排气筒加装消声器</w:t>
                  </w:r>
                </w:p>
              </w:tc>
              <w:tc>
                <w:tcPr>
                  <w:tcW w:w="113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（2）预测模式</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本项目钻井工程设备均设在露天井场内，采用《环境影响评价技术导则 声环境》（HJ2.4-2021）中推荐的室外声源计算方法的无指向性点声源几何发散衰减公式进行预测。对于稳态机械设备，当声源处于自由空间且仅考虑声源的几何发散衰减，则距离点声源r处的声压级为：</w:t>
            </w:r>
          </w:p>
          <w:p>
            <w:pPr>
              <w:adjustRightInd w:val="0"/>
              <w:snapToGrid w:val="0"/>
              <w:ind w:firstLine="480" w:firstLineChars="200"/>
              <w:rPr>
                <w:color w:val="000000" w:themeColor="text1"/>
                <w14:textFill>
                  <w14:solidFill>
                    <w14:schemeClr w14:val="tx1"/>
                  </w14:solidFill>
                </w14:textFill>
              </w:rPr>
            </w:pPr>
          </w:p>
          <w:p>
            <w:pPr>
              <w:adjustRightInd w:val="0"/>
              <w:snapToGrid w:val="0"/>
              <w:ind w:firstLine="480" w:firstLineChars="200"/>
              <w:rPr>
                <w:color w:val="000000" w:themeColor="text1"/>
                <w14:textFill>
                  <w14:solidFill>
                    <w14:schemeClr w14:val="tx1"/>
                  </w14:solidFill>
                </w14:textFill>
              </w:rPr>
            </w:pPr>
          </w:p>
          <w:p>
            <w:pPr>
              <w:adjustRightInd w:val="0"/>
              <w:snapToGrid w:val="0"/>
              <w:ind w:firstLine="480" w:firstLineChars="200"/>
              <w:rPr>
                <w:color w:val="000000" w:themeColor="text1"/>
                <w14:textFill>
                  <w14:solidFill>
                    <w14:schemeClr w14:val="tx1"/>
                  </w14:solidFill>
                </w14:textFill>
              </w:rPr>
            </w:pPr>
          </w:p>
          <w:p>
            <w:pPr>
              <w:adjustRightInd w:val="0"/>
              <w:snapToGrid w:val="0"/>
              <w:spacing w:line="360" w:lineRule="auto"/>
              <w:jc w:val="center"/>
              <w:rPr>
                <w:color w:val="000000" w:themeColor="text1"/>
                <w14:textFill>
                  <w14:solidFill>
                    <w14:schemeClr w14:val="tx1"/>
                  </w14:solidFill>
                </w14:textFill>
              </w:rPr>
            </w:pPr>
            <w:r>
              <w:rPr>
                <w:rFonts w:hint="eastAsia"/>
                <w:bCs/>
                <w:color w:val="000000" w:themeColor="text1"/>
                <w14:textFill>
                  <w14:solidFill>
                    <w14:schemeClr w14:val="tx1"/>
                  </w14:solidFill>
                </w14:textFill>
              </w:rPr>
              <w:drawing>
                <wp:inline distT="0" distB="0" distL="0" distR="0">
                  <wp:extent cx="4999990" cy="1158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9990" cy="1158240"/>
                          </a:xfrm>
                          <a:prstGeom prst="rect">
                            <a:avLst/>
                          </a:prstGeom>
                          <a:noFill/>
                          <a:ln>
                            <a:noFill/>
                          </a:ln>
                          <a:effectLst/>
                        </pic:spPr>
                      </pic:pic>
                    </a:graphicData>
                  </a:graphic>
                </wp:inline>
              </w:drawing>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厂界预测点贡献值计算：</w:t>
            </w:r>
          </w:p>
          <w:p>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81575" cy="14573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81575" cy="1457325"/>
                          </a:xfrm>
                          <a:prstGeom prst="rect">
                            <a:avLst/>
                          </a:prstGeom>
                          <a:noFill/>
                          <a:ln>
                            <a:noFill/>
                          </a:ln>
                          <a:effectLst/>
                        </pic:spPr>
                      </pic:pic>
                    </a:graphicData>
                  </a:graphic>
                </wp:inline>
              </w:drawing>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（3）预测结果及影响分析</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①厂界噪声预测影响分析</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钻井工程主要设备与平台场界最近距离详见下表4.3-3。</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井场内主要设备与井场场界最近距离统计表</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m</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613"/>
              <w:gridCol w:w="1613"/>
              <w:gridCol w:w="1613"/>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主要设备</w:t>
                  </w:r>
                </w:p>
              </w:tc>
              <w:tc>
                <w:tcPr>
                  <w:tcW w:w="6453" w:type="dxa"/>
                  <w:gridSpan w:val="4"/>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与各场界最近距离（m）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Merge w:val="continue"/>
                  <w:vAlign w:val="center"/>
                </w:tcPr>
                <w:p>
                  <w:pPr>
                    <w:pStyle w:val="30"/>
                    <w:rPr>
                      <w:color w:val="000000" w:themeColor="text1"/>
                      <w14:textFill>
                        <w14:solidFill>
                          <w14:schemeClr w14:val="tx1"/>
                        </w14:solidFill>
                      </w14:textFill>
                    </w:rPr>
                  </w:pP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东场界</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南场界</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西场界</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北场界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钻井设备</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空气压缩机</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泥浆泵</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电动化机组</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柴油</w:t>
                  </w:r>
                  <w:r>
                    <w:rPr>
                      <w:rFonts w:hint="eastAsia"/>
                      <w:color w:val="000000" w:themeColor="text1"/>
                      <w14:textFill>
                        <w14:solidFill>
                          <w14:schemeClr w14:val="tx1"/>
                        </w14:solidFill>
                      </w14:textFill>
                    </w:rPr>
                    <w:t>机（备用）</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发电机</w:t>
                  </w:r>
                  <w:r>
                    <w:rPr>
                      <w:rFonts w:hint="eastAsia"/>
                      <w:color w:val="000000" w:themeColor="text1"/>
                      <w14:textFill>
                        <w14:solidFill>
                          <w14:schemeClr w14:val="tx1"/>
                        </w14:solidFill>
                      </w14:textFill>
                    </w:rPr>
                    <w:t>（备用）</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1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1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A.场界噪声预测结果分析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本项目网电和柴油发电机两种供电方式钻井过程中厂界噪声值预测见下表。</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网电钻井工程场界噪声预测结果</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dB(A)</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269"/>
              <w:gridCol w:w="1765"/>
              <w:gridCol w:w="145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6" w:type="dxa"/>
                  <w:vMerge w:val="restar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场界</w:t>
                  </w:r>
                </w:p>
              </w:tc>
              <w:tc>
                <w:tcPr>
                  <w:tcW w:w="3034" w:type="dxa"/>
                  <w:gridSpan w:val="2"/>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厂界噪声值</w:t>
                  </w:r>
                </w:p>
              </w:tc>
              <w:tc>
                <w:tcPr>
                  <w:tcW w:w="3228" w:type="dxa"/>
                  <w:gridSpan w:val="2"/>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6" w:type="dxa"/>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63.7</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63.7</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62.4</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62.4</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66.2</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66.2</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北场界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60.5</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60.5</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r>
          </w:tbl>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柴油发电机供电钻井工程场界噪声预测结果</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dB(A)</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269"/>
              <w:gridCol w:w="1765"/>
              <w:gridCol w:w="145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6" w:type="dxa"/>
                  <w:vMerge w:val="restar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场界</w:t>
                  </w:r>
                </w:p>
              </w:tc>
              <w:tc>
                <w:tcPr>
                  <w:tcW w:w="3034" w:type="dxa"/>
                  <w:gridSpan w:val="2"/>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厂界噪声值</w:t>
                  </w:r>
                </w:p>
              </w:tc>
              <w:tc>
                <w:tcPr>
                  <w:tcW w:w="3228" w:type="dxa"/>
                  <w:gridSpan w:val="2"/>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6" w:type="dxa"/>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东场界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58.2</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58.2</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南场界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58.2</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58.2</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西场界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56.2</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56.2</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5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北场界</w:t>
                  </w:r>
                </w:p>
              </w:tc>
              <w:tc>
                <w:tcPr>
                  <w:tcW w:w="1269"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45.1</w:t>
                  </w:r>
                </w:p>
              </w:tc>
              <w:tc>
                <w:tcPr>
                  <w:tcW w:w="17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45.1</w:t>
                  </w:r>
                </w:p>
              </w:tc>
              <w:tc>
                <w:tcPr>
                  <w:tcW w:w="145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77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tabs>
                <w:tab w:val="left" w:pos="750"/>
              </w:tabs>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由上表可知，网电钻井期间场界噪声在昼间贡献值均满足《建筑施工场界环境噪声排放标准》</w:t>
            </w:r>
            <w:r>
              <w:rPr>
                <w:color w:val="000000" w:themeColor="text1"/>
                <w14:textFill>
                  <w14:solidFill>
                    <w14:schemeClr w14:val="tx1"/>
                  </w14:solidFill>
                </w14:textFill>
              </w:rPr>
              <w:t>(GB12523-2011)</w:t>
            </w:r>
            <w:r>
              <w:rPr>
                <w:rFonts w:hint="eastAsia"/>
                <w:color w:val="000000" w:themeColor="text1"/>
                <w14:textFill>
                  <w14:solidFill>
                    <w14:schemeClr w14:val="tx1"/>
                  </w14:solidFill>
                </w14:textFill>
              </w:rPr>
              <w:t>昼间标准限值；夜间均超标，超标范围为5.3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10.7</w:t>
            </w:r>
            <w:r>
              <w:rPr>
                <w:color w:val="000000" w:themeColor="text1"/>
                <w14:textFill>
                  <w14:solidFill>
                    <w14:schemeClr w14:val="tx1"/>
                  </w14:solidFill>
                </w14:textFill>
              </w:rPr>
              <w:t>dB(A)</w:t>
            </w:r>
            <w:r>
              <w:rPr>
                <w:rFonts w:hint="eastAsia"/>
                <w:color w:val="000000" w:themeColor="text1"/>
                <w14:textFill>
                  <w14:solidFill>
                    <w14:schemeClr w14:val="tx1"/>
                  </w14:solidFill>
                </w14:textFill>
              </w:rPr>
              <w:t>。柴油发电机钻井时，昼间贡献值均满足《建筑施工场界环境噪声排放标准》</w:t>
            </w:r>
            <w:r>
              <w:rPr>
                <w:color w:val="000000" w:themeColor="text1"/>
                <w14:textFill>
                  <w14:solidFill>
                    <w14:schemeClr w14:val="tx1"/>
                  </w14:solidFill>
                </w14:textFill>
              </w:rPr>
              <w:t>(GB12523-2011)</w:t>
            </w:r>
            <w:r>
              <w:rPr>
                <w:rFonts w:hint="eastAsia"/>
                <w:color w:val="000000" w:themeColor="text1"/>
                <w14:textFill>
                  <w14:solidFill>
                    <w14:schemeClr w14:val="tx1"/>
                  </w14:solidFill>
                </w14:textFill>
              </w:rPr>
              <w:t>昼间标准限值，夜间除北侧外，其余东、南、西、场界噪声均超过《建筑施工场界环境噪声排放标准》</w:t>
            </w:r>
            <w:r>
              <w:rPr>
                <w:color w:val="000000" w:themeColor="text1"/>
                <w14:textFill>
                  <w14:solidFill>
                    <w14:schemeClr w14:val="tx1"/>
                  </w14:solidFill>
                </w14:textFill>
              </w:rPr>
              <w:t>(GB12523-2011)</w:t>
            </w:r>
            <w:r>
              <w:rPr>
                <w:rFonts w:hint="eastAsia"/>
                <w:color w:val="000000" w:themeColor="text1"/>
                <w14:textFill>
                  <w14:solidFill>
                    <w14:schemeClr w14:val="tx1"/>
                  </w14:solidFill>
                </w14:textFill>
              </w:rPr>
              <w:t>标准限值，超标范围为1.2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dB(A)</w:t>
            </w:r>
            <w:r>
              <w:rPr>
                <w:rFonts w:hint="eastAsia"/>
                <w:color w:val="000000" w:themeColor="text1"/>
                <w14:textFill>
                  <w14:solidFill>
                    <w14:schemeClr w14:val="tx1"/>
                  </w14:solidFill>
                </w14:textFill>
              </w:rPr>
              <w:t>，钻井施工在夜间噪声影响较大，柴油发电机组非正常工况下噪声影响更大。</w:t>
            </w:r>
          </w:p>
          <w:p>
            <w:pPr>
              <w:tabs>
                <w:tab w:val="left" w:pos="750"/>
              </w:tabs>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B.敏感点噪声预测结果分析</w:t>
            </w:r>
          </w:p>
          <w:p>
            <w:pPr>
              <w:tabs>
                <w:tab w:val="left" w:pos="750"/>
              </w:tabs>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结合天然气钻井工程特点，本次评价对井口周边</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范围内的居民点进行预测。采用网电和柴油发电机两种供电方式时，噪声预测结果详见下表。</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网电</w:t>
            </w:r>
            <w:r>
              <w:rPr>
                <w:rFonts w:hint="eastAsia"/>
                <w:color w:val="000000" w:themeColor="text1"/>
                <w14:textFill>
                  <w14:solidFill>
                    <w14:schemeClr w14:val="tx1"/>
                  </w14:solidFill>
                </w14:textFill>
              </w:rPr>
              <w:t>情况下敏感点噪声预测结果表</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 xml:space="preserve">dB(A) </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976"/>
              <w:gridCol w:w="486"/>
              <w:gridCol w:w="552"/>
              <w:gridCol w:w="447"/>
              <w:gridCol w:w="588"/>
              <w:gridCol w:w="670"/>
              <w:gridCol w:w="617"/>
              <w:gridCol w:w="665"/>
              <w:gridCol w:w="595"/>
              <w:gridCol w:w="731"/>
              <w:gridCol w:w="604"/>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40"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609"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声环境保护目标</w:t>
                  </w:r>
                </w:p>
              </w:tc>
              <w:tc>
                <w:tcPr>
                  <w:tcW w:w="647"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现状值/dB(A)</w:t>
                  </w:r>
                </w:p>
              </w:tc>
              <w:tc>
                <w:tcPr>
                  <w:tcW w:w="646"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标准值/dB(A)</w:t>
                  </w:r>
                </w:p>
              </w:tc>
              <w:tc>
                <w:tcPr>
                  <w:tcW w:w="418"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贡献值/dB(A)</w:t>
                  </w:r>
                </w:p>
              </w:tc>
              <w:tc>
                <w:tcPr>
                  <w:tcW w:w="800"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预测值/dB(A)</w:t>
                  </w:r>
                </w:p>
              </w:tc>
              <w:tc>
                <w:tcPr>
                  <w:tcW w:w="827"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较现状增量/dB(A)</w:t>
                  </w:r>
                </w:p>
              </w:tc>
              <w:tc>
                <w:tcPr>
                  <w:tcW w:w="814"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Merge w:val="continue"/>
                  <w:vAlign w:val="center"/>
                </w:tcPr>
                <w:p>
                  <w:pPr>
                    <w:pStyle w:val="30"/>
                    <w:rPr>
                      <w:color w:val="000000" w:themeColor="text1"/>
                      <w14:textFill>
                        <w14:solidFill>
                          <w14:schemeClr w14:val="tx1"/>
                        </w14:solidFill>
                      </w14:textFill>
                    </w:rPr>
                  </w:pPr>
                </w:p>
              </w:tc>
              <w:tc>
                <w:tcPr>
                  <w:tcW w:w="609" w:type="pct"/>
                  <w:vMerge w:val="continue"/>
                  <w:vAlign w:val="center"/>
                </w:tcPr>
                <w:p>
                  <w:pPr>
                    <w:pStyle w:val="30"/>
                    <w:rPr>
                      <w:color w:val="000000" w:themeColor="text1"/>
                      <w14:textFill>
                        <w14:solidFill>
                          <w14:schemeClr w14:val="tx1"/>
                        </w14:solidFill>
                      </w14:textFill>
                    </w:rPr>
                  </w:pPr>
                </w:p>
              </w:tc>
              <w:tc>
                <w:tcPr>
                  <w:tcW w:w="30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44"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279"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67"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418" w:type="pct"/>
                  <w:vMerge w:val="continue"/>
                  <w:vAlign w:val="center"/>
                </w:tcPr>
                <w:p>
                  <w:pPr>
                    <w:pStyle w:val="30"/>
                    <w:rPr>
                      <w:color w:val="000000" w:themeColor="text1"/>
                      <w14:textFill>
                        <w14:solidFill>
                          <w14:schemeClr w14:val="tx1"/>
                        </w14:solidFill>
                      </w14:textFill>
                    </w:rPr>
                  </w:pPr>
                </w:p>
              </w:tc>
              <w:tc>
                <w:tcPr>
                  <w:tcW w:w="385"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15"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37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56"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377"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37"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51.2</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53.6</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51.4</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3.6</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12.4</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50.6</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53.3</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50.9</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3.3</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11.9</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53.0</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54.7</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53.1</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4.7</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14.1</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49.0</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52.5</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49.4</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2.5</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10.4</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27</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49.0</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52.5</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49.4</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2.5</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10.4</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51.5</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53.8</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51.7</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3.8</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12.7</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48.3</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52.2</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48.8</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2.2</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9.8</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49.5</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52.8</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49.9</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2.8</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10.9</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pStyle w:val="26"/>
              <w:rPr>
                <w:color w:val="000000" w:themeColor="text1"/>
                <w14:textFill>
                  <w14:solidFill>
                    <w14:schemeClr w14:val="tx1"/>
                  </w14:solidFill>
                </w14:textFill>
              </w:rPr>
            </w:pP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柴油发电机供电情况下敏感点噪声预测结果表</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 xml:space="preserve">dB(A) </w:t>
            </w:r>
          </w:p>
          <w:tbl>
            <w:tblPr>
              <w:tblStyle w:val="1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977"/>
              <w:gridCol w:w="486"/>
              <w:gridCol w:w="552"/>
              <w:gridCol w:w="447"/>
              <w:gridCol w:w="588"/>
              <w:gridCol w:w="670"/>
              <w:gridCol w:w="617"/>
              <w:gridCol w:w="665"/>
              <w:gridCol w:w="595"/>
              <w:gridCol w:w="731"/>
              <w:gridCol w:w="604"/>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41"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609"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声环境保护目标</w:t>
                  </w:r>
                </w:p>
              </w:tc>
              <w:tc>
                <w:tcPr>
                  <w:tcW w:w="647"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现状值/dB(A)</w:t>
                  </w:r>
                </w:p>
              </w:tc>
              <w:tc>
                <w:tcPr>
                  <w:tcW w:w="646"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标准值/dB(A)</w:t>
                  </w:r>
                </w:p>
              </w:tc>
              <w:tc>
                <w:tcPr>
                  <w:tcW w:w="418" w:type="pct"/>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贡献值/dB(A)</w:t>
                  </w:r>
                </w:p>
              </w:tc>
              <w:tc>
                <w:tcPr>
                  <w:tcW w:w="800"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预测值/dB(A)</w:t>
                  </w:r>
                </w:p>
              </w:tc>
              <w:tc>
                <w:tcPr>
                  <w:tcW w:w="827"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较现状增量/dB(A)</w:t>
                  </w:r>
                </w:p>
              </w:tc>
              <w:tc>
                <w:tcPr>
                  <w:tcW w:w="812" w:type="pct"/>
                  <w:gridSpan w:val="2"/>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Merge w:val="continue"/>
                  <w:vAlign w:val="center"/>
                </w:tcPr>
                <w:p>
                  <w:pPr>
                    <w:pStyle w:val="30"/>
                    <w:rPr>
                      <w:color w:val="000000" w:themeColor="text1"/>
                      <w14:textFill>
                        <w14:solidFill>
                          <w14:schemeClr w14:val="tx1"/>
                        </w14:solidFill>
                      </w14:textFill>
                    </w:rPr>
                  </w:pPr>
                </w:p>
              </w:tc>
              <w:tc>
                <w:tcPr>
                  <w:tcW w:w="609" w:type="pct"/>
                  <w:vMerge w:val="continue"/>
                  <w:vAlign w:val="center"/>
                </w:tcPr>
                <w:p>
                  <w:pPr>
                    <w:pStyle w:val="30"/>
                    <w:rPr>
                      <w:color w:val="000000" w:themeColor="text1"/>
                      <w14:textFill>
                        <w14:solidFill>
                          <w14:schemeClr w14:val="tx1"/>
                        </w14:solidFill>
                      </w14:textFill>
                    </w:rPr>
                  </w:pPr>
                </w:p>
              </w:tc>
              <w:tc>
                <w:tcPr>
                  <w:tcW w:w="303"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44"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279"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367"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418" w:type="pct"/>
                  <w:vMerge w:val="continue"/>
                  <w:vAlign w:val="center"/>
                </w:tcPr>
                <w:p>
                  <w:pPr>
                    <w:pStyle w:val="30"/>
                    <w:rPr>
                      <w:color w:val="000000" w:themeColor="text1"/>
                      <w14:textFill>
                        <w14:solidFill>
                          <w14:schemeClr w14:val="tx1"/>
                        </w14:solidFill>
                      </w14:textFill>
                    </w:rPr>
                  </w:pPr>
                </w:p>
              </w:tc>
              <w:tc>
                <w:tcPr>
                  <w:tcW w:w="385"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15"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371"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56"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377"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35" w:type="pc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41.3</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50.5</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43.3</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0.5</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4.3</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40.7</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50.5</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42.9</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0.5</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43.1</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50.8</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44.5</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0.8</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5.5</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09" w:type="pct"/>
                  <w:vAlign w:val="center"/>
                </w:tcPr>
                <w:p>
                  <w:pPr>
                    <w:pStyle w:val="3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r>
                    <w:rPr>
                      <w:rFonts w:hint="eastAsia"/>
                      <w:color w:val="000000" w:themeColor="text1"/>
                      <w:sz w:val="22"/>
                      <w:szCs w:val="22"/>
                      <w14:textFill>
                        <w14:solidFill>
                          <w14:schemeClr w14:val="tx1"/>
                        </w14:solidFill>
                      </w14:textFill>
                    </w:rPr>
                    <w:t>居民</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39.1</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50.3</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42.1</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0.3</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3.1</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27</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39.1</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50.3</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42.1</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0.3</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3.1</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41.6</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50.6</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43.5</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0.6</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4.5</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38.4</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50.3</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41.7</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0.3</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2.7</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60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41</w:t>
                  </w:r>
                  <w:r>
                    <w:rPr>
                      <w:color w:val="000000" w:themeColor="text1"/>
                      <w14:textFill>
                        <w14:solidFill>
                          <w14:schemeClr w14:val="tx1"/>
                        </w14:solidFill>
                      </w14:textFill>
                    </w:rPr>
                    <w:t>#居民点</w:t>
                  </w:r>
                </w:p>
              </w:tc>
              <w:tc>
                <w:tcPr>
                  <w:tcW w:w="303"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50</w:t>
                  </w:r>
                </w:p>
              </w:tc>
              <w:tc>
                <w:tcPr>
                  <w:tcW w:w="344" w:type="pct"/>
                  <w:vAlign w:val="center"/>
                </w:tcPr>
                <w:p>
                  <w:pPr>
                    <w:pStyle w:val="3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39</w:t>
                  </w:r>
                </w:p>
              </w:tc>
              <w:tc>
                <w:tcPr>
                  <w:tcW w:w="279"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36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418"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39.6</w:t>
                  </w:r>
                </w:p>
              </w:tc>
              <w:tc>
                <w:tcPr>
                  <w:tcW w:w="38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50.4</w:t>
                  </w:r>
                </w:p>
              </w:tc>
              <w:tc>
                <w:tcPr>
                  <w:tcW w:w="415"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42.3</w:t>
                  </w:r>
                </w:p>
              </w:tc>
              <w:tc>
                <w:tcPr>
                  <w:tcW w:w="371"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0.4</w:t>
                  </w:r>
                </w:p>
              </w:tc>
              <w:tc>
                <w:tcPr>
                  <w:tcW w:w="456" w:type="pct"/>
                  <w:vAlign w:val="center"/>
                </w:tcPr>
                <w:p>
                  <w:pPr>
                    <w:jc w:val="center"/>
                    <w:rPr>
                      <w:rFonts w:ascii="宋体" w:hAnsi="宋体" w:cs="宋体"/>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3.3</w:t>
                  </w:r>
                </w:p>
              </w:tc>
              <w:tc>
                <w:tcPr>
                  <w:tcW w:w="377"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435" w:type="pc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根据上表</w:t>
            </w:r>
            <w:r>
              <w:rPr>
                <w:rFonts w:hint="eastAsia"/>
                <w:color w:val="000000" w:themeColor="text1"/>
                <w14:textFill>
                  <w14:solidFill>
                    <w14:schemeClr w14:val="tx1"/>
                  </w14:solidFill>
                </w14:textFill>
              </w:rPr>
              <w:t>4.3-6可知，钻井工程使用网电施工过程中，井口周边200m范围内居民点处昼间噪声影响值均达标，满足</w:t>
            </w:r>
            <w:r>
              <w:rPr>
                <w:color w:val="000000" w:themeColor="text1"/>
                <w14:textFill>
                  <w14:solidFill>
                    <w14:schemeClr w14:val="tx1"/>
                  </w14:solidFill>
                </w14:textFill>
              </w:rPr>
              <w:t>《声环境质量标准》（GB3096-2008）中</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昼间</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，部分敏感点处夜间噪声影响值超标，超标范围为1.4~3.1dB(A)。</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根据上表</w:t>
            </w:r>
            <w:r>
              <w:rPr>
                <w:rFonts w:hint="eastAsia"/>
                <w:color w:val="000000" w:themeColor="text1"/>
                <w14:textFill>
                  <w14:solidFill>
                    <w14:schemeClr w14:val="tx1"/>
                  </w14:solidFill>
                </w14:textFill>
              </w:rPr>
              <w:t>4.3-7可知，钻井工程使用柴油发电机施工过程中，井口周边200m范围内居民点处昼间、夜间噪声影响值均达标，满足</w:t>
            </w:r>
            <w:r>
              <w:rPr>
                <w:color w:val="000000" w:themeColor="text1"/>
                <w14:textFill>
                  <w14:solidFill>
                    <w14:schemeClr w14:val="tx1"/>
                  </w14:solidFill>
                </w14:textFill>
              </w:rPr>
              <w:t>《声环境质量标准》（GB3096-2008）中</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r>
              <w:rPr>
                <w:rFonts w:hint="eastAsia"/>
                <w:color w:val="000000" w:themeColor="text1"/>
                <w14:textFill>
                  <w14:solidFill>
                    <w14:schemeClr w14:val="tx1"/>
                  </w14:solidFill>
                </w14:textFill>
              </w:rPr>
              <w:t>限值。</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于钻井作业为野外作业，针对高噪声设备进行降噪处理技术上和经济难度较大，对设备基础安装时加装弹性垫料，高噪声设备设机房和消声器，正常情况下采用乡镇网电供电钻井。另外，拟建项目应根据施工时居民点处的实测噪声值情况，采取协商补偿、临时避让措施</w:t>
            </w:r>
            <w:r>
              <w:rPr>
                <w:color w:val="000000" w:themeColor="text1"/>
                <w14:textFill>
                  <w14:solidFill>
                    <w14:schemeClr w14:val="tx1"/>
                  </w14:solidFill>
                </w14:textFill>
              </w:rPr>
              <w:t>（可租用当地民房、在噪声达标距离之外进行妥善安置</w:t>
            </w:r>
            <w:r>
              <w:rPr>
                <w:rFonts w:hint="eastAsia"/>
                <w:color w:val="000000" w:themeColor="text1"/>
                <w14:textFill>
                  <w14:solidFill>
                    <w14:schemeClr w14:val="tx1"/>
                  </w14:solidFill>
                </w14:textFill>
              </w:rPr>
              <w:t>等），同时开工前通过与当地村委会、居民提前沟通，并做好宣传、讲解</w:t>
            </w:r>
            <w:r>
              <w:rPr>
                <w:color w:val="000000" w:themeColor="text1"/>
                <w14:textFill>
                  <w14:solidFill>
                    <w14:schemeClr w14:val="tx1"/>
                  </w14:solidFill>
                </w14:textFill>
              </w:rPr>
              <w:t>及安抚工作，以取得</w:t>
            </w:r>
            <w:r>
              <w:rPr>
                <w:rFonts w:hint="eastAsia"/>
                <w:color w:val="000000" w:themeColor="text1"/>
                <w14:textFill>
                  <w14:solidFill>
                    <w14:schemeClr w14:val="tx1"/>
                  </w14:solidFill>
                </w14:textFill>
              </w:rPr>
              <w:t>居民点农户的</w:t>
            </w:r>
            <w:r>
              <w:rPr>
                <w:color w:val="000000" w:themeColor="text1"/>
                <w14:textFill>
                  <w14:solidFill>
                    <w14:schemeClr w14:val="tx1"/>
                  </w14:solidFill>
                </w14:textFill>
              </w:rPr>
              <w:t>谅解，最终降低噪声对周围农户所产生的影响</w:t>
            </w:r>
            <w:r>
              <w:rPr>
                <w:rFonts w:hint="eastAsia"/>
                <w:color w:val="000000" w:themeColor="text1"/>
                <w14:textFill>
                  <w14:solidFill>
                    <w14:schemeClr w14:val="tx1"/>
                  </w14:solidFill>
                </w14:textFill>
              </w:rPr>
              <w:t>。钻井噪声影响是暂时性的，钻井结束后影响即消失。</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C.测试放喷噪声影响分析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测试放喷时产生的高压气流噪声为100～110dB(A)，持续时间约3小时，在昼间进行，周边居民在燃烧池100m外，测试放喷影响小，且随着测试的结束，噪声影响也消失，影响可以接受。</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3地表水</w:t>
            </w:r>
            <w:r>
              <w:rPr>
                <w:color w:val="000000" w:themeColor="text1"/>
                <w14:textFill>
                  <w14:solidFill>
                    <w14:schemeClr w14:val="tx1"/>
                  </w14:solidFill>
                </w14:textFill>
              </w:rPr>
              <w:t>环境影响分析</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本项目生活污水通过旱厕收集后作为农肥施用，不外排；不可再利用的钻井工程废水运至附近污水处理厂处理达标后排放，对当地地表水环境的影响小。</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4地下水</w:t>
            </w:r>
            <w:r>
              <w:rPr>
                <w:color w:val="000000" w:themeColor="text1"/>
                <w14:textFill>
                  <w14:solidFill>
                    <w14:schemeClr w14:val="tx1"/>
                  </w14:solidFill>
                </w14:textFill>
              </w:rPr>
              <w:t>环境影响分析</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（1）正常工况</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钻井选用全井段套管保护+水泥返空固井工艺，封固套管和井壁之间的环形空间，有效保护地下水及土壤环境免受污染影响；钻井期间主要存放原辅材料和污染物的设施均进行防渗处理，应急池、燃烧池等底采用混凝土结构，并作防渗处理，在存放废水前进行承压试验，确定无渗漏后方用来存放废水，有效避免存放污染物渗漏对地下水及土壤环境产生污染影响。正常状况下造成地下水及土壤污染的可能性极小。</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（2）非正常工况</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本项目非正常状况下对地下水可能产生的不利影响途径主要有以下几个方面：</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①钻井初期钻井液渗入浅层地下水；</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②因防渗不到位出现废水渗漏，或是在雨季发生池内污水外溢情况，井场设备机油泄漏，生活污水、固废以及钻井所需化学品堆放不当，在雨季产生地面溢流等都有可能造成不同程度的地下水污染；</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③物料跑冒滴漏，钻井过程中物料管理不严格、化学品堆放不当、柴油泄漏等物料的跑冒滴漏不同程度的污染地下水；</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④水池主要收集钻井废水，因防渗不到位出现废水渗漏，有可能造成不同程度的地下水污染；</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⑤井喷造成钻井液外溢，可能造成地下水污染；</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综上分析，非正常状况下对地下水环境主要污染途径来自于地面池体渗漏。地下水预测情景设计中，主要考虑地面水池中暂存废水下渗预测情景。</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1）预测源强</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拟设置1座500m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应急池，假定最大容积单池产生裂缝，污水通过裂缝逐渐渗漏到地下含水层中，对地下水水质造成污染，染源类型为短时源强。池体为钢筋混凝土结构，防渗系数≤10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cm/s。本次考虑池体底部破损10%（14m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）。废水渗透地下属于有压渗透，假定包气带充满水，按达西公式计算源强，公式如下：</w:t>
            </w:r>
          </w:p>
          <w:p>
            <w:pPr>
              <w:tabs>
                <w:tab w:val="left" w:pos="750"/>
              </w:tabs>
              <w:adjustRightInd w:val="0"/>
              <w:snapToGrid w:val="0"/>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57275" cy="371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57275" cy="371475"/>
                          </a:xfrm>
                          <a:prstGeom prst="rect">
                            <a:avLst/>
                          </a:prstGeom>
                          <a:noFill/>
                          <a:ln>
                            <a:noFill/>
                          </a:ln>
                        </pic:spPr>
                      </pic:pic>
                    </a:graphicData>
                  </a:graphic>
                </wp:inline>
              </w:drawing>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式中：Q—为渗入到地下水的污水量（m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K—为地面垂向渗透系数（m/d），包气带渗透系数0.</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m/d；</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H—为池内水深（m），</w:t>
            </w:r>
            <w:r>
              <w:rPr>
                <w:rFonts w:hint="eastAsia"/>
                <w:color w:val="000000" w:themeColor="text1"/>
                <w14:textFill>
                  <w14:solidFill>
                    <w14:schemeClr w14:val="tx1"/>
                  </w14:solidFill>
                </w14:textFill>
              </w:rPr>
              <w:t>参照设计，</w:t>
            </w:r>
            <w:r>
              <w:rPr>
                <w:color w:val="000000" w:themeColor="text1"/>
                <w14:textFill>
                  <w14:solidFill>
                    <w14:schemeClr w14:val="tx1"/>
                  </w14:solidFill>
                </w14:textFill>
              </w:rPr>
              <w:t>本次取</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m；</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D—为地下水埋深（m），含水层地下水埋深取周边浅井平均约</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A—为废水池的泄漏面积（m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），本次取</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根据达西公式计算，拟建工程非正常工况下泄漏废水量约为9.92m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/d。要求建设单位定期对池体防渗层完整性进行检查，若池体泄漏能及时发现，从而减少对地下水环境的影响，本次设置应急池持续泄漏时间为5d。污染物预测源强见表4.3-8所示。</w:t>
            </w:r>
          </w:p>
          <w:p>
            <w:pPr>
              <w:pStyle w:val="44"/>
              <w:spacing w:line="440" w:lineRule="exact"/>
              <w:ind w:firstLine="482"/>
              <w:jc w:val="center"/>
              <w:rPr>
                <w:b/>
                <w:color w:val="000000" w:themeColor="text1"/>
                <w:szCs w:val="24"/>
                <w14:textFill>
                  <w14:solidFill>
                    <w14:schemeClr w14:val="tx1"/>
                  </w14:solidFill>
                </w14:textFill>
              </w:rPr>
            </w:pPr>
            <w:r>
              <w:rPr>
                <w:b/>
                <w:bCs/>
                <w:color w:val="000000" w:themeColor="text1"/>
                <w:szCs w:val="24"/>
                <w14:textFill>
                  <w14:solidFill>
                    <w14:schemeClr w14:val="tx1"/>
                  </w14:solidFill>
                </w14:textFill>
              </w:rPr>
              <w:t>表</w:t>
            </w:r>
            <w:r>
              <w:rPr>
                <w:rFonts w:hint="eastAsia"/>
                <w:b/>
                <w:bCs/>
                <w:color w:val="000000" w:themeColor="text1"/>
                <w:szCs w:val="24"/>
                <w14:textFill>
                  <w14:solidFill>
                    <w14:schemeClr w14:val="tx1"/>
                  </w14:solidFill>
                </w14:textFill>
              </w:rPr>
              <w:t xml:space="preserve">4.3-8     </w:t>
            </w:r>
            <w:r>
              <w:rPr>
                <w:b/>
                <w:bCs/>
                <w:color w:val="000000" w:themeColor="text1"/>
                <w:szCs w:val="24"/>
                <w14:textFill>
                  <w14:solidFill>
                    <w14:schemeClr w14:val="tx1"/>
                  </w14:solidFill>
                </w14:textFill>
              </w:rPr>
              <w:t>污染物预测源强</w:t>
            </w:r>
            <w:r>
              <w:rPr>
                <w:rFonts w:hint="eastAsia"/>
                <w:b/>
                <w:bCs/>
                <w:color w:val="000000" w:themeColor="text1"/>
                <w:szCs w:val="24"/>
                <w14:textFill>
                  <w14:solidFill>
                    <w14:schemeClr w14:val="tx1"/>
                  </w14:solidFill>
                </w14:textFill>
              </w:rPr>
              <w:t>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8"/>
              <w:gridCol w:w="1314"/>
              <w:gridCol w:w="1285"/>
              <w:gridCol w:w="1078"/>
              <w:gridCol w:w="1080"/>
              <w:gridCol w:w="1220"/>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渗漏情景</w:t>
                  </w:r>
                </w:p>
              </w:tc>
              <w:tc>
                <w:tcPr>
                  <w:tcW w:w="795"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渗漏位置</w:t>
                  </w:r>
                </w:p>
              </w:tc>
              <w:tc>
                <w:tcPr>
                  <w:tcW w:w="777"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特征污染物</w:t>
                  </w:r>
                </w:p>
              </w:tc>
              <w:tc>
                <w:tcPr>
                  <w:tcW w:w="652"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浓度(mg/L)</w:t>
                  </w:r>
                </w:p>
              </w:tc>
              <w:tc>
                <w:tcPr>
                  <w:tcW w:w="653"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渗漏量(</w:t>
                  </w:r>
                  <w:r>
                    <w:rPr>
                      <w:rFonts w:hint="eastAsia" w:ascii="Times New Roman" w:hAnsi="Times New Roman" w:cs="Times New Roman"/>
                      <w:bCs/>
                      <w:color w:val="000000" w:themeColor="text1"/>
                      <w:sz w:val="21"/>
                      <w:szCs w:val="21"/>
                      <w14:textFill>
                        <w14:solidFill>
                          <w14:schemeClr w14:val="tx1"/>
                        </w14:solidFill>
                      </w14:textFill>
                    </w:rPr>
                    <w:t>k</w:t>
                  </w:r>
                  <w:r>
                    <w:rPr>
                      <w:rFonts w:ascii="Times New Roman" w:hAnsi="Times New Roman" w:cs="Times New Roman"/>
                      <w:bCs/>
                      <w:color w:val="000000" w:themeColor="text1"/>
                      <w:sz w:val="21"/>
                      <w:szCs w:val="21"/>
                      <w14:textFill>
                        <w14:solidFill>
                          <w14:schemeClr w14:val="tx1"/>
                        </w14:solidFill>
                      </w14:textFill>
                    </w:rPr>
                    <w:t>g)</w:t>
                  </w:r>
                </w:p>
              </w:tc>
              <w:tc>
                <w:tcPr>
                  <w:tcW w:w="738"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泄漏时间（d</w:t>
                  </w:r>
                  <w:r>
                    <w:rPr>
                      <w:rFonts w:hint="eastAsia" w:ascii="Times New Roman" w:hAnsi="Times New Roman" w:cs="Times New Roman"/>
                      <w:bCs/>
                      <w:color w:val="000000" w:themeColor="text1"/>
                      <w:sz w:val="21"/>
                      <w:szCs w:val="21"/>
                      <w14:textFill>
                        <w14:solidFill>
                          <w14:schemeClr w14:val="tx1"/>
                        </w14:solidFill>
                      </w14:textFill>
                    </w:rPr>
                    <w:t>）</w:t>
                  </w:r>
                </w:p>
              </w:tc>
              <w:tc>
                <w:tcPr>
                  <w:tcW w:w="672"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渗漏污水量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非正常</w:t>
                  </w:r>
                </w:p>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状况下</w:t>
                  </w:r>
                </w:p>
              </w:tc>
              <w:tc>
                <w:tcPr>
                  <w:tcW w:w="795"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应急池</w:t>
                  </w:r>
                  <w:r>
                    <w:rPr>
                      <w:rFonts w:ascii="Times New Roman" w:hAnsi="Times New Roman" w:cs="Times New Roman"/>
                      <w:color w:val="000000" w:themeColor="text1"/>
                      <w:sz w:val="21"/>
                      <w:szCs w:val="21"/>
                      <w14:textFill>
                        <w14:solidFill>
                          <w14:schemeClr w14:val="tx1"/>
                        </w14:solidFill>
                      </w14:textFill>
                    </w:rPr>
                    <w:t>池底破裂</w:t>
                  </w:r>
                </w:p>
              </w:tc>
              <w:tc>
                <w:tcPr>
                  <w:tcW w:w="777"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COD</w:t>
                  </w:r>
                </w:p>
              </w:tc>
              <w:tc>
                <w:tcPr>
                  <w:tcW w:w="65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000</w:t>
                  </w:r>
                </w:p>
              </w:tc>
              <w:tc>
                <w:tcPr>
                  <w:tcW w:w="653"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99.2</w:t>
                  </w:r>
                </w:p>
              </w:tc>
              <w:tc>
                <w:tcPr>
                  <w:tcW w:w="738"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p>
              </w:tc>
              <w:tc>
                <w:tcPr>
                  <w:tcW w:w="673"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9.92</w:t>
                  </w:r>
                  <w:r>
                    <w:rPr>
                      <w:rFonts w:ascii="Times New Roman" w:hAnsi="Times New Roman" w:cs="Times New Roman"/>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vMerge w:val="continue"/>
                  <w:vAlign w:val="center"/>
                </w:tcPr>
                <w:p>
                  <w:pPr>
                    <w:pStyle w:val="45"/>
                    <w:rPr>
                      <w:rFonts w:ascii="Times New Roman" w:hAnsi="Times New Roman" w:cs="Times New Roman"/>
                      <w:color w:val="000000" w:themeColor="text1"/>
                      <w:sz w:val="21"/>
                      <w:szCs w:val="21"/>
                      <w14:textFill>
                        <w14:solidFill>
                          <w14:schemeClr w14:val="tx1"/>
                        </w14:solidFill>
                      </w14:textFill>
                    </w:rPr>
                  </w:pPr>
                </w:p>
              </w:tc>
              <w:tc>
                <w:tcPr>
                  <w:tcW w:w="795" w:type="pct"/>
                  <w:vMerge w:val="continue"/>
                  <w:vAlign w:val="center"/>
                </w:tcPr>
                <w:p>
                  <w:pPr>
                    <w:pStyle w:val="45"/>
                    <w:rPr>
                      <w:rFonts w:ascii="Times New Roman" w:hAnsi="Times New Roman" w:cs="Times New Roman"/>
                      <w:color w:val="000000" w:themeColor="text1"/>
                      <w:sz w:val="21"/>
                      <w:szCs w:val="21"/>
                      <w14:textFill>
                        <w14:solidFill>
                          <w14:schemeClr w14:val="tx1"/>
                        </w14:solidFill>
                      </w14:textFill>
                    </w:rPr>
                  </w:pPr>
                </w:p>
              </w:tc>
              <w:tc>
                <w:tcPr>
                  <w:tcW w:w="777"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65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0</w:t>
                  </w:r>
                </w:p>
              </w:tc>
              <w:tc>
                <w:tcPr>
                  <w:tcW w:w="653"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2.48</w:t>
                  </w:r>
                </w:p>
              </w:tc>
              <w:tc>
                <w:tcPr>
                  <w:tcW w:w="738"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673" w:type="pct"/>
                  <w:vMerge w:val="continue"/>
                  <w:vAlign w:val="center"/>
                </w:tcPr>
                <w:p>
                  <w:pPr>
                    <w:pStyle w:val="45"/>
                    <w:rPr>
                      <w:rFonts w:ascii="Times New Roman" w:hAnsi="Times New Roman" w:cs="Times New Roman"/>
                      <w:color w:val="000000" w:themeColor="text1"/>
                      <w:sz w:val="21"/>
                      <w:szCs w:val="2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2）预测模型及参数</w:t>
            </w:r>
          </w:p>
          <w:p>
            <w:pPr>
              <w:ind w:firstLine="480" w:firstLineChars="200"/>
              <w:rPr>
                <w:rFonts w:ascii="宋体" w:hAnsi="宋体"/>
                <w:color w:val="000000" w:themeColor="text1"/>
                <w:szCs w:val="24"/>
                <w14:textFill>
                  <w14:solidFill>
                    <w14:schemeClr w14:val="tx1"/>
                  </w14:solidFill>
                </w14:textFill>
              </w:rPr>
            </w:pPr>
            <w:r>
              <w:rPr>
                <w:rFonts w:ascii="宋体" w:hAnsi="宋体"/>
                <w:color w:val="000000" w:themeColor="text1"/>
                <w:szCs w:val="24"/>
                <w14:textFill>
                  <w14:solidFill>
                    <w14:schemeClr w14:val="tx1"/>
                  </w14:solidFill>
                </w14:textFill>
              </w:rPr>
              <w:t>在分析污染源渗漏特征及可能的污染途径的基础上，预测方法参考《环境影响评价技术导则—地下水环境》附录D中地下水溶质运移解析法中D1预测模型，一维无限长多孔介质柱体——示踪剂瞬时注入一端为定浓度边界公式，公式如下。</w:t>
            </w:r>
          </w:p>
          <w:p>
            <w:pPr>
              <w:tabs>
                <w:tab w:val="left" w:pos="750"/>
              </w:tabs>
              <w:adjustRightInd w:val="0"/>
              <w:snapToGrid w:val="0"/>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51200" cy="2533015"/>
                  <wp:effectExtent l="0" t="0" r="635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53035" cy="2534725"/>
                          </a:xfrm>
                          <a:prstGeom prst="rect">
                            <a:avLst/>
                          </a:prstGeom>
                          <a:noFill/>
                          <a:ln>
                            <a:noFill/>
                          </a:ln>
                        </pic:spPr>
                      </pic:pic>
                    </a:graphicData>
                  </a:graphic>
                </wp:inline>
              </w:drawing>
            </w:r>
          </w:p>
          <w:p>
            <w:pPr>
              <w:ind w:firstLine="480" w:firstLineChars="20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拟建场地地下水类型主要为松散岩类孔隙水和基岩裂隙水，同时结合附图15（1:20万区域水文地质调查遂宁幅H-48-16）可知，</w:t>
            </w:r>
            <w:r>
              <w:rPr>
                <w:rFonts w:hint="eastAsia" w:ascii="宋体" w:hAnsi="宋体"/>
                <w:color w:val="000000" w:themeColor="text1"/>
                <w:szCs w:val="24"/>
                <w14:textFill>
                  <w14:solidFill>
                    <w14:schemeClr w14:val="tx1"/>
                  </w14:solidFill>
                </w14:textFill>
              </w:rPr>
              <w:t>本评价区域岩性与</w:t>
            </w:r>
            <w:r>
              <w:rPr>
                <w:rFonts w:hint="eastAsia"/>
                <w:color w:val="000000" w:themeColor="text1"/>
                <w:szCs w:val="24"/>
                <w14:textFill>
                  <w14:solidFill>
                    <w14:schemeClr w14:val="tx1"/>
                  </w14:solidFill>
                </w14:textFill>
              </w:rPr>
              <w:t>《重庆巨科环保有限公司潼南表面处理集中加工区地下水环境影响专题报告》</w:t>
            </w:r>
            <w:r>
              <w:rPr>
                <w:rFonts w:hint="eastAsia" w:ascii="宋体" w:hAnsi="宋体"/>
                <w:color w:val="000000" w:themeColor="text1"/>
                <w:szCs w:val="24"/>
                <w14:textFill>
                  <w14:solidFill>
                    <w14:schemeClr w14:val="tx1"/>
                  </w14:solidFill>
                </w14:textFill>
              </w:rPr>
              <w:t>中的岩性相同，因此本次分析水文地质参数可以参考取值。</w:t>
            </w:r>
            <w:r>
              <w:rPr>
                <w:rFonts w:hint="eastAsia"/>
                <w:color w:val="000000" w:themeColor="text1"/>
                <w14:textFill>
                  <w14:solidFill>
                    <w14:schemeClr w14:val="tx1"/>
                  </w14:solidFill>
                </w14:textFill>
              </w:rPr>
              <w:t>表4.3-9所示。</w:t>
            </w:r>
          </w:p>
          <w:p>
            <w:pPr>
              <w:pStyle w:val="44"/>
              <w:spacing w:line="440" w:lineRule="exact"/>
              <w:ind w:firstLine="482"/>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w:t>
            </w:r>
            <w:r>
              <w:rPr>
                <w:rFonts w:hint="eastAsia"/>
                <w:b/>
                <w:bCs/>
                <w:color w:val="000000" w:themeColor="text1"/>
                <w:szCs w:val="24"/>
                <w14:textFill>
                  <w14:solidFill>
                    <w14:schemeClr w14:val="tx1"/>
                  </w14:solidFill>
                </w14:textFill>
              </w:rPr>
              <w:t xml:space="preserve">4.3-9   </w:t>
            </w:r>
            <w:r>
              <w:rPr>
                <w:b/>
                <w:bCs/>
                <w:color w:val="000000" w:themeColor="text1"/>
                <w:szCs w:val="24"/>
                <w14:textFill>
                  <w14:solidFill>
                    <w14:schemeClr w14:val="tx1"/>
                  </w14:solidFill>
                </w14:textFill>
              </w:rPr>
              <w:t xml:space="preserve"> </w:t>
            </w:r>
            <w:r>
              <w:rPr>
                <w:rFonts w:hint="eastAsia"/>
                <w:b/>
                <w:bCs/>
                <w:color w:val="000000" w:themeColor="text1"/>
                <w:szCs w:val="24"/>
                <w14:textFill>
                  <w14:solidFill>
                    <w14:schemeClr w14:val="tx1"/>
                  </w14:solidFill>
                </w14:textFill>
              </w:rPr>
              <w:t>模型参数综合取值表</w:t>
            </w:r>
          </w:p>
          <w:tbl>
            <w:tblPr>
              <w:tblStyle w:val="18"/>
              <w:tblW w:w="5000" w:type="pct"/>
              <w:jc w:val="center"/>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64"/>
              <w:gridCol w:w="2064"/>
              <w:gridCol w:w="2064"/>
              <w:gridCol w:w="2064"/>
            </w:tblGrid>
            <w:tr>
              <w:tblPrEx>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项目</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单位</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参数取值</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备注</w:t>
                  </w:r>
                </w:p>
              </w:tc>
            </w:tr>
            <w:tr>
              <w:tblPrEx>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含水层渗透系数</w:t>
                  </w:r>
                  <w:r>
                    <w:rPr>
                      <w:color w:val="000000" w:themeColor="text1"/>
                      <w:kern w:val="0"/>
                      <w:sz w:val="21"/>
                      <w14:textFill>
                        <w14:solidFill>
                          <w14:schemeClr w14:val="tx1"/>
                        </w14:solidFill>
                      </w14:textFill>
                    </w:rPr>
                    <w:t>K</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m/d</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0.19</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抽水试验值</w:t>
                  </w:r>
                </w:p>
              </w:tc>
            </w:tr>
            <w:tr>
              <w:tblPrEx>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有效孔隙度</w:t>
                  </w:r>
                  <w:r>
                    <w:rPr>
                      <w:color w:val="000000" w:themeColor="text1"/>
                      <w:kern w:val="0"/>
                      <w:sz w:val="21"/>
                      <w14:textFill>
                        <w14:solidFill>
                          <w14:schemeClr w14:val="tx1"/>
                        </w14:solidFill>
                      </w14:textFill>
                    </w:rPr>
                    <w:t>n</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0.15</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经验值</w:t>
                  </w:r>
                </w:p>
              </w:tc>
            </w:tr>
            <w:tr>
              <w:tblPrEx>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水流速度</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m/d</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0.075</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计算值</w:t>
                  </w:r>
                </w:p>
              </w:tc>
            </w:tr>
            <w:tr>
              <w:tblPrEx>
                <w:tblBorders>
                  <w:top w:val="single" w:color="auto" w:sz="6"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0" w:hRule="atLeast"/>
                <w:jc w:val="center"/>
              </w:trPr>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纵向弥散系数</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color w:val="000000" w:themeColor="text1"/>
                      <w:kern w:val="0"/>
                      <w:sz w:val="21"/>
                      <w14:textFill>
                        <w14:solidFill>
                          <w14:schemeClr w14:val="tx1"/>
                        </w14:solidFill>
                      </w14:textFill>
                    </w:rPr>
                    <w:t>m</w:t>
                  </w:r>
                  <w:r>
                    <w:rPr>
                      <w:color w:val="000000" w:themeColor="text1"/>
                      <w:kern w:val="0"/>
                      <w:sz w:val="21"/>
                      <w:vertAlign w:val="superscript"/>
                      <w14:textFill>
                        <w14:solidFill>
                          <w14:schemeClr w14:val="tx1"/>
                        </w14:solidFill>
                      </w14:textFill>
                    </w:rPr>
                    <w:t>2</w:t>
                  </w:r>
                  <w:r>
                    <w:rPr>
                      <w:color w:val="000000" w:themeColor="text1"/>
                      <w:kern w:val="0"/>
                      <w:sz w:val="21"/>
                      <w14:textFill>
                        <w14:solidFill>
                          <w14:schemeClr w14:val="tx1"/>
                        </w14:solidFill>
                      </w14:textFill>
                    </w:rPr>
                    <w:t>/d</w:t>
                  </w:r>
                </w:p>
              </w:tc>
              <w:tc>
                <w:tcPr>
                  <w:tcW w:w="1250" w:type="pct"/>
                </w:tcPr>
                <w:p>
                  <w:pPr>
                    <w:autoSpaceDE w:val="0"/>
                    <w:autoSpaceDN w:val="0"/>
                    <w:adjustRightInd w:val="0"/>
                    <w:spacing w:line="240" w:lineRule="auto"/>
                    <w:jc w:val="center"/>
                    <w:rPr>
                      <w:color w:val="000000" w:themeColor="text1"/>
                      <w:kern w:val="0"/>
                      <w:sz w:val="21"/>
                      <w14:textFill>
                        <w14:solidFill>
                          <w14:schemeClr w14:val="tx1"/>
                        </w14:solidFill>
                      </w14:textFill>
                    </w:rPr>
                  </w:pPr>
                  <w:r>
                    <w:rPr>
                      <w:rFonts w:hint="eastAsia"/>
                      <w:color w:val="000000" w:themeColor="text1"/>
                      <w:kern w:val="0"/>
                      <w:sz w:val="21"/>
                      <w14:textFill>
                        <w14:solidFill>
                          <w14:schemeClr w14:val="tx1"/>
                        </w14:solidFill>
                      </w14:textFill>
                    </w:rPr>
                    <w:t>3.48</w:t>
                  </w:r>
                </w:p>
              </w:tc>
              <w:tc>
                <w:tcPr>
                  <w:tcW w:w="1250" w:type="pct"/>
                </w:tcPr>
                <w:p>
                  <w:pPr>
                    <w:autoSpaceDE w:val="0"/>
                    <w:autoSpaceDN w:val="0"/>
                    <w:adjustRightInd w:val="0"/>
                    <w:spacing w:line="240" w:lineRule="auto"/>
                    <w:jc w:val="center"/>
                    <w:rPr>
                      <w:rFonts w:ascii="宋体" w:hAnsi="等线" w:cs="宋体"/>
                      <w:color w:val="000000" w:themeColor="text1"/>
                      <w:kern w:val="0"/>
                      <w:sz w:val="21"/>
                      <w14:textFill>
                        <w14:solidFill>
                          <w14:schemeClr w14:val="tx1"/>
                        </w14:solidFill>
                      </w14:textFill>
                    </w:rPr>
                  </w:pPr>
                  <w:r>
                    <w:rPr>
                      <w:rFonts w:hint="eastAsia" w:ascii="宋体" w:hAnsi="等线" w:cs="宋体"/>
                      <w:color w:val="000000" w:themeColor="text1"/>
                      <w:kern w:val="0"/>
                      <w:sz w:val="21"/>
                      <w14:textFill>
                        <w14:solidFill>
                          <w14:schemeClr w14:val="tx1"/>
                        </w14:solidFill>
                      </w14:textFill>
                    </w:rPr>
                    <w:t>计算值</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3）预测时段</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将地下水环境影响预测时限定为100</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365d</w:t>
            </w:r>
            <w:r>
              <w:rPr>
                <w:color w:val="000000" w:themeColor="text1"/>
                <w14:textFill>
                  <w14:solidFill>
                    <w14:schemeClr w14:val="tx1"/>
                  </w14:solidFill>
                </w14:textFill>
              </w:rPr>
              <w:t>、1000</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、3650</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4）预测结果</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地下水污染特征因子</w:t>
            </w:r>
            <w:r>
              <w:rPr>
                <w:rFonts w:hint="eastAsia"/>
                <w:color w:val="000000" w:themeColor="text1"/>
                <w14:textFill>
                  <w14:solidFill>
                    <w14:schemeClr w14:val="tx1"/>
                  </w14:solidFill>
                </w14:textFill>
              </w:rPr>
              <w:t>COD、石油类</w:t>
            </w:r>
            <w:r>
              <w:rPr>
                <w:color w:val="000000" w:themeColor="text1"/>
                <w14:textFill>
                  <w14:solidFill>
                    <w14:schemeClr w14:val="tx1"/>
                  </w14:solidFill>
                </w14:textFill>
              </w:rPr>
              <w:t>的影响范围及距离计算结果见表4.2-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p>
          <w:p>
            <w:pPr>
              <w:pStyle w:val="44"/>
              <w:spacing w:line="440" w:lineRule="exact"/>
              <w:ind w:firstLine="482"/>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w:t>
            </w:r>
            <w:r>
              <w:rPr>
                <w:rFonts w:hint="eastAsia"/>
                <w:b/>
                <w:bCs/>
                <w:color w:val="000000" w:themeColor="text1"/>
                <w:szCs w:val="24"/>
                <w14:textFill>
                  <w14:solidFill>
                    <w14:schemeClr w14:val="tx1"/>
                  </w14:solidFill>
                </w14:textFill>
              </w:rPr>
              <w:t>4.3-10    地下水中COD影响范围统计表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7"/>
              <w:gridCol w:w="1123"/>
              <w:gridCol w:w="1010"/>
              <w:gridCol w:w="1002"/>
              <w:gridCol w:w="1375"/>
              <w:gridCol w:w="137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污染因子</w:t>
                  </w:r>
                </w:p>
              </w:tc>
              <w:tc>
                <w:tcPr>
                  <w:tcW w:w="679"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模拟时间</w:t>
                  </w:r>
                </w:p>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(d)</w:t>
                  </w:r>
                </w:p>
              </w:tc>
              <w:tc>
                <w:tcPr>
                  <w:tcW w:w="611"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最大超标距离(m)</w:t>
                  </w:r>
                </w:p>
              </w:tc>
              <w:tc>
                <w:tcPr>
                  <w:tcW w:w="606"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中心迁移距离(m)</w:t>
                  </w:r>
                </w:p>
              </w:tc>
              <w:tc>
                <w:tcPr>
                  <w:tcW w:w="832" w:type="pct"/>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最远影响距离（m）</w:t>
                  </w:r>
                </w:p>
              </w:tc>
              <w:tc>
                <w:tcPr>
                  <w:tcW w:w="831"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中心点处浓度(mg/L)</w:t>
                  </w:r>
                </w:p>
              </w:tc>
              <w:tc>
                <w:tcPr>
                  <w:tcW w:w="718"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w:t>
                  </w: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64</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17</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97</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562.4</w:t>
                  </w:r>
                </w:p>
              </w:tc>
              <w:tc>
                <w:tcPr>
                  <w:tcW w:w="718"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pStyle w:val="45"/>
                    <w:rPr>
                      <w:rFonts w:ascii="Times New Roman" w:hAnsi="Times New Roman" w:cs="Times New Roman"/>
                      <w:color w:val="000000" w:themeColor="text1"/>
                      <w:sz w:val="21"/>
                      <w:szCs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365</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122</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48</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206</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216.2</w:t>
                  </w:r>
                </w:p>
              </w:tc>
              <w:tc>
                <w:tcPr>
                  <w:tcW w:w="718" w:type="pct"/>
                  <w:vMerge w:val="continue"/>
                  <w:vAlign w:val="center"/>
                </w:tcPr>
                <w:p>
                  <w:pPr>
                    <w:pStyle w:val="45"/>
                    <w:rPr>
                      <w:rFonts w:ascii="Times New Roman" w:hAnsi="Times New Roman" w:cs="Times New Roman"/>
                      <w:color w:val="000000" w:themeColor="text1"/>
                      <w:w w:val="99"/>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jc w:val="center"/>
                    <w:rPr>
                      <w:color w:val="000000" w:themeColor="text1"/>
                      <w:kern w:val="0"/>
                      <w:sz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236</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125</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397</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28.9</w:t>
                  </w:r>
                </w:p>
              </w:tc>
              <w:tc>
                <w:tcPr>
                  <w:tcW w:w="718" w:type="pct"/>
                  <w:vMerge w:val="continue"/>
                  <w:vAlign w:val="center"/>
                </w:tcPr>
                <w:p>
                  <w:pPr>
                    <w:jc w:val="center"/>
                    <w:rPr>
                      <w:color w:val="000000" w:themeColor="text1"/>
                      <w:kern w:val="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jc w:val="center"/>
                    <w:rPr>
                      <w:color w:val="000000" w:themeColor="text1"/>
                      <w:kern w:val="0"/>
                      <w:sz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3650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564</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421</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902</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62.3</w:t>
                  </w:r>
                </w:p>
              </w:tc>
              <w:tc>
                <w:tcPr>
                  <w:tcW w:w="718" w:type="pct"/>
                  <w:vMerge w:val="continue"/>
                  <w:vAlign w:val="center"/>
                </w:tcPr>
                <w:p>
                  <w:pPr>
                    <w:jc w:val="center"/>
                    <w:rPr>
                      <w:color w:val="000000" w:themeColor="text1"/>
                      <w:kern w:val="0"/>
                      <w:sz w:val="21"/>
                      <w14:textFill>
                        <w14:solidFill>
                          <w14:schemeClr w14:val="tx1"/>
                        </w14:solidFill>
                      </w14:textFill>
                    </w:rPr>
                  </w:pPr>
                </w:p>
              </w:tc>
            </w:tr>
          </w:tbl>
          <w:p>
            <w:pPr>
              <w:pStyle w:val="44"/>
              <w:spacing w:before="24" w:after="24" w:line="440" w:lineRule="exact"/>
              <w:ind w:firstLine="482"/>
              <w:jc w:val="center"/>
              <w:rPr>
                <w:b/>
                <w:bCs/>
                <w:color w:val="000000" w:themeColor="text1"/>
                <w:szCs w:val="24"/>
                <w14:textFill>
                  <w14:solidFill>
                    <w14:schemeClr w14:val="tx1"/>
                  </w14:solidFill>
                </w14:textFill>
              </w:rPr>
            </w:pPr>
          </w:p>
          <w:p>
            <w:pPr>
              <w:pStyle w:val="44"/>
              <w:spacing w:before="24" w:after="24" w:line="440" w:lineRule="exact"/>
              <w:ind w:firstLine="482"/>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w:t>
            </w:r>
            <w:r>
              <w:rPr>
                <w:rFonts w:hint="eastAsia"/>
                <w:b/>
                <w:bCs/>
                <w:color w:val="000000" w:themeColor="text1"/>
                <w:szCs w:val="24"/>
                <w14:textFill>
                  <w14:solidFill>
                    <w14:schemeClr w14:val="tx1"/>
                  </w14:solidFill>
                </w14:textFill>
              </w:rPr>
              <w:t>4.3-11    地下水中石油类影响范围统计表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7"/>
              <w:gridCol w:w="1123"/>
              <w:gridCol w:w="1010"/>
              <w:gridCol w:w="1002"/>
              <w:gridCol w:w="1375"/>
              <w:gridCol w:w="137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污染因子</w:t>
                  </w:r>
                </w:p>
              </w:tc>
              <w:tc>
                <w:tcPr>
                  <w:tcW w:w="679"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模拟时间</w:t>
                  </w:r>
                </w:p>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(d)</w:t>
                  </w:r>
                </w:p>
              </w:tc>
              <w:tc>
                <w:tcPr>
                  <w:tcW w:w="611"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最大超标距离(m)</w:t>
                  </w:r>
                </w:p>
              </w:tc>
              <w:tc>
                <w:tcPr>
                  <w:tcW w:w="606"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中心迁移距离(m)</w:t>
                  </w:r>
                </w:p>
              </w:tc>
              <w:tc>
                <w:tcPr>
                  <w:tcW w:w="832" w:type="pct"/>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最远影响距离（m）</w:t>
                  </w:r>
                </w:p>
              </w:tc>
              <w:tc>
                <w:tcPr>
                  <w:tcW w:w="831"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中心点处浓度(mg/L)</w:t>
                  </w:r>
                </w:p>
              </w:tc>
              <w:tc>
                <w:tcPr>
                  <w:tcW w:w="718" w:type="pct"/>
                  <w:vAlign w:val="center"/>
                </w:tcPr>
                <w:p>
                  <w:pPr>
                    <w:pStyle w:val="4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93</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26</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115</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12.6</w:t>
                  </w:r>
                </w:p>
              </w:tc>
              <w:tc>
                <w:tcPr>
                  <w:tcW w:w="718" w:type="pct"/>
                  <w:vMerge w:val="restar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pStyle w:val="45"/>
                    <w:rPr>
                      <w:rFonts w:ascii="Times New Roman" w:hAnsi="Times New Roman" w:cs="Times New Roman"/>
                      <w:color w:val="000000" w:themeColor="text1"/>
                      <w:sz w:val="21"/>
                      <w:szCs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365</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191</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65</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181</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6.52</w:t>
                  </w:r>
                </w:p>
              </w:tc>
              <w:tc>
                <w:tcPr>
                  <w:tcW w:w="718" w:type="pct"/>
                  <w:vMerge w:val="continue"/>
                  <w:vAlign w:val="center"/>
                </w:tcPr>
                <w:p>
                  <w:pPr>
                    <w:pStyle w:val="45"/>
                    <w:rPr>
                      <w:rFonts w:ascii="Times New Roman" w:hAnsi="Times New Roman" w:cs="Times New Roman"/>
                      <w:color w:val="000000" w:themeColor="text1"/>
                      <w:w w:val="99"/>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jc w:val="center"/>
                    <w:rPr>
                      <w:color w:val="000000" w:themeColor="text1"/>
                      <w:kern w:val="0"/>
                      <w:sz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345</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145</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328</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3.6</w:t>
                  </w:r>
                </w:p>
              </w:tc>
              <w:tc>
                <w:tcPr>
                  <w:tcW w:w="718" w:type="pct"/>
                  <w:vMerge w:val="continue"/>
                  <w:vAlign w:val="center"/>
                </w:tcPr>
                <w:p>
                  <w:pPr>
                    <w:jc w:val="center"/>
                    <w:rPr>
                      <w:color w:val="000000" w:themeColor="text1"/>
                      <w:kern w:val="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Merge w:val="continue"/>
                  <w:vAlign w:val="center"/>
                </w:tcPr>
                <w:p>
                  <w:pPr>
                    <w:jc w:val="center"/>
                    <w:rPr>
                      <w:color w:val="000000" w:themeColor="text1"/>
                      <w:kern w:val="0"/>
                      <w:sz w:val="21"/>
                      <w14:textFill>
                        <w14:solidFill>
                          <w14:schemeClr w14:val="tx1"/>
                        </w14:solidFill>
                      </w14:textFill>
                    </w:rPr>
                  </w:pPr>
                </w:p>
              </w:tc>
              <w:tc>
                <w:tcPr>
                  <w:tcW w:w="679"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3650</w:t>
                  </w:r>
                </w:p>
              </w:tc>
              <w:tc>
                <w:tcPr>
                  <w:tcW w:w="61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785</w:t>
                  </w:r>
                </w:p>
              </w:tc>
              <w:tc>
                <w:tcPr>
                  <w:tcW w:w="606"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465</w:t>
                  </w:r>
                </w:p>
              </w:tc>
              <w:tc>
                <w:tcPr>
                  <w:tcW w:w="832"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752</w:t>
                  </w:r>
                </w:p>
              </w:tc>
              <w:tc>
                <w:tcPr>
                  <w:tcW w:w="831" w:type="pct"/>
                  <w:vAlign w:val="center"/>
                </w:tcPr>
                <w:p>
                  <w:pPr>
                    <w:pStyle w:val="4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2.11</w:t>
                  </w:r>
                </w:p>
              </w:tc>
              <w:tc>
                <w:tcPr>
                  <w:tcW w:w="718" w:type="pct"/>
                  <w:vMerge w:val="continue"/>
                  <w:vAlign w:val="center"/>
                </w:tcPr>
                <w:p>
                  <w:pPr>
                    <w:jc w:val="center"/>
                    <w:rPr>
                      <w:color w:val="000000" w:themeColor="text1"/>
                      <w:kern w:val="0"/>
                      <w:sz w:val="21"/>
                      <w14:textFill>
                        <w14:solidFill>
                          <w14:schemeClr w14:val="tx1"/>
                        </w14:solidFill>
                      </w14:textFill>
                    </w:rPr>
                  </w:pPr>
                </w:p>
              </w:tc>
            </w:tr>
          </w:tbl>
          <w:p>
            <w:pPr>
              <w:pStyle w:val="44"/>
              <w:spacing w:line="440" w:lineRule="exact"/>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综上所述，</w:t>
            </w:r>
            <w:r>
              <w:rPr>
                <w:rFonts w:hint="eastAsia"/>
                <w:color w:val="000000" w:themeColor="text1"/>
                <w14:textFill>
                  <w14:solidFill>
                    <w14:schemeClr w14:val="tx1"/>
                  </w14:solidFill>
                </w14:textFill>
              </w:rPr>
              <w:t>返排液池</w:t>
            </w:r>
            <w:r>
              <w:rPr>
                <w:rFonts w:hint="eastAsia"/>
                <w:color w:val="000000" w:themeColor="text1"/>
                <w:szCs w:val="24"/>
                <w14:textFill>
                  <w14:solidFill>
                    <w14:schemeClr w14:val="tx1"/>
                  </w14:solidFill>
                </w14:textFill>
              </w:rPr>
              <w:t>出现短时渗漏时，工程周边地下水中污染物COD在泄漏100d、365d、1000d、3650d均出现超标，最远超标距离分别为64m、122m、236m、564m；石油类在泄漏100d、365d、1000d、3650d均出现超标，最远超标距离分别为93m、191m、345m、785m。因此，</w:t>
            </w:r>
            <w:r>
              <w:rPr>
                <w:color w:val="000000" w:themeColor="text1"/>
                <w:szCs w:val="24"/>
                <w14:textFill>
                  <w14:solidFill>
                    <w14:schemeClr w14:val="tx1"/>
                  </w14:solidFill>
                </w14:textFill>
              </w:rPr>
              <w:t>为避免长期对地下水环境造成严重的影响，故严防</w:t>
            </w:r>
            <w:r>
              <w:rPr>
                <w:rFonts w:hint="eastAsia"/>
                <w:color w:val="000000" w:themeColor="text1"/>
                <w14:textFill>
                  <w14:solidFill>
                    <w14:schemeClr w14:val="tx1"/>
                  </w14:solidFill>
                </w14:textFill>
              </w:rPr>
              <w:t>返应急池</w:t>
            </w:r>
            <w:r>
              <w:rPr>
                <w:color w:val="000000" w:themeColor="text1"/>
                <w:szCs w:val="24"/>
                <w14:textFill>
                  <w14:solidFill>
                    <w14:schemeClr w14:val="tx1"/>
                  </w14:solidFill>
                </w14:textFill>
              </w:rPr>
              <w:t>废水的泄漏</w:t>
            </w:r>
            <w:r>
              <w:rPr>
                <w:rFonts w:hint="eastAsia"/>
                <w:color w:val="000000" w:themeColor="text1"/>
                <w:szCs w:val="24"/>
                <w14:textFill>
                  <w14:solidFill>
                    <w14:schemeClr w14:val="tx1"/>
                  </w14:solidFill>
                </w14:textFill>
              </w:rPr>
              <w:t>。</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5）对地下水环境保护目标的影响</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本项目周边当地居民饮用水主要来源于市政供水，周边备用的自打民用水井主要用于市政停水时应急使用，周边无地下水集中式饮用水源。合深9井周围出露地层为中生界侏罗系中统上沙溪庙组（J</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S），地下水类型主要为风化裂隙水。裂隙岩层的透水性常显示各向异性，不同方向的渗透系数差别很大。在垂直方向上随着深度的增加透水性逐渐减弱。水井深约为10</w:t>
            </w:r>
            <w:r>
              <w:rPr>
                <w:rFonts w:hint="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，处于钻井过程</w:t>
            </w:r>
            <w:r>
              <w:rPr>
                <w:color w:val="000000" w:themeColor="text1"/>
                <w14:textFill>
                  <w14:solidFill>
                    <w14:schemeClr w14:val="tx1"/>
                  </w14:solidFill>
                </w14:textFill>
              </w:rPr>
              <w:t>中0</w:t>
            </w:r>
            <w:r>
              <w:rPr>
                <w:rFonts w:eastAsiaTheme="minorEastAsia"/>
                <w:color w:val="000000" w:themeColor="text1"/>
                <w14:textFill>
                  <w14:solidFill>
                    <w14:schemeClr w14:val="tx1"/>
                  </w14:solidFill>
                </w14:textFill>
              </w:rPr>
              <w:t>~</w:t>
            </w:r>
            <w:r>
              <w:rPr>
                <w:color w:val="000000" w:themeColor="text1"/>
                <w14:textFill>
                  <w14:solidFill>
                    <w14:schemeClr w14:val="tx1"/>
                  </w14:solidFill>
                </w14:textFill>
              </w:rPr>
              <w:t>50m</w:t>
            </w:r>
            <w:r>
              <w:rPr>
                <w:rFonts w:hint="eastAsia"/>
                <w:color w:val="000000" w:themeColor="text1"/>
                <w14:textFill>
                  <w14:solidFill>
                    <w14:schemeClr w14:val="tx1"/>
                  </w14:solidFill>
                </w14:textFill>
              </w:rPr>
              <w:t>无固相钻井过程中，在浅层钻井期间使用清水钻迅速钻进，在套管的保护下可有效地降低对浅层地下水的污染，钻井过程对周边水井水质的影响较小。</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钻前，建设方应编制地下水污染应急方案，将井口最近农户家水井列为主要保护对象，并对地下水实施污染监控制度，以保障农户生活饮用水安全。若项目实施导致地下水污染，应采取临时供水措施（配送桶装水等）以保障居民的饮用水需要；同时对水井水质进行监测直至水质各项指标满足《生活饮用水卫生标准》（GB5749-2006)中要求为止；如果长时间地下水井水质不能恢复，业主方需考虑给受影响的农户另行觅地打井，保证居民的正常生活。</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6）对河坝水库的影响</w:t>
            </w:r>
          </w:p>
          <w:p>
            <w:pPr>
              <w:tabs>
                <w:tab w:val="left" w:pos="750"/>
              </w:tabs>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水质影响</w:t>
            </w:r>
          </w:p>
          <w:p>
            <w:pPr>
              <w:tabs>
                <w:tab w:val="left" w:pos="750"/>
              </w:tabs>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根据调查，拟建项目东侧</w:t>
            </w:r>
            <w:r>
              <w:rPr>
                <w:rFonts w:hint="eastAsia"/>
                <w:color w:val="000000" w:themeColor="text1"/>
                <w14:textFill>
                  <w14:solidFill>
                    <w14:schemeClr w14:val="tx1"/>
                  </w14:solidFill>
                </w14:textFill>
              </w:rPr>
              <w:t>约580</w:t>
            </w:r>
            <w:r>
              <w:rPr>
                <w:color w:val="000000" w:themeColor="text1"/>
                <w14:textFill>
                  <w14:solidFill>
                    <w14:schemeClr w14:val="tx1"/>
                  </w14:solidFill>
                </w14:textFill>
              </w:rPr>
              <w:t>m为</w:t>
            </w:r>
            <w:r>
              <w:rPr>
                <w:rFonts w:hint="eastAsia"/>
                <w:color w:val="000000" w:themeColor="text1"/>
                <w14:textFill>
                  <w14:solidFill>
                    <w14:schemeClr w14:val="tx1"/>
                  </w14:solidFill>
                </w14:textFill>
              </w:rPr>
              <w:t>河坝水库</w:t>
            </w:r>
            <w:r>
              <w:rPr>
                <w:color w:val="000000" w:themeColor="text1"/>
                <w14:textFill>
                  <w14:solidFill>
                    <w14:schemeClr w14:val="tx1"/>
                  </w14:solidFill>
                </w14:textFill>
              </w:rPr>
              <w:t>，该水库主要接受大气降水补给，水库水面高程约</w:t>
            </w:r>
            <w:r>
              <w:rPr>
                <w:rFonts w:hint="eastAsia"/>
                <w:color w:val="000000" w:themeColor="text1"/>
                <w14:textFill>
                  <w14:solidFill>
                    <w14:schemeClr w14:val="tx1"/>
                  </w14:solidFill>
                </w14:textFill>
              </w:rPr>
              <w:t>274.0</w:t>
            </w:r>
            <w:r>
              <w:rPr>
                <w:color w:val="000000" w:themeColor="text1"/>
                <w14:textFill>
                  <w14:solidFill>
                    <w14:schemeClr w14:val="tx1"/>
                  </w14:solidFill>
                </w14:textFill>
              </w:rPr>
              <w:t>m，水库水深约14~18m，根据饮用水源保护区划分文件，</w:t>
            </w:r>
            <w:r>
              <w:rPr>
                <w:rFonts w:hint="eastAsia"/>
                <w:color w:val="000000" w:themeColor="text1"/>
                <w14:textFill>
                  <w14:solidFill>
                    <w14:schemeClr w14:val="tx1"/>
                  </w14:solidFill>
                </w14:textFill>
              </w:rPr>
              <w:t>河坝</w:t>
            </w:r>
            <w:r>
              <w:rPr>
                <w:color w:val="000000" w:themeColor="text1"/>
                <w14:textFill>
                  <w14:solidFill>
                    <w14:schemeClr w14:val="tx1"/>
                  </w14:solidFill>
                </w14:textFill>
              </w:rPr>
              <w:t>水库一级保护区水域保护范围为整个水库正常水位线以下的全部水域面积，陆域保护范围为以大坝高度为陆域边缘控制高程；二级保护区无水域保护范围，陆域保护范围为从一级保护区陆域边界向外延伸30米，井场距水库二级水源保护区的距离</w:t>
            </w:r>
            <w:r>
              <w:rPr>
                <w:rFonts w:hint="eastAsia"/>
                <w:color w:val="000000" w:themeColor="text1"/>
                <w14:textFill>
                  <w14:solidFill>
                    <w14:schemeClr w14:val="tx1"/>
                  </w14:solidFill>
                </w14:textFill>
              </w:rPr>
              <w:t>约</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550</w:t>
            </w:r>
            <w:r>
              <w:rPr>
                <w:color w:val="000000" w:themeColor="text1"/>
                <w14:textFill>
                  <w14:solidFill>
                    <w14:schemeClr w14:val="tx1"/>
                  </w14:solidFill>
                </w14:textFill>
              </w:rPr>
              <w:t>m，井场不在</w:t>
            </w:r>
            <w:r>
              <w:rPr>
                <w:rFonts w:hint="eastAsia"/>
                <w:color w:val="000000" w:themeColor="text1"/>
                <w14:textFill>
                  <w14:solidFill>
                    <w14:schemeClr w14:val="tx1"/>
                  </w14:solidFill>
                </w14:textFill>
              </w:rPr>
              <w:t>河坝</w:t>
            </w:r>
            <w:r>
              <w:rPr>
                <w:color w:val="000000" w:themeColor="text1"/>
                <w14:textFill>
                  <w14:solidFill>
                    <w14:schemeClr w14:val="tx1"/>
                  </w14:solidFill>
                </w14:textFill>
              </w:rPr>
              <w:t>水库保护区范围内。</w:t>
            </w:r>
            <w:r>
              <w:rPr>
                <w:rFonts w:hint="eastAsia"/>
                <w:color w:val="000000" w:themeColor="text1"/>
                <w14:textFill>
                  <w14:solidFill>
                    <w14:schemeClr w14:val="tx1"/>
                  </w14:solidFill>
                </w14:textFill>
              </w:rPr>
              <w:t>河坝</w:t>
            </w:r>
            <w:r>
              <w:rPr>
                <w:color w:val="000000" w:themeColor="text1"/>
                <w14:textFill>
                  <w14:solidFill>
                    <w14:schemeClr w14:val="tx1"/>
                  </w14:solidFill>
                </w14:textFill>
              </w:rPr>
              <w:t>水库主要接受大气降水补给，其集雨面积为水库</w:t>
            </w:r>
            <w:r>
              <w:rPr>
                <w:rFonts w:hint="eastAsia"/>
                <w:color w:val="000000" w:themeColor="text1"/>
                <w14:textFill>
                  <w14:solidFill>
                    <w14:schemeClr w14:val="tx1"/>
                  </w14:solidFill>
                </w14:textFill>
              </w:rPr>
              <w:t>四周的山水和水田来水</w:t>
            </w:r>
            <w:r>
              <w:rPr>
                <w:color w:val="000000" w:themeColor="text1"/>
                <w14:textFill>
                  <w14:solidFill>
                    <w14:schemeClr w14:val="tx1"/>
                  </w14:solidFill>
                </w14:textFill>
              </w:rPr>
              <w:t>，井口距</w:t>
            </w:r>
            <w:r>
              <w:rPr>
                <w:rFonts w:hint="eastAsia"/>
                <w:color w:val="000000" w:themeColor="text1"/>
                <w14:textFill>
                  <w14:solidFill>
                    <w14:schemeClr w14:val="tx1"/>
                  </w14:solidFill>
                </w14:textFill>
              </w:rPr>
              <w:t>河坝</w:t>
            </w:r>
            <w:r>
              <w:rPr>
                <w:color w:val="000000" w:themeColor="text1"/>
                <w14:textFill>
                  <w14:solidFill>
                    <w14:schemeClr w14:val="tx1"/>
                  </w14:solidFill>
                </w14:textFill>
              </w:rPr>
              <w:t>水库集雨区边界线的最近距离约</w:t>
            </w:r>
            <w:r>
              <w:rPr>
                <w:rFonts w:hint="eastAsia"/>
                <w:color w:val="000000" w:themeColor="text1"/>
                <w14:textFill>
                  <w14:solidFill>
                    <w14:schemeClr w14:val="tx1"/>
                  </w14:solidFill>
                </w14:textFill>
              </w:rPr>
              <w:t>350</w:t>
            </w:r>
            <w:r>
              <w:rPr>
                <w:color w:val="000000" w:themeColor="text1"/>
                <w14:textFill>
                  <w14:solidFill>
                    <w14:schemeClr w14:val="tx1"/>
                  </w14:solidFill>
                </w14:textFill>
              </w:rPr>
              <w:t>m，且中间有丘顶隔断，本项目不在</w:t>
            </w:r>
            <w:r>
              <w:rPr>
                <w:rFonts w:hint="eastAsia"/>
                <w:color w:val="000000" w:themeColor="text1"/>
                <w14:textFill>
                  <w14:solidFill>
                    <w14:schemeClr w14:val="tx1"/>
                  </w14:solidFill>
                </w14:textFill>
              </w:rPr>
              <w:t>河坝</w:t>
            </w:r>
            <w:r>
              <w:rPr>
                <w:color w:val="000000" w:themeColor="text1"/>
                <w14:textFill>
                  <w14:solidFill>
                    <w14:schemeClr w14:val="tx1"/>
                  </w14:solidFill>
                </w14:textFill>
              </w:rPr>
              <w:t>水库集雨区范围。</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井口高程为315m，清水钻长度为40m，钻至清水段结束时高程为275m；河坝水库库面高程为270m，水深为14~18m，按最大计库底高程为252m；因此河坝水库库面至库底均在拟建项目清水钻段内，因此拟建项目钻井不会对河坝水库产生影响。</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同时本工程采用清水环保型钻井液钻穿浅层可饮用含水层（深度大于河坝水库库底最深处），井场周边设置地表水三级防控系统，第一级防控措施是通过修建拦水沟和及时转运等措施，将废水罐所在平台沿地表加高20-50cm，并保持废水罐空高为20-50cm，防止废水外溢；第二级防控措施是在井场周围、废水罐周围设截水沟，将从井场、废水罐溢出的污水截留下来，截留的废水收集至废水罐中；第三级防控措施是在发生废水外溢事故时，在废水罐周围的低洼区域和废水罐外溢口处采用沙包、装土编织袋等拦截措施阻拦外溢废水，避免废水流入外环境之中。</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同时，项目采取“源头预防、分区防控、跟踪监测、应急响应”等相关措施后，正常情况下，不会对河坝水库水质造成影响。</w:t>
            </w:r>
          </w:p>
          <w:p>
            <w:pPr>
              <w:tabs>
                <w:tab w:val="left" w:pos="750"/>
              </w:tabs>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风险影响</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针对钻井过程中井漏、站场池体中废水泄漏对河坝水库造成影响的风险，要求采取清水环保型钻井液钻穿浅层可饮用含水层（深度大于河坝水库库底最深处），对钻进过程中的钻井液漏失进行实时监控。一旦发现漏失，立即采取堵漏防控措施，减少漏失量。同时要求设置地表水三级防控机制，一旦发生废水外溢，要立即启动废水外溢应急预案，现场管理人员应立即采取措施，切断废水与河流、农田、水体之间的泄漏途径，建设单位应立即组织人员赶赴现场指挥应急抢险，了解掌握事故动态，采取有效措施，组织实施抢救，防止事态扩大；严格保护事故现场，维护现场秩序，收集相关证据；及时将污染情况和应急工作情况上报当地生态环境保护部门，彻底清理污染场地，彻底消除隐患；配合生态环境主管部门对污染事故进行处理。</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导管段钻井阶段利用膨润土钻井液迅速钻井，在套管的保护下能有效地保护浅层地下水，每开钻井结束后通过固井作业封隔地层与套管之间的环形空间，也可降低污染物进入地层的风险，在钻井过程对泥浆进行实时监测，一旦有漏失发生，立即采取堵漏措施；井场作业区域设置防渗区，可有效避免散落的水基、钻后废物入渗；此外，工程</w:t>
            </w:r>
            <w:r>
              <w:rPr>
                <w:color w:val="000000" w:themeColor="text1"/>
                <w14:textFill>
                  <w14:solidFill>
                    <w14:schemeClr w14:val="tx1"/>
                  </w14:solidFill>
                </w14:textFill>
              </w:rPr>
              <w:t>设置地下水井监控措施和应急方案，可有效保护周边农户水井，则工程建设对地下水环境影响很小。</w:t>
            </w:r>
          </w:p>
          <w:p>
            <w:pPr>
              <w:pStyle w:val="32"/>
              <w:adjustRightInd w:val="0"/>
              <w:snapToGrid w:val="0"/>
              <w:spacing w:line="460" w:lineRule="exact"/>
              <w:ind w:firstLine="0" w:firstLineChars="0"/>
              <w:outlineLvl w:val="1"/>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4.3.</w:t>
            </w:r>
            <w:r>
              <w:rPr>
                <w:rFonts w:hint="eastAsia"/>
                <w:b/>
                <w:color w:val="000000" w:themeColor="text1"/>
                <w:szCs w:val="24"/>
                <w14:textFill>
                  <w14:solidFill>
                    <w14:schemeClr w14:val="tx1"/>
                  </w14:solidFill>
                </w14:textFill>
              </w:rPr>
              <w:t>5固体废物影响分析</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钻井作业的固体废物主要有水基钻井岩屑、废水罐污泥、废油和生活垃圾。 </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（1）水基钻井岩屑</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钻井过程中，岩石经钻头和泥浆的研磨而破碎成岩屑，其中大部分的岩屑经泥浆循环携带出井口，在地面经振动筛分出来，在清洁化操作场地随钻压滤处理后，定期外运至砖厂进行资源化综合利用。</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）废水罐污泥</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钻井废水需进入废水罐进行沉淀处理。故废水罐会产生沉淀污泥。污泥的主要成分为钻井液、岩屑，与废钻井岩屑和废泥浆随钻处理后，定期外运至砖厂进行资源化综合利用。</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）危险废物</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本项目危险废物主要为废油。</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废油的主要来源是：机械（泥浆泵、转盘、链条等）润滑废油；清洗、保养产生的废油，如更换柴油机、发电机零部件和清洗钻具、套管时产生的废油。本项目严格执行《废矿物油回收利用污染控制技术规范》（HJ607-2011）的相关规定，对产生的废油用油桶集中收集暂存于危废暂存间，在钻井结束后交有资质单位处理，不会对当地土壤及地下水环境产生影响。</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根据《危险废物贮存污染控制标准》（GB18597-2001）及其修改单，做好防风、防雨、防晒、防渗等处理措施，收集容器满足防腐、防渗和防流失三防要求，并设置危险废物标识牌、专人管理，按《危废废物转移联单管理办法》相关规定要求，交由资质单位处理。</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危废暂存间的设置必须严格按照《危险废物污染防治技术政策》和《危险废物贮存污 染控制标准》（GB18597-2001）要求设置，按规范进行防渗漏处理，设置明显的专用标志，禁止混入不相容的危险废物。应当使用符合标准的容器盛装危险废物；装载危险废物的容器及材质要满足相应的强度要求；装载危险废物的容器必须完好无损；盛装危险废物的容器材质和衬里要与危险废物相容（不相互反应）。严格执行《废矿物油回收利用污染控制技术规范》（HJ607-2011）的相关规定，对产生的废油用油桶集中收集，在钻井结束后交有资质单位处理。</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若废油交由有资质的危废处置单位清运处理时，应严格按照《危险废物转移联单管理办法》填写危险废物转移五联单，并由双方单位保留备查。</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）生活垃圾 </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钻井期间产生的生活垃圾量约</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t，存放于生活垃圾集中收集点，定期交由当地环卫部门处理。</w:t>
            </w:r>
          </w:p>
          <w:p>
            <w:pPr>
              <w:tabs>
                <w:tab w:val="left" w:pos="750"/>
              </w:tabs>
              <w:adjustRightInd w:val="0"/>
              <w:snapToGrid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采取上述措施后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固体废物均得到妥善处置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对周边环境影响较小</w:t>
            </w:r>
            <w:r>
              <w:rPr>
                <w:rFonts w:hint="eastAsia"/>
                <w:color w:val="000000" w:themeColor="text1"/>
                <w14:textFill>
                  <w14:solidFill>
                    <w14:schemeClr w14:val="tx1"/>
                  </w14:solidFill>
                </w14:textFill>
              </w:rPr>
              <w:t>。</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4.3.6生态影响分析</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（1）土地利用影响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本项目占地</w:t>
            </w:r>
            <w:r>
              <w:rPr>
                <w:bCs/>
                <w:color w:val="000000" w:themeColor="text1"/>
                <w14:textFill>
                  <w14:solidFill>
                    <w14:schemeClr w14:val="tx1"/>
                  </w14:solidFill>
                </w14:textFill>
              </w:rPr>
              <w:t>21453.33</w:t>
            </w:r>
            <w:r>
              <w:rPr>
                <w:rFonts w:hint="eastAsia"/>
                <w:bCs/>
                <w:color w:val="000000" w:themeColor="text1"/>
                <w14:textFill>
                  <w14:solidFill>
                    <w14:schemeClr w14:val="tx1"/>
                  </w14:solidFill>
                </w14:textFill>
              </w:rPr>
              <w:t>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主要为旱地和其它林地，根据项目所在区域土地利用现状图可知，项目临时占地主要为基本农田，临时占地的占地时间约12个月。由于本项目占地面积较小且为临时占地，在完井后及时对临时占地进行耕地的复垦复种工作，因此不会导致区域土地利用格局的变化，对区域土地利用格局产生的影响甚微。</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环评要求建设单位应严格按照《自然资源部 农业农村部关于加强和改进永久基本农田保护工作的通知》（自然资规【2019】1号）以及相关法律政策及规定要求办理相关手续，同时制定土地复垦计划，对基本农田加以重点保护，施工时，应严格施工管理，严格控制施工作业范围，表层耕植土应进行剥离，并设置耕植土堆放区，对表土进行保护，后期用于临时占地复垦。</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（2）对地表植被的影响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临时占地和施工影响范围区域内植被以自然恢复的荒草地、灌木林及农作物为主，灌木林植物种类主要包括黄荆、马桑、白茅、芒等灌丛和灌草丛为主，农作物植被包括旱地作物和水田作物，主要种植水稻、玉米、油菜、马铃薯等。因此本项目临时占地破坏的植被均属于受人类活动破坏后衍生的人工次生植被，均为常见植物，无国家及重庆市重点保护的野生植物和古树名木分布。大多数植被的生命力较顽强，无珍稀保护植，总体影响程度不大，影响数量占区域面积比例小，在完井后采取覆土复垦等措施后，区域地表植被有所恢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（3）对陆生动物的影响分析</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现场调查，本项目临时占地区域主要为农田生境，未发现大型野生动物栖息地，野生动物稀少，未见珍稀保护动物。多为常见鸟类、啮齿类动物。作业区建设过程中，随着基础开挖平场，啮齿类动物、鸟类和昆虫等将向作业区外迁徙，但只促使其向作业区外迁徙，不会对其构成毁灭威胁；工程完井后，随着耕地的复垦，啮齿类动物和昆虫将回迁，对区域陆生动物的影响较小。</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（4）水土流失</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本项目建设过程中，由于井场平场、道路施工、表土堆放等活动，产生一定的水土流失危害，主要表现在以下几个方面：</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1）损坏水土保持设施，降低水土保持功能</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在工程施工期间，将损坏原地表植被、毁坏梯田梯土等水土保持设施，形成松散裸露地表，增加了地表的可蚀性，同时也改变了原有坡面水系，降低了原地貌水土保持功能，加剧了该地区的水土流失。</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2）增加河道输沙量，降低河道行洪能力</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本工程建设过程中，若不能采用有效的水土流失防治措施，在雨季松散渣料将通过雨水流入河道，将会产生严重的水土流失，从而增加河道输沙量，降低河道行洪能力。</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土石方施工范围内就地平衡，无转运丢弃，实际新增水土流失量较小。项目设计将表层耕植土临时堆放在耕植土堆放区，耕植土堆放区设挡土墙、截水沟、排水沟，可有效减少水土流失，同时利用土工布或塑料膜遮盖或采用水泥砂浆抹面的方法来减少水土流失。本项目由于施工期短，占地面积小，土石方量小，且施工时间短，工程实际新增的水土流失量较小，在环境可接受范围内。</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（5）测试放喷对生态环境的影响分析</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钻井测试放喷对生态环境的影响主要是放喷产生的热辐射和SO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对生态的影响。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钻井过程中需要进行测试放喷。测试放喷是指在钻井后期为测定气井的天然气产量而人为进行的天然气放喷。天然气燃烧产生的热辐射影响，可能灼伤放喷点周围20~50m范围的农作物。天然气测试放喷在专门的燃烧池中点火放喷，燃烧池是由三面3.5m高的砖墙组成，采用燃烧池放喷，可以有效减小放喷天然气燃烧产生的热辐射对测试区周围的土壤和植被的灼伤。</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含硫天然气点火燃烧产生SO</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一定程度上影响植被生长，尤其是对农作物影响明显，影响一季度农作物。主要在燃烧池附近区域，但这种影响是可逆的，放喷结束后，对植物的影响降低直至消除，同时项目区域无自然保护区、风景区等生态敏感区域，为农业生态环境，放喷对生态环境的影响可逐步恢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（6）井场建设对永久基本农田环境影响分析</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本项目井场建设占用永久基本农田均为临时占用，临时占地不超过1年，若需转为开采井后井站永久占地依法办理农用地转用和土地征收审批手续，按规定补划永久基本农田。</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井场建设将对临时占用的永久基本农田开挖，使被开挖区域的土壤层耕作层发生破坏，改变其土地利用现状，主要表现为临时占用期间耽误农作物生产。根据拟建项目建设总体部署安排，计划从2021年11月开始实施，2022年6月完井。井场临时占地不超过1年，临时占地在占用完毕后都可在较短时间内恢复，根据现场调查，项目的井场选址占地在当地现有土地利用类型中所占比例很小，不会导致区域土地利用格局的变化，对区域土地利用格局产生的影响甚微。</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对农业生产的直接影响主要体现为因临时占用耕地及永久基本农田而造成经济作物减产，对于临时占地造成的农作物减产，本次环评要求施工单位对临时占地除了在施工中采取措施减少永久基本农田破坏、严格做好对永久基本农田的保护及恢复措施，土壤应分层开挖、分层堆放、分层回填外，在施工结束后，一定要负责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监测工作，及时掌握耕地质量变化状况，直至恢复到原来的生产力水平。考虑到国家对永久基本农田内的耕地实行特殊保护，为严格永久基本农田占用的监督管理，项目需由省级国土资源部门批准后再进行施工，并编制土地复垦方案，临时用地使用完成后，建设单位应按经批准的土地复垦方案及时组织复垦，确保被压占破坏土地恢复原土地使用状态。在施工结束后对临时占地应委托原被征地农户进行耕地的复垦复种工作，进行必要的土壤抚育，多使用有机肥，恢复临时占用耕地及永久基本农田的生产力，确保不降低项目占用的永久基本农田地力。</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钻井期间针对井场应按照“源头控制、分区防治、污染监控、应急响应”相结合的原则，从污染物的产生、入渗、扩散、事故状态应急响应等各方面进行土壤污染防治措施，确保井场实施不会对当地永久基本农田产生不利影响。</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（7）完井期生态影响分析</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天然气勘探属典型“地下决定地上”型项目，若确定井下有开采价值时，工程将进入地面采气阶段，则交由后续开发单位完善永久占地手续和实施道路边坡修整和硬化作业，燃烧池、应急池等进行生态恢复，油水罐区、清洁生产操作平台、泥浆储备罐区、耕植土堆放区及设备基础拆除，恢复生态，并将表土覆盖在表层用于复垦使用。</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若确定井下无开采价值时，则对井筒实施封井作业。井场设施、设备基础、构建筑将拆除，对井场土地进行平整和生态恢复，燃烧池、应急池等填方区填方处置后，井场占地除井口保留装置外，场地实施复垦复种生态恢复作业，封井作业后现场无“三废”排放、无噪声影响，完井期项目区域生态将逐渐得到恢复。另外，对于井场道路，应广泛征询周边居民对井场道路恢复或保留的意见，尽可能地方便周边居民出行，以便构筑和谐企民关系。封井后拟建项目对生态环境影响因素将不再存在，无废气、废水、废渣等污染物产生和排放影响生态环境。</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（8）小结</w:t>
            </w:r>
          </w:p>
          <w:p>
            <w:pPr>
              <w:adjustRightInd w:val="0"/>
              <w:snapToGrid w:val="0"/>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评价区域为农业生态系统，生态系统单一，结构简单，环境异质性差。区域以人工生境为主，易于恢复，评价区域无自然保护区，风景名胜区等生态环境敏感区，不涉及生态保护红线。本项目总体建设规模小，占地规模小，正常钻井对各生态因子影响小，不影响生态系统的结构和稳定性，不影响评价区域的生态环境质量现状，不影响区域生态功能。风险事故机率小，风险情况对生态影响不大，总体项目对生态环境影响小。</w:t>
            </w:r>
          </w:p>
          <w:p>
            <w:pPr>
              <w:pStyle w:val="32"/>
              <w:adjustRightInd w:val="0"/>
              <w:snapToGrid w:val="0"/>
              <w:spacing w:line="460" w:lineRule="exact"/>
              <w:ind w:firstLine="0" w:firstLineChars="0"/>
              <w:jc w:val="left"/>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4.3</w:t>
            </w:r>
            <w:r>
              <w:rPr>
                <w:rFonts w:hint="eastAsia"/>
                <w:b/>
                <w:color w:val="000000" w:themeColor="text1"/>
                <w:szCs w:val="24"/>
                <w14:textFill>
                  <w14:solidFill>
                    <w14:schemeClr w14:val="tx1"/>
                  </w14:solidFill>
                </w14:textFill>
              </w:rPr>
              <w:t>.7土壤环境影响分析</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-8。</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-8   建设项目土壤环境影响类型与影响途径表</w:t>
            </w:r>
          </w:p>
          <w:tbl>
            <w:tblPr>
              <w:tblStyle w:val="1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134"/>
              <w:gridCol w:w="1184"/>
              <w:gridCol w:w="1084"/>
              <w:gridCol w:w="887"/>
              <w:gridCol w:w="666"/>
              <w:gridCol w:w="666"/>
              <w:gridCol w:w="665"/>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3" w:type="dxa"/>
                  <w:vMerge w:val="restart"/>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不同时段</w:t>
                  </w:r>
                </w:p>
              </w:tc>
              <w:tc>
                <w:tcPr>
                  <w:tcW w:w="4289" w:type="dxa"/>
                  <w:gridSpan w:val="4"/>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污染影响型</w:t>
                  </w:r>
                </w:p>
              </w:tc>
              <w:tc>
                <w:tcPr>
                  <w:tcW w:w="2729" w:type="dxa"/>
                  <w:gridSpan w:val="4"/>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3" w:type="dxa"/>
                  <w:vMerge w:val="continue"/>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大气沉降</w:t>
                  </w:r>
                </w:p>
              </w:tc>
              <w:tc>
                <w:tcPr>
                  <w:tcW w:w="118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地面漫流</w:t>
                  </w:r>
                </w:p>
              </w:tc>
              <w:tc>
                <w:tcPr>
                  <w:tcW w:w="108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垂直入渗</w:t>
                  </w:r>
                </w:p>
              </w:tc>
              <w:tc>
                <w:tcPr>
                  <w:tcW w:w="887"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66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盐化</w:t>
                  </w:r>
                </w:p>
              </w:tc>
              <w:tc>
                <w:tcPr>
                  <w:tcW w:w="66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碱化</w:t>
                  </w:r>
                </w:p>
              </w:tc>
              <w:tc>
                <w:tcPr>
                  <w:tcW w:w="6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酸化</w:t>
                  </w:r>
                </w:p>
              </w:tc>
              <w:tc>
                <w:tcPr>
                  <w:tcW w:w="732"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3"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建设期</w:t>
                  </w:r>
                </w:p>
              </w:tc>
              <w:tc>
                <w:tcPr>
                  <w:tcW w:w="113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8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p>
              </w:tc>
              <w:tc>
                <w:tcPr>
                  <w:tcW w:w="1084"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p>
              </w:tc>
              <w:tc>
                <w:tcPr>
                  <w:tcW w:w="887"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32" w:type="dxa"/>
                  <w:tcBorders>
                    <w:top w:val="single" w:color="auto" w:sz="4" w:space="0"/>
                    <w:left w:val="single" w:color="auto" w:sz="4" w:space="0"/>
                    <w:bottom w:val="single" w:color="auto" w:sz="4" w:space="0"/>
                    <w:right w:val="single" w:color="auto" w:sz="4" w:space="0"/>
                  </w:tcBorders>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（1）破坏土壤结构</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（2）改变土壤质地</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（3）影响土壤紧实度</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基础施工后一般在短时期难以恢复其原有的紧实度。表层过于疏松时，因灌溉和降水容易造成水份下渗，使土层明显下陷形成凹沟。过于紧实时又会影响植物根系下扎。施工期间的车辆和重型机械的碾压也会造成管道两侧表层过于紧实，对植物生长产生不良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（4）项目建设临时占地对土壤环境的影响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临时占用地主要是挖方的堆积、建设用材料的堆放、临时施工道路用地、施工机械场地等。临时占用的土地，一部分是可以复垦利用的，但因施工中的机械碾压、施工人员践踏、振动以等原因，对土壤的理化性质、肥力水平都有一定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（5）施工废弃物对土壤环境的影响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项目施工的产生的泥浆若落入土地，有可能把固体废弃物残留于土壤之中。这些固体废物一般都比较难于分解，影响环境景观和作物生长，若埋于土壤中则会对作物根系的生长和发育造成影响。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（6）项目建设对土壤养分现状的影响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于恢复。</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（7）事故状态下对土壤的影响</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间，事故情况(井喷、柴油罐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pStyle w:val="32"/>
              <w:adjustRightInd w:val="0"/>
              <w:snapToGrid w:val="0"/>
              <w:spacing w:line="460" w:lineRule="exact"/>
              <w:ind w:firstLine="0" w:firstLineChars="0"/>
              <w:outlineLvl w:val="1"/>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4</w:t>
            </w:r>
            <w:r>
              <w:rPr>
                <w:b/>
                <w:color w:val="000000" w:themeColor="text1"/>
                <w:szCs w:val="24"/>
                <w14:textFill>
                  <w14:solidFill>
                    <w14:schemeClr w14:val="tx1"/>
                  </w14:solidFill>
                </w14:textFill>
              </w:rPr>
              <w:t>.3.8</w:t>
            </w:r>
            <w:r>
              <w:rPr>
                <w:rFonts w:hint="eastAsia"/>
                <w:b/>
                <w:color w:val="000000" w:themeColor="text1"/>
                <w:szCs w:val="24"/>
                <w14:textFill>
                  <w14:solidFill>
                    <w14:schemeClr w14:val="tx1"/>
                  </w14:solidFill>
                </w14:textFill>
              </w:rPr>
              <w:t>环境</w:t>
            </w:r>
            <w:r>
              <w:rPr>
                <w:b/>
                <w:color w:val="000000" w:themeColor="text1"/>
                <w:szCs w:val="24"/>
                <w14:textFill>
                  <w14:solidFill>
                    <w14:schemeClr w14:val="tx1"/>
                  </w14:solidFill>
                </w14:textFill>
              </w:rPr>
              <w:t>风险</w:t>
            </w:r>
            <w:r>
              <w:rPr>
                <w:rFonts w:hint="eastAsia"/>
                <w:b/>
                <w:color w:val="000000" w:themeColor="text1"/>
                <w:szCs w:val="24"/>
                <w14:textFill>
                  <w14:solidFill>
                    <w14:schemeClr w14:val="tx1"/>
                  </w14:solidFill>
                </w14:textFill>
              </w:rPr>
              <w:t>影响分析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风险评价将以《建设项目环境风险评价技术导则》（HJ169-2018）为指导，结合《危险化学品重大危险源辨识》（GB18218-2018）、《企业突发环境事件风险分级方法》（HJ941-2018）、《石油天然气工程设计防火规范》（GB50183-2015）等，通过风险调查、风险识别、风险预测与评价，提出本项目的风险防范措施和应急预案，为工程建设和环境管理提供技术决策依据，把环境风险尽可能降低至可接受水平。</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（1）风险源及风险途径识别</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①风险源及风险物质识别</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拟建项目为常规天然气钻井工程，目的层天然气主要成分为甲烷（CH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），并含有少量硫化氢（H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天然气属于易燃易爆气体，存在发生火灾、泄漏、爆炸等突发性风险事故的可能性。施工过程中设备用柴油发电机，配套设有1个柴油储罐储存柴油，柴油属于易燃易爆液体，存在发生火灾、泄漏、爆炸等突发性风险事故的可能性。酸化洗井时采用胶束酸，其主要成分为20%的稀盐酸，具有酸性腐蚀性，在使用和存储过程中存在发生泄漏突发性风险事故的可能性。钻井设备维修过程中产生少量废油，于危废间暂存，废油主要为废矿物油，属于易燃液体，存在发生火灾、泄漏突发性风险事故的可能性。因此，拟建工程涉及的风险物质主要为：甲烷、硫化氢、稀盐酸、柴油和废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②风险物质储存情况</w:t>
            </w:r>
          </w:p>
          <w:p>
            <w:pPr>
              <w:ind w:firstLine="48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稀盐酸：</w:t>
            </w:r>
            <w:r>
              <w:rPr>
                <w:rFonts w:hint="eastAsia"/>
                <w:color w:val="000000" w:themeColor="text1"/>
                <w14:textFill>
                  <w14:solidFill>
                    <w14:schemeClr w14:val="tx1"/>
                  </w14:solidFill>
                </w14:textFill>
              </w:rPr>
              <w:t>拟建项目洗井用胶束酸为20%的稀盐酸，其浓度远小于37%，故不属于《建设项目环境风险评价技术导则》（HJ169-2018）附录表B.1中所列突发环境事件风险物质，不需要计算Q值；但为了减小工程建设对环境的影响，本次仍对洗井用胶束酸进行环境风险定性分析，并提出风险管控措施。</w:t>
            </w:r>
          </w:p>
          <w:p>
            <w:pPr>
              <w:ind w:firstLine="48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甲烷、硫化氢：</w:t>
            </w:r>
            <w:r>
              <w:rPr>
                <w:rFonts w:hint="eastAsia"/>
                <w:color w:val="000000" w:themeColor="text1"/>
                <w14:textFill>
                  <w14:solidFill>
                    <w14:schemeClr w14:val="tx1"/>
                  </w14:solidFill>
                </w14:textFill>
              </w:rPr>
              <w:t>根据工程设计资料和周边已勘探井资料，预计地层中单井控制天然气储量很大，根据关键行业规范和应急关键措施，井喷失控在15分钟内点火，故钻井施工现场风险事故泄漏的甲烷和硫化氢泄漏量按15min计。</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结合参考的高石16井（灯影组四段、测试流量10.54×10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S浓度为4.43g/m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、无阻流量按测试流量3倍计为31.62×104m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/d）、高石16井（栖霞组、测试流量5.47×10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/d、无阻流量按测试流量3倍计为16.41×10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/d）、高石16井（龙王庙组、测试流量20.44×10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S浓度为40.48g/m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、无阻流量按测试流量3倍计为61.32×10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/d，甲烷浓度约690g/m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）气质组成、无阻流量等测试资料，风险物质考虑最大在线量，合深9井取高石16井龙王庙组气质组成和无阻流量，则合深9井环境风险事故时15min天然气泄漏后CH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、硫化氢量：CH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最大量为4.41t，H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S泄露量最大为0.26t。</w:t>
            </w:r>
          </w:p>
          <w:p>
            <w:pPr>
              <w:ind w:firstLine="48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柴油、废油：</w:t>
            </w:r>
            <w:r>
              <w:rPr>
                <w:rFonts w:hint="eastAsia"/>
                <w:color w:val="000000" w:themeColor="text1"/>
                <w14:textFill>
                  <w14:solidFill>
                    <w14:schemeClr w14:val="tx1"/>
                  </w14:solidFill>
                </w14:textFill>
              </w:rPr>
              <w:t>钻井过程中，主要的能源消耗为柴油，通过柴油发电机提供动力和电力，柴油属于闪点在28℃与60℃之间的易燃、具爆炸性的液体，属于乙类危险品。根据《建设项目环境风险评价技术导则》（HJ169-2018）属于附录B.1突发环境事件风险物质——油类物质，其临界量为2500t。拟建项目柴油存储在井场前场外南侧的油罐区内，现场量大储存量不超过28.9t（1个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的油罐，灌装系数0.85，柴油密度取0.85</w:t>
            </w:r>
            <w:r>
              <w:rPr>
                <w:color w:val="000000" w:themeColor="text1"/>
                <w14:textFill>
                  <w14:solidFill>
                    <w14:schemeClr w14:val="tx1"/>
                  </w14:solidFill>
                </w14:textFill>
              </w:rPr>
              <w:t>g/ml</w:t>
            </w:r>
            <w:r>
              <w:rPr>
                <w:rFonts w:hint="eastAsia"/>
                <w:color w:val="000000" w:themeColor="text1"/>
                <w14:textFill>
                  <w14:solidFill>
                    <w14:schemeClr w14:val="tx1"/>
                  </w14:solidFill>
                </w14:textFill>
              </w:rPr>
              <w:t>），贮存量远小于临界值。</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根据上述分析结果可知本项目钻井过程存在一定的环境风险，</w:t>
            </w:r>
            <w:r>
              <w:rPr>
                <w:rFonts w:hint="eastAsia"/>
                <w:color w:val="000000" w:themeColor="text1"/>
                <w14:textFill>
                  <w14:solidFill>
                    <w14:schemeClr w14:val="tx1"/>
                  </w14:solidFill>
                </w14:textFill>
              </w:rPr>
              <w:t>主要环境风险物质识别和环境风险影响途径识别见表4.3-9。</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NewRomanPSMT" w:eastAsia="TimesNewRomanPSMT" w:cs="TimesNewRomanPSMT"/>
                <w:color w:val="000000" w:themeColor="text1"/>
                <w14:textFill>
                  <w14:solidFill>
                    <w14:schemeClr w14:val="tx1"/>
                  </w14:solidFill>
                </w14:textFill>
              </w:rPr>
              <w:t>4.3-9</w:t>
            </w:r>
            <w:r>
              <w:rPr>
                <w:rFonts w:ascii="TimesNewRomanPSMT" w:eastAsia="TimesNewRomanPSMT" w:cs="TimesNewRomanPSMT"/>
                <w:color w:val="000000" w:themeColor="text1"/>
                <w14:textFill>
                  <w14:solidFill>
                    <w14:schemeClr w14:val="tx1"/>
                  </w14:solidFill>
                </w14:textFill>
              </w:rPr>
              <w:t xml:space="preserve"> </w:t>
            </w:r>
            <w:r>
              <w:rPr>
                <w:rFonts w:hint="eastAsia" w:ascii="TimesNewRomanPSMT" w:eastAsia="TimesNewRomanPSMT" w:cs="TimesNewRomanPSMT"/>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环境风险识别一览表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c>
                <w:tcPr>
                  <w:tcW w:w="709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环境风险物质识别</w:t>
                  </w:r>
                </w:p>
              </w:tc>
              <w:tc>
                <w:tcPr>
                  <w:tcW w:w="709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CH</w:t>
                  </w:r>
                  <w:r>
                    <w:rPr>
                      <w:rFonts w:hint="eastAsia"/>
                      <w:color w:val="000000" w:themeColor="text1"/>
                      <w:vertAlign w:val="sub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柴油、废油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环境风险影响途径识别</w:t>
                  </w: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钻井井喷失控泄漏天然气导致的火灾爆炸环境风险事故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套管破裂天然气串层泄露进入地表环境风险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钻井过程中钻井泥浆漏失环境风险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油罐区存储的柴油泄漏环境风险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eastAsiaTheme="minorEastAsia"/>
                      <w:color w:val="000000" w:themeColor="text1"/>
                      <w:kern w:val="0"/>
                      <w:sz w:val="22"/>
                      <w:szCs w:val="22"/>
                      <w14:textFill>
                        <w14:solidFill>
                          <w14:schemeClr w14:val="tx1"/>
                        </w14:solidFill>
                      </w14:textFill>
                    </w:rPr>
                    <w:t>酸化盐酸</w:t>
                  </w:r>
                  <w:r>
                    <w:rPr>
                      <w:rFonts w:hint="eastAsia" w:ascii="宋体" w:cs="宋体"/>
                      <w:color w:val="000000" w:themeColor="text1"/>
                      <w:kern w:val="0"/>
                      <w:sz w:val="22"/>
                      <w:szCs w:val="22"/>
                      <w14:textFill>
                        <w14:solidFill>
                          <w14:schemeClr w14:val="tx1"/>
                        </w14:solidFill>
                      </w14:textFill>
                    </w:rPr>
                    <w:t>（稀盐酸）泄露事故环境风险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暴雨季节排污池废水外溢等环境风险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pPr>
                    <w:pStyle w:val="30"/>
                    <w:rPr>
                      <w:color w:val="000000" w:themeColor="text1"/>
                      <w14:textFill>
                        <w14:solidFill>
                          <w14:schemeClr w14:val="tx1"/>
                        </w14:solidFill>
                      </w14:textFill>
                    </w:rPr>
                  </w:pPr>
                </w:p>
              </w:tc>
              <w:tc>
                <w:tcPr>
                  <w:tcW w:w="7096"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sz w:val="22"/>
                      <w:szCs w:val="22"/>
                      <w14:textFill>
                        <w14:solidFill>
                          <w14:schemeClr w14:val="tx1"/>
                        </w14:solidFill>
                      </w14:textFill>
                    </w:rPr>
                    <w:t>废水外运过程事故影响分析</w:t>
                  </w:r>
                </w:p>
              </w:tc>
            </w:tr>
          </w:tbl>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（2）环境敏感目标概况</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环境风险保护目标详见3.3-4。</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（3）风险事故情形、源项分析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1）最大可信事故源项分析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风险识别和最大可信事故分析，选取对环境影响较大并具有代表性的事故类型，设定风险事故情形，主要为井喷失控含硫天然气点火燃烧次生二氧化硫排放为风险情形。其他环境风险进行定性分析。详见下表：</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表4.3-10   风险事故情形设定表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206"/>
              <w:gridCol w:w="1418"/>
              <w:gridCol w:w="1134"/>
              <w:gridCol w:w="1559"/>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风险事故</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情形</w:t>
                  </w:r>
                </w:p>
              </w:tc>
              <w:tc>
                <w:tcPr>
                  <w:tcW w:w="120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危险单元</w:t>
                  </w:r>
                </w:p>
              </w:tc>
              <w:tc>
                <w:tcPr>
                  <w:tcW w:w="141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风险源</w:t>
                  </w:r>
                </w:p>
              </w:tc>
              <w:tc>
                <w:tcPr>
                  <w:tcW w:w="11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环境风险类型</w:t>
                  </w:r>
                </w:p>
              </w:tc>
              <w:tc>
                <w:tcPr>
                  <w:tcW w:w="156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井喷失控含硫化氢天然气点火燃烧</w:t>
                  </w:r>
                </w:p>
              </w:tc>
              <w:tc>
                <w:tcPr>
                  <w:tcW w:w="120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井口</w:t>
                  </w:r>
                </w:p>
              </w:tc>
              <w:tc>
                <w:tcPr>
                  <w:tcW w:w="141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井喷失控</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喷射天然气</w:t>
                  </w:r>
                </w:p>
              </w:tc>
              <w:tc>
                <w:tcPr>
                  <w:tcW w:w="113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155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次生污染</w:t>
                  </w:r>
                </w:p>
              </w:tc>
              <w:tc>
                <w:tcPr>
                  <w:tcW w:w="156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大气</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井喷失控采取点火措施和放喷管道点火，井喷天然气全部燃烧，转化为SO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O，井口燃烧持续时间长。川东北气矿16H井喷射、燃烧约84小时后压井成功，类比分析，井喷失控点燃后燃烧时间按100小时计算。燃烧放喷SO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排放速率540.8g/s，排放总量约194.7t，烟气量约26.82万m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p>
          <w:p>
            <w:pPr>
              <w:pStyle w:val="26"/>
              <w:rPr>
                <w:color w:val="000000" w:themeColor="text1"/>
                <w14:textFill>
                  <w14:solidFill>
                    <w14:schemeClr w14:val="tx1"/>
                  </w14:solidFill>
                </w14:textFill>
              </w:rPr>
            </w:pPr>
            <w:bookmarkStart w:id="5" w:name="_Toc20838_WPSOffice_Level1"/>
            <w:bookmarkStart w:id="6" w:name="_Toc8054_WPSOffice_Level1"/>
            <w:bookmarkStart w:id="7" w:name="_Toc11360_WPSOffice_Level1"/>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4.3-11   </w:t>
            </w:r>
            <w:r>
              <w:rPr>
                <w:color w:val="000000" w:themeColor="text1"/>
                <w14:textFill>
                  <w14:solidFill>
                    <w14:schemeClr w14:val="tx1"/>
                  </w14:solidFill>
                </w14:textFill>
              </w:rPr>
              <w:t>项目源强一览表</w:t>
            </w:r>
            <w:bookmarkEnd w:id="5"/>
            <w:bookmarkEnd w:id="6"/>
            <w:bookmarkEnd w:id="7"/>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4"/>
              <w:gridCol w:w="1291"/>
              <w:gridCol w:w="722"/>
              <w:gridCol w:w="827"/>
              <w:gridCol w:w="727"/>
              <w:gridCol w:w="1037"/>
              <w:gridCol w:w="960"/>
              <w:gridCol w:w="98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7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风险事故情形描述</w:t>
                  </w:r>
                </w:p>
              </w:tc>
              <w:tc>
                <w:tcPr>
                  <w:tcW w:w="71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危险单元</w:t>
                  </w:r>
                </w:p>
              </w:tc>
              <w:tc>
                <w:tcPr>
                  <w:tcW w:w="81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危险物质</w:t>
                  </w:r>
                </w:p>
              </w:tc>
              <w:tc>
                <w:tcPr>
                  <w:tcW w:w="71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影响途径</w:t>
                  </w:r>
                </w:p>
              </w:tc>
              <w:tc>
                <w:tcPr>
                  <w:tcW w:w="102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释放或泄漏速率</w:t>
                  </w:r>
                </w:p>
                <w:p>
                  <w:pPr>
                    <w:pStyle w:val="30"/>
                    <w:rPr>
                      <w:color w:val="000000" w:themeColor="text1"/>
                      <w14:textFill>
                        <w14:solidFill>
                          <w14:schemeClr w14:val="tx1"/>
                        </w14:solidFill>
                      </w14:textFill>
                    </w:rPr>
                  </w:pPr>
                  <w:r>
                    <w:rPr>
                      <w:color w:val="000000" w:themeColor="text1"/>
                      <w14:textFill>
                        <w14:solidFill>
                          <w14:schemeClr w14:val="tx1"/>
                        </w14:solidFill>
                      </w14:textFill>
                    </w:rPr>
                    <w:t>/(g/s)</w:t>
                  </w:r>
                </w:p>
              </w:tc>
              <w:tc>
                <w:tcPr>
                  <w:tcW w:w="94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释放或泄漏时间</w:t>
                  </w:r>
                </w:p>
                <w:p>
                  <w:pPr>
                    <w:pStyle w:val="30"/>
                    <w:rPr>
                      <w:color w:val="000000" w:themeColor="text1"/>
                      <w14:textFill>
                        <w14:solidFill>
                          <w14:schemeClr w14:val="tx1"/>
                        </w14:solidFill>
                      </w14:textFill>
                    </w:rPr>
                  </w:pPr>
                  <w:r>
                    <w:rPr>
                      <w:color w:val="000000" w:themeColor="text1"/>
                      <w14:textFill>
                        <w14:solidFill>
                          <w14:schemeClr w14:val="tx1"/>
                        </w14:solidFill>
                      </w14:textFill>
                    </w:rPr>
                    <w:t>/min</w:t>
                  </w:r>
                </w:p>
              </w:tc>
              <w:tc>
                <w:tcPr>
                  <w:tcW w:w="97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最大释放或泄漏量/</w:t>
                  </w:r>
                  <w:r>
                    <w:rPr>
                      <w:rFonts w:hint="eastAsia"/>
                      <w:color w:val="000000" w:themeColor="text1"/>
                      <w14:textFill>
                        <w14:solidFill>
                          <w14:schemeClr w14:val="tx1"/>
                        </w14:solidFill>
                      </w14:textFill>
                    </w:rPr>
                    <w:t>t</w:t>
                  </w:r>
                </w:p>
              </w:tc>
              <w:tc>
                <w:tcPr>
                  <w:tcW w:w="96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放喷量/烟气量10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27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井喷失控含硫化氢天然气点火燃烧</w:t>
                  </w:r>
                </w:p>
              </w:tc>
              <w:tc>
                <w:tcPr>
                  <w:tcW w:w="711"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井口</w:t>
                  </w:r>
                </w:p>
              </w:tc>
              <w:tc>
                <w:tcPr>
                  <w:tcW w:w="81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二氧化硫</w:t>
                  </w:r>
                </w:p>
              </w:tc>
              <w:tc>
                <w:tcPr>
                  <w:tcW w:w="71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1021"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540.8</w:t>
                  </w:r>
                </w:p>
              </w:tc>
              <w:tc>
                <w:tcPr>
                  <w:tcW w:w="94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6000</w:t>
                  </w:r>
                </w:p>
              </w:tc>
              <w:tc>
                <w:tcPr>
                  <w:tcW w:w="97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194.7</w:t>
                  </w:r>
                </w:p>
              </w:tc>
              <w:tc>
                <w:tcPr>
                  <w:tcW w:w="96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26.82</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2）其它风险源项分析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①井喷失控天然气泄漏环境风险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根据关键行业规范和应急关键措施，井喷失控在15分钟内点火。因此本项目按发生井喷后在15分钟内点火成功，则井喷导致甲烷泄漏的最长时间为15分钟。</w:t>
            </w:r>
            <w:r>
              <w:rPr>
                <w:color w:val="000000" w:themeColor="text1"/>
                <w14:textFill>
                  <w14:solidFill>
                    <w14:schemeClr w14:val="tx1"/>
                  </w14:solidFill>
                </w14:textFill>
              </w:rPr>
              <w:t>事故状态下在</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分钟</w:t>
            </w:r>
            <w:r>
              <w:rPr>
                <w:color w:val="000000" w:themeColor="text1"/>
                <w14:textFill>
                  <w14:solidFill>
                    <w14:schemeClr w14:val="tx1"/>
                  </w14:solidFill>
                </w14:textFill>
              </w:rPr>
              <w:t>内启动点火程序实施点火，井场内同时配备自动、手动和高压高能电子点火三套独立点火系统，可确保按要求在井喷失控后</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分钟</w:t>
            </w:r>
            <w:r>
              <w:rPr>
                <w:color w:val="000000" w:themeColor="text1"/>
                <w14:textFill>
                  <w14:solidFill>
                    <w14:schemeClr w14:val="tx1"/>
                  </w14:solidFill>
                </w14:textFill>
              </w:rPr>
              <w:t>内成功实施点火作业，环境风险可控。</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井喷失控点火前泄漏环境风险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本项目的气源含硫化氢，泄漏后主要是甲烷和硫化氢气体对周边环境的影响。甲烷属于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单纯窒息性气体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，高浓度时可使人因缺氧而窒息，空气中甲烷浓度达到</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时，可出现头晕、呼吸加速、运动失调等症状；含硫化氢天然气的扩散可能会引起周边居民中毒。</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在事故状态下，井喷失控释放的天然气不进行点燃，天然气泄漏量约为6389</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（泄漏时间15min）天然气向环境中扩散。由于天然气主要成份为甲烷和硫化氢，甲烷摩尔质量</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低于空气</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，属于轻质气体，且泄漏量较少，随着时间的推移，扩散到空气中的甲烷会迅速上浮，不会在地面形成稳定气团；硫化氢摩尔质量34高于空气</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，属于重质气体，随着时间的推移，扩散到空气中的硫化氢不会迅速上浮，会在地面形成稳定气团。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调查，本项目周边大部分居民所处地势均略低于本项目，项目东侧、北侧以及南侧均呈山体环绕之势，井喷事故过程中，泄漏的天然气可能对项目西侧地势较低处的居民造成影响。但项目西侧居民分布较少，主要为两侧</w:t>
            </w:r>
            <w:r>
              <w:rPr>
                <w:color w:val="000000" w:themeColor="text1"/>
                <w14:textFill>
                  <w14:solidFill>
                    <w14:schemeClr w14:val="tx1"/>
                  </w14:solidFill>
                </w14:textFill>
              </w:rPr>
              <w:t>300m</w:t>
            </w:r>
            <w:r>
              <w:rPr>
                <w:rFonts w:hint="eastAsia"/>
                <w:color w:val="000000" w:themeColor="text1"/>
                <w14:textFill>
                  <w14:solidFill>
                    <w14:schemeClr w14:val="tx1"/>
                  </w14:solidFill>
                </w14:textFill>
              </w:rPr>
              <w:t>范围居民，且与项目所在区域有山脉相隔，井喷对周边居民影响相对较小。</w:t>
            </w:r>
            <w:r>
              <w:rPr>
                <w:color w:val="000000" w:themeColor="text1"/>
                <w14:textFill>
                  <w14:solidFill>
                    <w14:schemeClr w14:val="tx1"/>
                  </w14:solidFill>
                </w14:textFill>
              </w:rPr>
              <w:t xml:space="preserve">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喷过程及时对项目周边的分散居民进行疏散，随着距泄漏点距离的增加，甲烷和硫化氢测试浓度下降非常快，一个泄漏点泄漏的甲烷和硫化氢对环境、人和动物的影响是局部影响，不会造成人员窒息或重度现象。因此，井喷失控事故释放的天然气对大气环境影响小。</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③套管破裂天然气窜层泄漏进入地表环境风险影响分析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套管破裂在钻井中出现的几率非常小，在严把质量关的前提下发生该事故的几率极其小，主要表现为可燃气体的泄漏遇火爆炸环境风险。由于通过地下岩层的阻隔，事故发生后窜层泄漏进入地表的量、压力、速率比井喷量小很多，影响程度比井喷小很多。</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④钻井泥浆漏失环境风险</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⑤柴油泄漏环境风险</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油罐密闭，柴油发生大量泄漏的几率很小，一般情况管道阀门泄漏，少量跑冒漏滴均收集在隔油池内，可有效进行防止污染。罐体破裂导致柴油大量泄漏的机率很小，发生时可能污染罐体周边土壤、地表水及地下水，对生态环境造成影响。</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盐酸泄露的环境风险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本项目盐酸使用当天临时存贮在盐酸罐中，酸罐为玻璃钢管，在钻井完井下套管并射孔完井后，拉运至井场。</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钻至目的层并下完套管后，测试放喷之前，会根据目的层情况确定是否采用酸洗来提高产气量，采用成品盐酸拉运现场使用，现场无调配作业，但盐酸在拉运过程和现场临时存储一旦发生泄漏后，一方面，挥发的酸雾会造成一定范围内的环境空气污染；另一方面，泄漏的盐酸将引起土壤酸化，破坏土壤的结构，危害植物生长，若控制不当流入井场周围的水体将会污染水体。</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⑦</w:t>
            </w:r>
            <w:r>
              <w:rPr>
                <w:rFonts w:hint="eastAsia" w:ascii="宋体" w:hAnsi="宋体" w:cs="宋体"/>
                <w:color w:val="000000" w:themeColor="text1"/>
                <w14:textFill>
                  <w14:solidFill>
                    <w14:schemeClr w14:val="tx1"/>
                  </w14:solidFill>
                </w14:textFill>
              </w:rPr>
              <w:t>废水泄漏或外溢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水罐、应急池、收集罐等泄漏对地表的影响一般有两种途径：一种是泄漏后废水直接进入地表；另一种是废水泄漏于地表，由降雨形成的地表径流污染地表水和浅层地下水。各类废水的主要危害表现在：pH值过高或过低、可溶性盐含量高，含石油类的钻井污水影响土壤的结构，危害植物生长；污水所含的其他有机处理剂使水体的COD、BOD增高，影响水生生物的生长。</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此，对于水罐所处的平台选址、施工质量、承压强度应予以重视，应避开不良地质或岩土松散的地段以及河谷滩地等，防止施工过程中因滑坡、暴雨等自然灾害导致钻井废水渗漏或溢出污染附近农田土壤、作物、地表水以及地下水等。</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8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⑧</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废水转运过程事故影响分析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程废水（完钻废水）外运处置，其转运采用罐车密闭输送，运输过程中，存在发生事故所引发的次生环境污染。一旦发生交通事故或其他原因导致废水外溢，一方面可能会将造成土壤、地表水体和地下水体污染，另一方面，若事故发生在跨河桥梁段，泄漏的废水会直接污染地表水体。</w:t>
            </w:r>
          </w:p>
          <w:p>
            <w:pPr>
              <w:tabs>
                <w:tab w:val="left" w:pos="7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（4）风险预测与评价</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预测模式</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燃烧放喷SO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排放速率</w:t>
            </w:r>
            <w:r>
              <w:rPr>
                <w:rFonts w:hint="eastAsia"/>
                <w:color w:val="000000" w:themeColor="text1"/>
                <w14:textFill>
                  <w14:solidFill>
                    <w14:schemeClr w14:val="tx1"/>
                  </w14:solidFill>
                </w14:textFill>
              </w:rPr>
              <w:t>540.8</w:t>
            </w:r>
            <w:r>
              <w:rPr>
                <w:color w:val="000000" w:themeColor="text1"/>
                <w14:textFill>
                  <w14:solidFill>
                    <w14:schemeClr w14:val="tx1"/>
                  </w14:solidFill>
                </w14:textFill>
              </w:rPr>
              <w:t>g/s，烟气量约</w:t>
            </w:r>
            <w:r>
              <w:rPr>
                <w:rFonts w:hint="eastAsia"/>
                <w:color w:val="000000" w:themeColor="text1"/>
                <w14:textFill>
                  <w14:solidFill>
                    <w14:schemeClr w14:val="tx1"/>
                  </w14:solidFill>
                </w14:textFill>
              </w:rPr>
              <w:t>26.82</w:t>
            </w: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/h。类似非正常工况下的废气排放。</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用《环境影响评价技术导则大气环境》中推荐AERMOD模式预测。该模式下烟囱有效高度 He =60(m)，主要适用远距离的影响。不利于分析井口周边近地面区域的影响。评价对2000m以外采用AERMOD模式预测。</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评价同时对井口近地面区域2000m预测采用 SLAB 模式，对井喷燃烧产生的二氧化硫排放作为类似风险直接喷射二氧化硫近似处理。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预测范围与计算点、预测时段</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预测范围5km，特殊计算点为5km内大气环境</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目标，一般计算点设置50m间距。</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预测时段：[1，</w:t>
            </w:r>
            <w:r>
              <w:rPr>
                <w:rFonts w:hint="eastAsia"/>
                <w:color w:val="000000" w:themeColor="text1"/>
                <w14:textFill>
                  <w14:solidFill>
                    <w14:schemeClr w14:val="tx1"/>
                  </w14:solidFill>
                </w14:textFill>
              </w:rPr>
              <w:t>6000</w:t>
            </w:r>
            <w:r>
              <w:rPr>
                <w:color w:val="000000" w:themeColor="text1"/>
                <w14:textFill>
                  <w14:solidFill>
                    <w14:schemeClr w14:val="tx1"/>
                  </w14:solidFill>
                </w14:textFill>
              </w:rPr>
              <w:t>min]60min，预测时间</w:t>
            </w:r>
            <w:r>
              <w:rPr>
                <w:rFonts w:hint="eastAsia"/>
                <w:color w:val="000000" w:themeColor="text1"/>
                <w14:textFill>
                  <w14:solidFill>
                    <w14:schemeClr w14:val="tx1"/>
                  </w14:solidFill>
                </w14:textFill>
              </w:rPr>
              <w:t>100</w:t>
            </w:r>
            <w:r>
              <w:rPr>
                <w:color w:val="000000" w:themeColor="text1"/>
                <w14:textFill>
                  <w14:solidFill>
                    <w14:schemeClr w14:val="tx1"/>
                  </w14:solidFill>
                </w14:textFill>
              </w:rPr>
              <w:t>小时，间隔60分钟。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事故源参数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初始气团温度：200℃</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源高度H：结合火焰高度，取中间值约</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源面积：源面积  结合火焰面积取60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废气量：</w:t>
            </w:r>
            <w:r>
              <w:rPr>
                <w:rFonts w:hint="eastAsia"/>
                <w:color w:val="000000" w:themeColor="text1"/>
                <w14:textFill>
                  <w14:solidFill>
                    <w14:schemeClr w14:val="tx1"/>
                  </w14:solidFill>
                </w14:textFill>
              </w:rPr>
              <w:t>26.82</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二氧化硫释放速率：</w:t>
            </w:r>
            <w:r>
              <w:rPr>
                <w:rFonts w:hint="eastAsia"/>
                <w:color w:val="000000" w:themeColor="text1"/>
                <w14:textFill>
                  <w14:solidFill>
                    <w14:schemeClr w14:val="tx1"/>
                  </w14:solidFill>
                </w14:textFill>
              </w:rPr>
              <w:t>540.8</w:t>
            </w:r>
            <w:r>
              <w:rPr>
                <w:color w:val="000000" w:themeColor="text1"/>
                <w14:textFill>
                  <w14:solidFill>
                    <w14:schemeClr w14:val="tx1"/>
                  </w14:solidFill>
                </w14:textFill>
              </w:rPr>
              <w:t>g/s</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持续泄露时间：100h</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泄漏频率：0.94×10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污染物基本物性参数：</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4.3-12    </w:t>
            </w:r>
            <w:r>
              <w:rPr>
                <w:color w:val="000000" w:themeColor="text1"/>
                <w14:textFill>
                  <w14:solidFill>
                    <w14:schemeClr w14:val="tx1"/>
                  </w14:solidFill>
                </w14:textFill>
              </w:rPr>
              <w:t>污染物基本物性参数表</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163"/>
              <w:gridCol w:w="1053"/>
              <w:gridCol w:w="1146"/>
              <w:gridCol w:w="1125"/>
              <w:gridCol w:w="1125"/>
              <w:gridCol w:w="933"/>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16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蒸气定压比热容CPS(J/Kg.K)</w:t>
                  </w:r>
                </w:p>
              </w:tc>
              <w:tc>
                <w:tcPr>
                  <w:tcW w:w="105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常压沸点TBP(℃)</w:t>
                  </w:r>
                </w:p>
              </w:tc>
              <w:tc>
                <w:tcPr>
                  <w:tcW w:w="114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沸点时的汽化热DHE(J/Kg)</w:t>
                  </w:r>
                </w:p>
              </w:tc>
              <w:tc>
                <w:tcPr>
                  <w:tcW w:w="112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液体比热容 CPSL (J/Kg.K)</w:t>
                  </w:r>
                </w:p>
              </w:tc>
              <w:tc>
                <w:tcPr>
                  <w:tcW w:w="112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液体密度 RHOSL (Kg/m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93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饱和压力常数 SPB(--)</w:t>
                  </w:r>
                </w:p>
              </w:tc>
              <w:tc>
                <w:tcPr>
                  <w:tcW w:w="93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饱和压力常数 SPC(K)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7"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116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622.6</w:t>
                  </w:r>
                </w:p>
              </w:tc>
              <w:tc>
                <w:tcPr>
                  <w:tcW w:w="105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-10.15</w:t>
                  </w:r>
                </w:p>
              </w:tc>
              <w:tc>
                <w:tcPr>
                  <w:tcW w:w="114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386500</w:t>
                  </w:r>
                </w:p>
              </w:tc>
              <w:tc>
                <w:tcPr>
                  <w:tcW w:w="112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1331</w:t>
                  </w:r>
                </w:p>
              </w:tc>
              <w:tc>
                <w:tcPr>
                  <w:tcW w:w="1125"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1462</w:t>
                  </w:r>
                </w:p>
              </w:tc>
              <w:tc>
                <w:tcPr>
                  <w:tcW w:w="93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2302.35</w:t>
                  </w:r>
                </w:p>
              </w:tc>
              <w:tc>
                <w:tcPr>
                  <w:tcW w:w="937"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-35.97</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4）井喷失控点火后SO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影响预测结果</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通过SLAB、AERMOD模式预测，计算结下风向不同距离处SO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最大浓度预测结果见表4.3-13。</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表4.3-13     井喷时SO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泄露预测结果表</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2094"/>
              <w:gridCol w:w="2094"/>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下风向距离（m）</w:t>
                  </w:r>
                </w:p>
              </w:tc>
              <w:tc>
                <w:tcPr>
                  <w:tcW w:w="20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color w:val="000000" w:themeColor="text1"/>
                      <w14:textFill>
                        <w14:solidFill>
                          <w14:schemeClr w14:val="tx1"/>
                        </w14:solidFill>
                      </w14:textFill>
                    </w:rPr>
                    <w:t>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下风向距离（m）</w:t>
                  </w:r>
                </w:p>
              </w:tc>
              <w:tc>
                <w:tcPr>
                  <w:tcW w:w="20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color w:val="000000" w:themeColor="text1"/>
                      <w14:textFill>
                        <w14:solidFill>
                          <w14:schemeClr w14:val="tx1"/>
                        </w14:solidFill>
                      </w14:textFill>
                    </w:rPr>
                    <w:t>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625.46</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130.79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573.65</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1250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523.44</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1300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485.31</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1350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112.73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452.13</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1400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107.57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423.80</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1450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397.91</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1500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98.31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374.41</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1550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94.16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352.18</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1600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90.31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329.61</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1650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86.74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308.04</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1700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83.41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288.36</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1750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270.20</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253.28</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1850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74.46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750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237.52</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1900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71.83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222.90</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1950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69.37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850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209.44</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67.05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197.11</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950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185.85</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175.64</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3500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166.29</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1100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157.70</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1150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149.74</w:t>
                  </w:r>
                </w:p>
              </w:tc>
              <w:tc>
                <w:tcPr>
                  <w:tcW w:w="2094"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5000</w:t>
                  </w:r>
                </w:p>
              </w:tc>
              <w:tc>
                <w:tcPr>
                  <w:tcW w:w="2094" w:type="dxa"/>
                  <w:vAlign w:val="center"/>
                </w:tcPr>
                <w:p>
                  <w:pPr>
                    <w:pStyle w:val="3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终点浓度范围</w:t>
                  </w:r>
                </w:p>
              </w:tc>
              <w:tc>
                <w:tcPr>
                  <w:tcW w:w="20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终点1：0m</w:t>
                  </w:r>
                </w:p>
              </w:tc>
              <w:tc>
                <w:tcPr>
                  <w:tcW w:w="2094" w:type="dxa"/>
                  <w:vMerge w:val="restart"/>
                  <w:vAlign w:val="center"/>
                </w:tcPr>
                <w:p>
                  <w:pPr>
                    <w:pStyle w:val="30"/>
                    <w:rPr>
                      <w:rFonts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094"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vMerge w:val="continue"/>
                  <w:vAlign w:val="center"/>
                </w:tcPr>
                <w:p>
                  <w:pPr>
                    <w:pStyle w:val="30"/>
                    <w:rPr>
                      <w:color w:val="000000" w:themeColor="text1"/>
                      <w14:textFill>
                        <w14:solidFill>
                          <w14:schemeClr w14:val="tx1"/>
                        </w14:solidFill>
                      </w14:textFill>
                    </w:rPr>
                  </w:pPr>
                </w:p>
              </w:tc>
              <w:tc>
                <w:tcPr>
                  <w:tcW w:w="209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终点2：2100m</w:t>
                  </w:r>
                </w:p>
              </w:tc>
              <w:tc>
                <w:tcPr>
                  <w:tcW w:w="2094" w:type="dxa"/>
                  <w:vMerge w:val="continue"/>
                  <w:vAlign w:val="center"/>
                </w:tcPr>
                <w:p>
                  <w:pPr>
                    <w:pStyle w:val="30"/>
                    <w:rPr>
                      <w:color w:val="000000" w:themeColor="text1"/>
                      <w14:textFill>
                        <w14:solidFill>
                          <w14:schemeClr w14:val="tx1"/>
                        </w14:solidFill>
                      </w14:textFill>
                    </w:rPr>
                  </w:pPr>
                </w:p>
              </w:tc>
              <w:tc>
                <w:tcPr>
                  <w:tcW w:w="2094" w:type="dxa"/>
                  <w:vMerge w:val="continue"/>
                  <w:vAlign w:val="center"/>
                </w:tcPr>
                <w:p>
                  <w:pPr>
                    <w:pStyle w:val="30"/>
                    <w:rPr>
                      <w:color w:val="000000" w:themeColor="text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综上所述，工程井喷失控事故发生后，进行点火，燃烧产生的SO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对环境影响较小。</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（5）环境风险防范措施及应急要求</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1）环境风险防范措施</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①井喷防范措施</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A.施工设计中的防井喷措施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a.选择合理的压井液。新井投产和试油、试气施工应参照钻穿油、气层时钻井泥浆性能，认真选择合理的压井液，避免因压井液性能达不到施工要求而造成井喷污染。</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b.选择合理的射孔方式。</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c.规定出上提钻具速度。井内下有大直径工具（工具外径超过油层套管内径80%以上）的井，严禁高速起钻，防止因高速起钻引起抽汲作用造成井喷污染。</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d.对防喷装置的配备要有明确要求。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e.选择使用有利于防止和控制井喷的井下管柱和工具，以适应突发事故的处理和补救措施的需要。</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B.钻井作业中的井喷防范措施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施工单位应按《石油天然气钻井健康、安全与环境管理体系指南》（SY/T6283-1997）、中国石油天然气集团公司《石油天然气钻井作业健康、安全与环境管理导则》、《井下作业井控实施细则》（2018年，西南油气田分公司）及相关的井控技术标准和规范中的有关规定执行，并针对本井情况制定具体的可操作的实施方案，主要包括：</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开钻前向全队职工、钻井现场的所有工作人员进行地质、工程、钻井液和井控装备等方面的技术交底，并提出具体要求。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严格执行井控工作九项管理制度，落实溢流监测岗位、关井操作岗位和钻井队干部24h值班制度，井控准备工作及应急预案必须经验收合格后，方可钻开油气层。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各种井控装备及其他专用工具、消防器材、防爆电路系统配备齐全、运转正常。</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进入油气层前50～100m对上部裸眼段进行承压试验无井漏后并将钻井液密度逐步调整值设计要求值；每次起钻前必须活动方钻杆旋塞一次，每次起钻完检查活动闸板封井器一次，半月活动检查环型封井器一次，以保证其正常可靠。</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 气层钻进中，必须在近钻头位置安装钻具回压阀，同时钻台上配备一只与钻具尺寸相符的回压阀，且备有相应的抢接工具，在大门坡道上准备一根防喷单根（钻杆下部有与钻铤扣相符的配合接头）。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f. 按班组进行防喷演习，并达到规定要求。关井压力不得超过井口装置的工作压力、套管抗内压强度的80%地层破裂压力三者中的最小值。根据当地地形环境，确定逃生路线及撤离方案。</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 严格落实坐岗制度，无论钻进还是起下钻，或其他辅助作业，钻井班落实专人坐岗观察钻井液池液面变化和钻井液出口情况，录井人员除了在仪表上观察外，还对钻井液池液面变化和钻井液出口进行定时观察，定时测量进出口钻井液性能，两个岗都必须做好真实准确记录，值班干部必须对上述两个岗位工作情况进行定时和不定时检查，并当班签认。</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h. 认真搞好随钻地层压力的监测工作中，发现地层压力异常、溢流、井涌等情况，应及时关井并调整钻井液密度，同时上报有关部门。</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i. 严格控制起下钻速度，起钻必须按规定灌满钻井液；加强井场设备的运行、保养和检查，保证设备的正常运行，设备检修必须按有关规定执行。</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j. 钻进中遇到钻速突然加快、放空、井漏、气测及油气水显示异常等情况，应立即停钻观察，如发生溢流要按规定及时发出报警信号，并按正确的关井程序及时关井，关井求压后迅速实施压井作业。发生溢流后，根据关井压力，尽快在井口、地层和套管安全条件下压井，待井内平稳后才恢复钻进。</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C. 防井喷装置</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以半封和全封防喷器为主体的防喷装置，包括高压闸门、自封、四通、套管头、过渡法兰等。</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以节流管汇为主体的井控管汇，包括放喷管线、压井管线等。</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井下管柱防喷工具，包括钻具、防喷单流阀等。</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具有净化、加大密度、原料储备及自动调配、自动灌装等功能的压井液储备系统。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 防止井喷失控专用设备、设施，包括高压自封、不压井起下管柱装置等。</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D. 钻开气层前验收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钻开气层时极容易发生井下和环境污染事故。钻开气层前验收就是在钻开气层前对井队的安全和井控工作进行全面大检查，以消除事故隐患，实现安全生产和清洁生产。</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E.井喷应急措施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喷失控造成天然气急速释放，发生井喷的过程主要是由泥浆溢流→井涌→井喷。天然气从井口喷出，这段时间大约在20~60min。泥浆溢流后，应立即组织首先撤离井口周边500m内的居民，并告知井口周围5km范围内的敏感点，尤其是学校、集镇等。井喷失控后，在15min内完成井口点火燃烧泄漏天然气，将天然气燃烧转化为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O和少量SO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钻井过程中，井下监控措施监控发现井内泥浆溢流量达1m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时报警，达到2m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时马上采取关井措施。当所有关断措施全部失效，井口失控后，即发生井喷事故。若采取关井措施能防止井喷，将疏散的居民撤回；若井口失控后发生井喷，则井喷结束后，将疏散的居民撤回。</w:t>
            </w:r>
          </w:p>
          <w:p>
            <w:pPr>
              <w:spacing w:line="440" w:lineRule="exact"/>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②</w:t>
            </w:r>
            <w:r>
              <w:rPr>
                <w:b/>
                <w:color w:val="000000" w:themeColor="text1"/>
                <w14:textFill>
                  <w14:solidFill>
                    <w14:schemeClr w14:val="tx1"/>
                  </w14:solidFill>
                </w14:textFill>
              </w:rPr>
              <w:t>井漏防范措施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在钻井过程中对井漏应坚持预防为主的原则，主要包括避开复杂地质环境、选用和维持较低的井筒内钻井介质压力、提高地层承压能力等防范措施：</w:t>
            </w:r>
          </w:p>
          <w:p>
            <w:pPr>
              <w:numPr>
                <w:ilvl w:val="0"/>
                <w:numId w:val="1"/>
              </w:numPr>
              <w:spacing w:line="440" w:lineRule="exact"/>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降低井下环空压耗</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在保证钻井介质（水基泥浆）能携带钻屑的前提下，尽可能降低钻井介质粘度，提高泥饼质量，防止因井壁泥饼较厚起环空间隙较小，导致环空压耗增大。</w:t>
            </w:r>
          </w:p>
          <w:p>
            <w:pPr>
              <w:numPr>
                <w:ilvl w:val="0"/>
                <w:numId w:val="1"/>
              </w:num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提高地层承压能力</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提高地层承压能力地层的漏失主要取决于地层的特性，通过人为的方法提高地层的承压能力，封堵漏失孔道，从而达到防漏的目的，通常采用以下三种方法来提高地层承压能力。</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color w:val="000000" w:themeColor="text1"/>
                <w14:textFill>
                  <w14:solidFill>
                    <w14:schemeClr w14:val="tx1"/>
                  </w14:solidFill>
                </w14:textFill>
              </w:rPr>
              <w:t>调整钻井泥浆性能：对于轻微渗透性漏失，进入漏层前，适当提高钻井泥浆</w:t>
            </w:r>
            <w:r>
              <w:rPr>
                <w:rFonts w:hint="eastAsia"/>
                <w:color w:val="000000" w:themeColor="text1"/>
                <w14:textFill>
                  <w14:solidFill>
                    <w14:schemeClr w14:val="tx1"/>
                  </w14:solidFill>
                </w14:textFill>
              </w:rPr>
              <w:t>黏度</w:t>
            </w:r>
            <w:r>
              <w:rPr>
                <w:color w:val="000000" w:themeColor="text1"/>
                <w14:textFill>
                  <w14:solidFill>
                    <w14:schemeClr w14:val="tx1"/>
                  </w14:solidFill>
                </w14:textFill>
              </w:rPr>
              <w:t>、增加泥浆切力以防漏。</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w:t>
            </w:r>
            <w:r>
              <w:rPr>
                <w:color w:val="000000" w:themeColor="text1"/>
                <w14:textFill>
                  <w14:solidFill>
                    <w14:schemeClr w14:val="tx1"/>
                  </w14:solidFill>
                </w14:textFill>
              </w:rPr>
              <w:t>在钻井泥浆中加入堵漏材料随钻堵漏：对于孔隙型或孔隙—裂缝性漏失，进入漏层前，在钻井泥浆中加入堵漏材料（主要由植物硬质果壳，云母和</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植物纤维组成等），在压差作用下，堵漏剂进入漏失通道，提高地层的承压能力，达到防漏的目的。</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w:t>
            </w:r>
            <w:r>
              <w:rPr>
                <w:color w:val="000000" w:themeColor="text1"/>
                <w14:textFill>
                  <w14:solidFill>
                    <w14:schemeClr w14:val="tx1"/>
                  </w14:solidFill>
                </w14:textFill>
              </w:rPr>
              <w:t>先期堵漏：当下部地层孔隙压力超过上部地层破裂压力时，进入高压层前，须按下部高压层的孔隙压力确定钻井泥浆密度，这样容易导致上部地层漏失，为了防止上部地层漏失而引起的井涌、井喷等复杂情况发生，在</w:t>
            </w:r>
            <w:r>
              <w:rPr>
                <w:rFonts w:hint="eastAsia"/>
                <w:color w:val="000000" w:themeColor="text1"/>
                <w14:textFill>
                  <w14:solidFill>
                    <w14:schemeClr w14:val="tx1"/>
                  </w14:solidFill>
                </w14:textFill>
              </w:rPr>
              <w:t>进入</w:t>
            </w:r>
            <w:r>
              <w:rPr>
                <w:color w:val="000000" w:themeColor="text1"/>
                <w14:textFill>
                  <w14:solidFill>
                    <w14:schemeClr w14:val="tx1"/>
                  </w14:solidFill>
                </w14:textFill>
              </w:rPr>
              <w:t>高压层之前，应进行先期堵漏，提高上部地层承压能力。</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拟建工程</w:t>
            </w:r>
            <w:r>
              <w:rPr>
                <w:color w:val="000000" w:themeColor="text1"/>
                <w14:textFill>
                  <w14:solidFill>
                    <w14:schemeClr w14:val="tx1"/>
                  </w14:solidFill>
                </w14:textFill>
              </w:rPr>
              <w:t>在施工建设前应充分研究地质设计资料和钻井资料，并在此基础上优化钻井施工工艺、泥浆体系等。钻井过程对泥浆进行实时监控，并配备足够的堵漏材料，一旦发现井漏，立即采取堵漏措施。同时启动地下水应急监测方案，若发现地下水受到污染，立即告知村民，停止饮用地下水源，并采取临时供水措施（配送桶装水等），以保障居民的饮水安全，并给受影响的农户另觅水源，保证居民的正常生活。</w:t>
            </w:r>
          </w:p>
          <w:p>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w:instrText>
            </w:r>
            <w:r>
              <w:rPr>
                <w:rFonts w:hint="eastAsia"/>
                <w:b/>
                <w:color w:val="000000" w:themeColor="text1"/>
                <w14:textFill>
                  <w14:solidFill>
                    <w14:schemeClr w14:val="tx1"/>
                  </w14:solidFill>
                </w14:textFill>
              </w:rPr>
              <w:instrText xml:space="preserve">= 3 \* GB3</w:instrText>
            </w:r>
            <w:r>
              <w:rPr>
                <w:b/>
                <w:color w:val="000000" w:themeColor="text1"/>
                <w14:textFill>
                  <w14:solidFill>
                    <w14:schemeClr w14:val="tx1"/>
                  </w14:solidFill>
                </w14:textFill>
              </w:rPr>
              <w:instrText xml:space="preserve"> </w:instrText>
            </w:r>
            <w:r>
              <w:rPr>
                <w:b/>
                <w:color w:val="000000" w:themeColor="text1"/>
                <w14:textFill>
                  <w14:solidFill>
                    <w14:schemeClr w14:val="tx1"/>
                  </w14:solidFill>
                </w14:textFill>
              </w:rPr>
              <w:fldChar w:fldCharType="separate"/>
            </w:r>
            <w:r>
              <w:rPr>
                <w:rFonts w:hint="eastAsia"/>
                <w:b/>
                <w:color w:val="000000" w:themeColor="text1"/>
                <w14:textFill>
                  <w14:solidFill>
                    <w14:schemeClr w14:val="tx1"/>
                  </w14:solidFill>
                </w14:textFill>
              </w:rPr>
              <w:t>③</w:t>
            </w:r>
            <w:r>
              <w:rPr>
                <w:b/>
                <w:color w:val="000000" w:themeColor="text1"/>
                <w14:textFill>
                  <w14:solidFill>
                    <w14:schemeClr w14:val="tx1"/>
                  </w14:solidFill>
                </w14:textFill>
              </w:rPr>
              <w:fldChar w:fldCharType="end"/>
            </w:r>
            <w:r>
              <w:rPr>
                <w:rFonts w:hint="eastAsia"/>
                <w:b/>
                <w:color w:val="000000" w:themeColor="text1"/>
                <w14:textFill>
                  <w14:solidFill>
                    <w14:schemeClr w14:val="tx1"/>
                  </w14:solidFill>
                </w14:textFill>
              </w:rPr>
              <w:t>油罐泄漏风险防范措施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本项目使用柴油采用密闭套装柴油罐暂存，并在油罐区周边设置围堰，用于避免发生油罐破裂时柴油的泄漏，围堰容积应大于一个油罐的容积（40m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），可有效避免柴油罐破裂时柴油进入周边环境。</w:t>
            </w:r>
          </w:p>
          <w:p>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w:instrText>
            </w:r>
            <w:r>
              <w:rPr>
                <w:rFonts w:hint="eastAsia"/>
                <w:b/>
                <w:color w:val="000000" w:themeColor="text1"/>
                <w14:textFill>
                  <w14:solidFill>
                    <w14:schemeClr w14:val="tx1"/>
                  </w14:solidFill>
                </w14:textFill>
              </w:rPr>
              <w:instrText xml:space="preserve">= 4 \* GB3</w:instrText>
            </w:r>
            <w:r>
              <w:rPr>
                <w:b/>
                <w:color w:val="000000" w:themeColor="text1"/>
                <w14:textFill>
                  <w14:solidFill>
                    <w14:schemeClr w14:val="tx1"/>
                  </w14:solidFill>
                </w14:textFill>
              </w:rPr>
              <w:instrText xml:space="preserve"> </w:instrText>
            </w:r>
            <w:r>
              <w:rPr>
                <w:b/>
                <w:color w:val="000000" w:themeColor="text1"/>
                <w14:textFill>
                  <w14:solidFill>
                    <w14:schemeClr w14:val="tx1"/>
                  </w14:solidFill>
                </w14:textFill>
              </w:rPr>
              <w:fldChar w:fldCharType="separate"/>
            </w:r>
            <w:r>
              <w:rPr>
                <w:rFonts w:hint="eastAsia"/>
                <w:b/>
                <w:color w:val="000000" w:themeColor="text1"/>
                <w14:textFill>
                  <w14:solidFill>
                    <w14:schemeClr w14:val="tx1"/>
                  </w14:solidFill>
                </w14:textFill>
              </w:rPr>
              <w:t>④</w:t>
            </w:r>
            <w:r>
              <w:rPr>
                <w:b/>
                <w:color w:val="000000" w:themeColor="text1"/>
                <w14:textFill>
                  <w14:solidFill>
                    <w14:schemeClr w14:val="tx1"/>
                  </w14:solidFill>
                </w14:textFill>
              </w:rPr>
              <w:fldChar w:fldCharType="end"/>
            </w:r>
            <w:r>
              <w:rPr>
                <w:rFonts w:hint="eastAsia"/>
                <w:b/>
                <w:color w:val="000000" w:themeColor="text1"/>
                <w14:textFill>
                  <w14:solidFill>
                    <w14:schemeClr w14:val="tx1"/>
                  </w14:solidFill>
                </w14:textFill>
              </w:rPr>
              <w:t>稀盐酸泄漏环境风险防范措施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酸化洗井液做到“实用实运”，在酸化前一天内将所购的前置酸成品拉运至现场，在现场用玻璃钢罐仅作短期临时储存；在玻璃钢罐底座设置0.2m高的C20混凝土围堰排污沟，排污沟设置集污池，以确保玻璃钢罐发生泄漏时泄漏的洗井液能及时收集贮存，不外排当地环境；在前置酸拉运和操作过程中，做好工作人员的使用操作培训教育工作，保证工作人员操作规范；在罐区周边设置围栏和警示标识，加强日常管理和安全检查，从环境管理上降低泄漏事故的发生。</w:t>
            </w:r>
          </w:p>
          <w:p>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w:instrText>
            </w:r>
            <w:r>
              <w:rPr>
                <w:rFonts w:hint="eastAsia"/>
                <w:b/>
                <w:color w:val="000000" w:themeColor="text1"/>
                <w14:textFill>
                  <w14:solidFill>
                    <w14:schemeClr w14:val="tx1"/>
                  </w14:solidFill>
                </w14:textFill>
              </w:rPr>
              <w:instrText xml:space="preserve">= 5 \* GB3</w:instrText>
            </w:r>
            <w:r>
              <w:rPr>
                <w:b/>
                <w:color w:val="000000" w:themeColor="text1"/>
                <w14:textFill>
                  <w14:solidFill>
                    <w14:schemeClr w14:val="tx1"/>
                  </w14:solidFill>
                </w14:textFill>
              </w:rPr>
              <w:instrText xml:space="preserve"> </w:instrText>
            </w:r>
            <w:r>
              <w:rPr>
                <w:b/>
                <w:color w:val="000000" w:themeColor="text1"/>
                <w14:textFill>
                  <w14:solidFill>
                    <w14:schemeClr w14:val="tx1"/>
                  </w14:solidFill>
                </w14:textFill>
              </w:rPr>
              <w:fldChar w:fldCharType="separate"/>
            </w:r>
            <w:r>
              <w:rPr>
                <w:rFonts w:hint="eastAsia"/>
                <w:b/>
                <w:color w:val="000000" w:themeColor="text1"/>
                <w14:textFill>
                  <w14:solidFill>
                    <w14:schemeClr w14:val="tx1"/>
                  </w14:solidFill>
                </w14:textFill>
              </w:rPr>
              <w:t>⑤</w:t>
            </w:r>
            <w:r>
              <w:rPr>
                <w:b/>
                <w:color w:val="000000" w:themeColor="text1"/>
                <w14:textFill>
                  <w14:solidFill>
                    <w14:schemeClr w14:val="tx1"/>
                  </w14:solidFill>
                </w14:textFill>
              </w:rPr>
              <w:fldChar w:fldCharType="end"/>
            </w:r>
            <w:r>
              <w:rPr>
                <w:rFonts w:hint="eastAsia"/>
                <w:b/>
                <w:color w:val="000000" w:themeColor="text1"/>
                <w14:textFill>
                  <w14:solidFill>
                    <w14:schemeClr w14:val="tx1"/>
                  </w14:solidFill>
                </w14:textFill>
              </w:rPr>
              <w:t>应急池事故环境风险防范措施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场采用清污分流系统，防止场外雨水流入应急池，并定期进行雨水沟维护，从而有效控制因暴雨而导致应急池的外溢；对应急池内废水及时清运，防止应急池污水渗漏或外溢污染地表水及浅层地下水；加强管理，保证池内液位控制在20%安全容积以内，同时加强施工过程中的环境管理，在应急池水位达安全容积前及时外运处理，防止溢流产生污染事故。</w:t>
            </w:r>
          </w:p>
          <w:p>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w:instrText>
            </w:r>
            <w:r>
              <w:rPr>
                <w:rFonts w:hint="eastAsia"/>
                <w:b/>
                <w:color w:val="000000" w:themeColor="text1"/>
                <w14:textFill>
                  <w14:solidFill>
                    <w14:schemeClr w14:val="tx1"/>
                  </w14:solidFill>
                </w14:textFill>
              </w:rPr>
              <w:instrText xml:space="preserve">= 6 \* GB3</w:instrText>
            </w:r>
            <w:r>
              <w:rPr>
                <w:b/>
                <w:color w:val="000000" w:themeColor="text1"/>
                <w14:textFill>
                  <w14:solidFill>
                    <w14:schemeClr w14:val="tx1"/>
                  </w14:solidFill>
                </w14:textFill>
              </w:rPr>
              <w:instrText xml:space="preserve"> </w:instrText>
            </w:r>
            <w:r>
              <w:rPr>
                <w:b/>
                <w:color w:val="000000" w:themeColor="text1"/>
                <w14:textFill>
                  <w14:solidFill>
                    <w14:schemeClr w14:val="tx1"/>
                  </w14:solidFill>
                </w14:textFill>
              </w:rPr>
              <w:fldChar w:fldCharType="separate"/>
            </w:r>
            <w:r>
              <w:rPr>
                <w:rFonts w:hint="eastAsia"/>
                <w:b/>
                <w:color w:val="000000" w:themeColor="text1"/>
                <w14:textFill>
                  <w14:solidFill>
                    <w14:schemeClr w14:val="tx1"/>
                  </w14:solidFill>
                </w14:textFill>
              </w:rPr>
              <w:t>⑥</w:t>
            </w:r>
            <w:r>
              <w:rPr>
                <w:b/>
                <w:color w:val="000000" w:themeColor="text1"/>
                <w14:textFill>
                  <w14:solidFill>
                    <w14:schemeClr w14:val="tx1"/>
                  </w14:solidFill>
                </w14:textFill>
              </w:rPr>
              <w:fldChar w:fldCharType="end"/>
            </w:r>
            <w:r>
              <w:rPr>
                <w:rFonts w:hint="eastAsia"/>
                <w:b/>
                <w:color w:val="000000" w:themeColor="text1"/>
                <w14:textFill>
                  <w14:solidFill>
                    <w14:schemeClr w14:val="tx1"/>
                  </w14:solidFill>
                </w14:textFill>
              </w:rPr>
              <w:t>废水转运过程的环境风险防范措施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为降低废水转运对地表水的污染风险，确保拟建工程废水得到妥善处理，本着切实保护环境的原则，拟建工程废水转运过程中，采取如下措施：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建立建设单位与当地政府、环保局等相关部门的联络机制，若确认发生废水外溢事故，应及时上报当地政府、环保局等相关部门。</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对承包废水转运的承包商实施车辆登记制度，为每台车安装GPS，并纳入建设方的GPS监控系统平台。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转运过程做好转运台账，严格实施交接清单制度，建立废水转运五联单制度；加强罐车装载量管理，严禁超载。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 转运罐车行驶至河流（含河沟、塘堰等）较近位置或者穿越河流（含河沟等）的道路时，应放慢行驶速度。</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F. 废水转运尽量避开暴雨时节。</w:t>
            </w:r>
          </w:p>
          <w:p>
            <w:pPr>
              <w:spacing w:line="440" w:lineRule="exact"/>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2）环境风险应急要求及</w:t>
            </w:r>
            <w:r>
              <w:rPr>
                <w:b/>
                <w:color w:val="000000" w:themeColor="text1"/>
                <w14:textFill>
                  <w14:solidFill>
                    <w14:schemeClr w14:val="tx1"/>
                  </w14:solidFill>
                </w14:textFill>
              </w:rPr>
              <w:t>应急措施</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①</w:t>
            </w:r>
            <w:r>
              <w:rPr>
                <w:b/>
                <w:bCs/>
                <w:color w:val="000000" w:themeColor="text1"/>
                <w14:textFill>
                  <w14:solidFill>
                    <w14:schemeClr w14:val="tx1"/>
                  </w14:solidFill>
                </w14:textFill>
              </w:rPr>
              <w:t>环境风险应急基本要求</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应把防止井喷失控、天然气外溢中毒等作为事故应急的重点，避免造成人员中毒危害和财产损失，施工单位应本着</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人员的安全优先、防止事故扩展优先、保护环境优先</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的原则，按照相关规范要求制定和当地政府有关部门相衔的应急预案。</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②</w:t>
            </w:r>
            <w:r>
              <w:rPr>
                <w:b/>
                <w:bCs/>
                <w:color w:val="000000" w:themeColor="text1"/>
                <w14:textFill>
                  <w14:solidFill>
                    <w14:schemeClr w14:val="tx1"/>
                  </w14:solidFill>
                </w14:textFill>
              </w:rPr>
              <w:t>废水外溢过程应急措施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罐车运输废水过程中，如发生车祸等，废水将泄漏进入农田。发生该类风险时堵住农田缺口，防止进入冲沟影响河流水体，同时在冲沟筑坝截流，防止进入下游河沟影响水质，监测水质数据，对河沟沿线用水进行管理。发生事故后应及时通报当地环保部门，并积极配合环保部门抢险。应急抢险应以尽量减少泄漏量，控制废水扩散范围为基本原则。</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③</w:t>
            </w:r>
            <w:r>
              <w:rPr>
                <w:b/>
                <w:bCs/>
                <w:color w:val="000000" w:themeColor="text1"/>
                <w14:textFill>
                  <w14:solidFill>
                    <w14:schemeClr w14:val="tx1"/>
                  </w14:solidFill>
                </w14:textFill>
              </w:rPr>
              <w:t>地下水污染应急措施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应当加强钻井过程中的监控措施，启动针对地下水一旦受污染的环境风险应急预案。当取水点水质出现异常时，应立即采取临时供水措施（配送桶装水等）以保障居民的饮用水需要，并为受影响的农户另觅水源打井，保证居民的正常生活。</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④</w:t>
            </w:r>
            <w:r>
              <w:rPr>
                <w:b/>
                <w:bCs/>
                <w:color w:val="000000" w:themeColor="text1"/>
                <w14:textFill>
                  <w14:solidFill>
                    <w14:schemeClr w14:val="tx1"/>
                  </w14:solidFill>
                </w14:textFill>
              </w:rPr>
              <w:t>油类泄漏的应急措施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一旦发生泄漏事故，设置的围堰容量应该满足最大泄流量，再进入导油沟后进入集油坑进行收集处置。若进入农田，应引导油类进入固定旱地，减少影响范围，尽量避免和减少进入水田。对收集的油类进行处置，对受污染的土壤收集后安全处置。</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⑤</w:t>
            </w:r>
            <w:r>
              <w:rPr>
                <w:b/>
                <w:bCs/>
                <w:color w:val="000000" w:themeColor="text1"/>
                <w14:textFill>
                  <w14:solidFill>
                    <w14:schemeClr w14:val="tx1"/>
                  </w14:solidFill>
                </w14:textFill>
              </w:rPr>
              <w:t>环境应急监测方案和环境应急监测能力</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发生事故后，应由专业环境监测队伍负责对事故现场进行环境监测，对事故性质、参数与后果进行评估，监测方案可参照《突发环境事件应急监测技术规范》（HJ589-2010）制定，及时上报监测环境质量变化情况。</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拟建项目所在地重庆市铜梁区生态环境监测站</w:t>
            </w:r>
            <w:r>
              <w:rPr>
                <w:color w:val="000000" w:themeColor="text1"/>
                <w14:textFill>
                  <w14:solidFill>
                    <w14:schemeClr w14:val="tx1"/>
                  </w14:solidFill>
                </w14:textFill>
              </w:rPr>
              <w:t>设备较为完善，监测人员业务能力强，基本能够完成应急监测任务，不能完成的项目可申请周边其他环境监测站或第三方监测机构协助。</w:t>
            </w:r>
          </w:p>
          <w:p>
            <w:pPr>
              <w:spacing w:line="440" w:lineRule="exact"/>
              <w:ind w:firstLine="48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⑥</w:t>
            </w:r>
            <w:r>
              <w:rPr>
                <w:b/>
                <w:bCs/>
                <w:color w:val="000000" w:themeColor="text1"/>
                <w14:textFill>
                  <w14:solidFill>
                    <w14:schemeClr w14:val="tx1"/>
                  </w14:solidFill>
                </w14:textFill>
              </w:rPr>
              <w:t>环境风险应急关键措施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井喷失控造成天然气急速释放，发生井喷的过程主要是由泥浆溢流→井涌→井喷。天然气从井口喷出，这段时间大约在20~60</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。泥浆溢流后，应立即组织首先撤离井口周边500m内的居民，并告知井口周围</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km范围内的敏感点，尤其是学校、集镇等。井喷失控后，在15</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内完成井口点火燃烧泄漏天然气，将天然气燃烧转化为CO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和少量SO</w:t>
            </w:r>
            <w:r>
              <w:rPr>
                <w:rFonts w:hint="eastAsia"/>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钻井过程中，井下监控措施监控发现井内泥浆溢流量达1m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时报警，达到2m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时马上采取关井措施。当所有关断措施全部失效，井口失控后，即发生井喷事故。若采取关井措施能防止井喷，将疏散的居民撤回；若井口失控后发生井喷，则井喷结束后，将疏散的居民撤回。</w:t>
            </w:r>
          </w:p>
          <w:p>
            <w:pPr>
              <w:spacing w:line="440" w:lineRule="exact"/>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3）</w:t>
            </w:r>
            <w:r>
              <w:rPr>
                <w:b/>
                <w:color w:val="000000" w:themeColor="text1"/>
                <w14:textFill>
                  <w14:solidFill>
                    <w14:schemeClr w14:val="tx1"/>
                  </w14:solidFill>
                </w14:textFill>
              </w:rPr>
              <w:t>风险管理措施</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建设单位成立专门的为应对油气勘探、开发等生产经营过程中可能发生的重大突发事故，最大限度地保障人民群众</w:t>
            </w:r>
            <w:r>
              <w:rPr>
                <w:rFonts w:hint="eastAsia"/>
                <w:color w:val="000000" w:themeColor="text1"/>
                <w14:textFill>
                  <w14:solidFill>
                    <w14:schemeClr w14:val="tx1"/>
                  </w14:solidFill>
                </w14:textFill>
              </w:rPr>
              <w:t>生命财产</w:t>
            </w:r>
            <w:r>
              <w:rPr>
                <w:color w:val="000000" w:themeColor="text1"/>
                <w14:textFill>
                  <w14:solidFill>
                    <w14:schemeClr w14:val="tx1"/>
                  </w14:solidFill>
                </w14:textFill>
              </w:rPr>
              <w:t>安全，减轻事故灾害，该公司建立了详细周密的应急救援体系，设立了各级应急救援网络。</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公司应急领导小组负责公司范围内所有重、特大事故的应急管理。定期组织、检查、审核公司五个专业事故应急小组职责履行情况。</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发生重大事故，各专业应急小组进行应急指挥、调度、抢险、施救、现场调查、恢复生产等工作，</w:t>
            </w:r>
            <w:r>
              <w:rPr>
                <w:rFonts w:hint="eastAsia"/>
                <w:color w:val="000000" w:themeColor="text1"/>
                <w14:textFill>
                  <w14:solidFill>
                    <w14:schemeClr w14:val="tx1"/>
                  </w14:solidFill>
                </w14:textFill>
              </w:rPr>
              <w:t>公司勘探事业部</w:t>
            </w:r>
            <w:r>
              <w:rPr>
                <w:color w:val="000000" w:themeColor="text1"/>
                <w14:textFill>
                  <w14:solidFill>
                    <w14:schemeClr w14:val="tx1"/>
                  </w14:solidFill>
                </w14:textFill>
              </w:rPr>
              <w:t>应急领导小组协调有关工作。</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对特大事故，公司应急领导小组直接负责事故现场指挥、调度、抢险、施救恢复生产，并会同地方政府开展事故调查等工作。</w:t>
            </w:r>
          </w:p>
          <w:p>
            <w:pPr>
              <w:spacing w:line="44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为确保工程各项环境风险防范措施合理有效地实施，可在钻井过程中引入工程监理制度，由监理单位负责环境风险防范措施的监理工作，确保</w:t>
            </w:r>
            <w:r>
              <w:rPr>
                <w:rFonts w:hint="eastAsia"/>
                <w:color w:val="000000" w:themeColor="text1"/>
                <w14:textFill>
                  <w14:solidFill>
                    <w14:schemeClr w14:val="tx1"/>
                  </w14:solidFill>
                </w14:textFill>
              </w:rPr>
              <w:t>各项</w:t>
            </w:r>
            <w:r>
              <w:rPr>
                <w:color w:val="000000" w:themeColor="text1"/>
                <w14:textFill>
                  <w14:solidFill>
                    <w14:schemeClr w14:val="tx1"/>
                  </w14:solidFill>
                </w14:textFill>
              </w:rPr>
              <w:t>措施得到合理</w:t>
            </w:r>
            <w:r>
              <w:rPr>
                <w:rFonts w:hint="eastAsia"/>
                <w:color w:val="000000" w:themeColor="text1"/>
                <w14:textFill>
                  <w14:solidFill>
                    <w14:schemeClr w14:val="tx1"/>
                  </w14:solidFill>
                </w14:textFill>
              </w:rPr>
              <w:t>有效地落实</w:t>
            </w:r>
            <w:r>
              <w:rPr>
                <w:color w:val="000000" w:themeColor="text1"/>
                <w14:textFill>
                  <w14:solidFill>
                    <w14:schemeClr w14:val="tx1"/>
                  </w14:solidFill>
                </w14:textFill>
              </w:rPr>
              <w:t>。</w:t>
            </w:r>
          </w:p>
          <w:p>
            <w:pPr>
              <w:spacing w:line="440" w:lineRule="exact"/>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    4）</w:t>
            </w:r>
            <w:r>
              <w:rPr>
                <w:b/>
                <w:color w:val="000000" w:themeColor="text1"/>
                <w14:textFill>
                  <w14:solidFill>
                    <w14:schemeClr w14:val="tx1"/>
                  </w14:solidFill>
                </w14:textFill>
              </w:rPr>
              <w:t>应急预案</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大庆油田有限责任公司应制定井喷事故应急预案专项应急预案。应急预案的编制、演练等内容建议如下：</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①应急处置方案</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作业前，与钻井相关各级单位应制定硫化氢泄露、火灾、爆炸等应急处置方案。应急处置方案中应包括钻井各相关方的组织结构和负责人，并明确应急现场总负责人及各方人员在应急中的职责。制定应急处置方案时需要注意下列问题：</w:t>
            </w:r>
          </w:p>
          <w:p>
            <w:pPr>
              <w:numPr>
                <w:ilvl w:val="0"/>
                <w:numId w:val="2"/>
              </w:num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周边环境调查包括地形、交通、建筑、人员分布、附近的医院和消防部门所在地等情况</w:t>
            </w:r>
          </w:p>
          <w:p>
            <w:pPr>
              <w:numPr>
                <w:ilvl w:val="0"/>
                <w:numId w:val="2"/>
              </w:num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建立不同半径危险区域范围内的撤离单位和人员的通知清单及通信联络方式设立路障、联络、井控等人员岗位，明确各岗位的职责、授权及相关联系人的通信电话</w:t>
            </w:r>
          </w:p>
          <w:p>
            <w:pPr>
              <w:numPr>
                <w:ilvl w:val="0"/>
                <w:numId w:val="2"/>
              </w:num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对井场周围一定范围内的居民进行防硫化氢知识宣传，使他们了解硫化氢防护基本知识，及简单的逃生、自救互救方法</w:t>
            </w:r>
          </w:p>
          <w:p>
            <w:pPr>
              <w:numPr>
                <w:ilvl w:val="0"/>
                <w:numId w:val="2"/>
              </w:num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编制的应急处置方案应征求当地政府部门意见，并得到认可和支持，以确保该方案的科学性和适用性</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②应急信号</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在钻井作业场所明确应急报警信号并告知现场所有人员。</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③应急行动</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应急行动应具体落实到各岗位、明确应急工作职责，按照应急处置程序在最短时间内实现应急处置。</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④应急演练</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在钻开硫化氢油气层前，钻井队作业班组应组织一次防硫化氢应急演练，钻井队统一组织至少一次所有人员及相关方参加的防硫化氢联合应急演练；</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在钻开硫化氢油气层前，钻井队作业班组应进行井控演练，演练不合格不得钻开油气层，钻开含硫化氢油气层后，钻井队作业班每月应开展不少于一次不同工况的井控演练；</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每次演练应进行总结讲评，各方提出演习中存在的问题以及改进措施，并完善应急处置方案，应急演习的记录文件应保存至少一年。</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⑤应急撤离</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撤离条件包括：a井喷失控；b空气中硫化氢浓度达到150mg/m³（100ppm）的危险临界浓度。</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撤离命令发布：生产经营单位代表或其授权的现场总负责人决策撤离，采用有线应急广播或声光报警等通知方式。</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撤离组织包括：</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指派专人引导向当地政府报告，协助当地政府做好居民的疏散、撤离工作—有专人引导现场人员撤离向上风向、高处撤离时佩戴硫化氢防护器具或使用湿毛巾、衣物捂住口鼻呼吸等措施撤离时携带便携式硫化氢检测仪，对空气中的硫化氢浓度进行检测</w:t>
            </w:r>
          </w:p>
          <w:p>
            <w:pPr>
              <w:spacing w:line="44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⑥点火处理</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含硫化氢油气井井喷或井喷失控事故发生后，应防止着火和爆炸，按SY/T6426的规定执行。</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发生井喷后应采取措施控制井喷，若井口压力有可能超过有可能朝贡允许关井压力，需点火放喷时，井场应先点火后放喷。</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井喷失控后，在人员生命受到巨大威胁、人员撤离无望、失控井无</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希望得到控制的情况下，作为最后手段应按抢险作业程序对油气井井口实施点火。</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点火程序的相关内容应在应急预案中明确；点火决策人宜由建设单位代表或其授权的现场负责人来担任，并列入应急预案中。</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含硫化氢天然气井发生井喷，符合下述条件之一时，应在15min内实施井口点后：</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气井发生井喷失控，且距井口500m范围内存在未撤离的公众。</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距井口500m范围内居民点的硫化氢3min平均监测浓度达到150mg/m³（100ppm），且存在无房户措施的公众。</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井场周围1000m范围内无有效的硫化氢检测手段。</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若井场周边1.5km范围内无常住居民，可适当延长点火时间。</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点火人员佩戴防护器具，在上风方向，尽量远离点火口使用移动点火器具带你或；其他人员集中到上风方向的安全区。</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井场应配置自动点火装置，并备用手动点火器具。点火人员应佩戴防护器具，离火口距离不少于30m处点火，禁止在下风方向进行点火操作。</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硫化氢燃烧会产生有毒性的二氧化硫，仍需注意人员的安全防护，点火后应对下风方向尤其是井场生活区、周围居民区、医院、学校等人员聚集场所的二氧化硫浓度进行监测。</w:t>
            </w:r>
          </w:p>
          <w:p>
            <w:pPr>
              <w:pStyle w:val="49"/>
              <w:spacing w:line="440" w:lineRule="exact"/>
              <w:ind w:firstLine="480"/>
              <w:rPr>
                <w:b/>
                <w:bCs/>
                <w:color w:val="000000" w:themeColor="text1"/>
                <w:szCs w:val="24"/>
                <w14:textFill>
                  <w14:solidFill>
                    <w14:schemeClr w14:val="tx1"/>
                  </w14:solidFill>
                </w14:textFill>
              </w:rPr>
            </w:pPr>
            <w:r>
              <w:rPr>
                <w:rFonts w:hint="eastAsia"/>
                <w:color w:val="000000" w:themeColor="text1"/>
                <w14:textFill>
                  <w14:solidFill>
                    <w14:schemeClr w14:val="tx1"/>
                  </w14:solidFill>
                </w14:textFill>
              </w:rPr>
              <w:t>综上所述，拟建项目</w:t>
            </w:r>
            <w:r>
              <w:rPr>
                <w:color w:val="000000" w:themeColor="text1"/>
                <w14:textFill>
                  <w14:solidFill>
                    <w14:schemeClr w14:val="tx1"/>
                  </w14:solidFill>
                </w14:textFill>
              </w:rPr>
              <w:t>环境风险主要存在于钻井工程阶段，环境风险表现为井漏、井涌、甚至井喷环境风险事故。从工程分析本</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发生井喷失控事故时对人身安全、健康、环境的后果影响重大，鉴于本</w:t>
            </w:r>
            <w:r>
              <w:rPr>
                <w:rFonts w:hint="eastAsia"/>
                <w:color w:val="000000" w:themeColor="text1"/>
                <w14:textFill>
                  <w14:solidFill>
                    <w14:schemeClr w14:val="tx1"/>
                  </w14:solidFill>
                </w14:textFill>
              </w:rPr>
              <w:t>次项目</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陆地矿产资源地质勘查预探井</w:t>
            </w:r>
            <w:r>
              <w:rPr>
                <w:color w:val="000000" w:themeColor="text1"/>
                <w14:textFill>
                  <w14:solidFill>
                    <w14:schemeClr w14:val="tx1"/>
                  </w14:solidFill>
                </w14:textFill>
              </w:rPr>
              <w:t>，对井下地质环境情况的掌握有限，存在一定程度的不确定性和难预见性，故本</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必须严格落实《钻井井控技术规程》（SY/T6426-2005）、《含硫油气井安全钻井推荐作法》(SY/T5087-2017)、《石油天然气安全规程》（AQ2012-2007）、《石油天然气钻井健康、安全与环境管理体系指南》（SY/T6283-1997）和《石油天然气钻井健康、安全与环境管理导则》（Q-CNPC53-2001）等相关钻井和井控规范要求的前提下，积极采取风险防范措施、放喷点火保障措施以及周边居民人员临时撤离措施等，尽量避免环境风险事故的发生，同时完善环境风险应急措施，组织编制、学习、演练应急预案以便在事故发生后将影响降低到</w:t>
            </w:r>
            <w:r>
              <w:rPr>
                <w:rFonts w:hint="eastAsia"/>
                <w:color w:val="000000" w:themeColor="text1"/>
                <w14:textFill>
                  <w14:solidFill>
                    <w14:schemeClr w14:val="tx1"/>
                  </w14:solidFill>
                </w14:textFill>
              </w:rPr>
              <w:t>最低程度</w:t>
            </w:r>
            <w:r>
              <w:rPr>
                <w:color w:val="000000" w:themeColor="text1"/>
                <w14:textFill>
                  <w14:solidFill>
                    <w14:schemeClr w14:val="tx1"/>
                  </w14:solidFill>
                </w14:textFill>
              </w:rPr>
              <w:t>，确保</w:t>
            </w:r>
            <w:r>
              <w:rPr>
                <w:rFonts w:hint="eastAsia"/>
                <w:color w:val="000000" w:themeColor="text1"/>
                <w14:textFill>
                  <w14:solidFill>
                    <w14:schemeClr w14:val="tx1"/>
                  </w14:solidFill>
                </w14:textFill>
              </w:rPr>
              <w:t>本次</w:t>
            </w:r>
            <w:r>
              <w:rPr>
                <w:color w:val="000000" w:themeColor="text1"/>
                <w14:textFill>
                  <w14:solidFill>
                    <w14:schemeClr w14:val="tx1"/>
                  </w14:solidFill>
                </w14:textFill>
              </w:rPr>
              <w:t>钻井</w:t>
            </w:r>
            <w:r>
              <w:rPr>
                <w:rFonts w:hint="eastAsia"/>
                <w:color w:val="000000" w:themeColor="text1"/>
                <w14:textFill>
                  <w14:solidFill>
                    <w14:schemeClr w14:val="tx1"/>
                  </w14:solidFill>
                </w14:textFill>
              </w:rPr>
              <w:t>工程</w:t>
            </w:r>
            <w:r>
              <w:rPr>
                <w:color w:val="000000" w:themeColor="text1"/>
                <w14:textFill>
                  <w14:solidFill>
                    <w14:schemeClr w14:val="tx1"/>
                  </w14:solidFill>
                </w14:textFill>
              </w:rPr>
              <w:t>环境风险防范措施有效可行。</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（4）环境风险分析结论</w:t>
            </w:r>
          </w:p>
          <w:p>
            <w:pPr>
              <w:pStyle w:val="49"/>
              <w:spacing w:line="440" w:lineRule="exact"/>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评价确定井喷失控后含硫化氢天然气的扩散引起居民中毒为最大可信事故，该工程最大可信事故发生概率低。严格落实井喷失控15min内及时点火和及时撤离疏散紧急撤离区内（井口周边0~500m范围）居民至固井作业完成等关键措施，保护周围居民生命安全和健康。同时井喷失控后，还需在井口周边500m范围内布设环境应急监测点，并根据监测结果及时按照环境风险应急预案制定的临时撤离方案组织一般撤离区（井口周边0.5~5.0km范围）居民撤离至压井作业完成。井喷失控后，在15min内完成井口点火燃烧泄漏天然气，将硫化氢燃烧转化为SO</w:t>
            </w:r>
            <w:r>
              <w:rPr>
                <w:rFonts w:hint="eastAsia"/>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和H</w:t>
            </w:r>
            <w:r>
              <w:rPr>
                <w:rFonts w:hint="eastAsia"/>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O，可有效降低井喷环境风险事故对当地环境的影响。</w:t>
            </w:r>
          </w:p>
          <w:p>
            <w:pPr>
              <w:ind w:firstLine="480" w:firstLineChars="200"/>
              <w:rPr>
                <w:color w:val="000000" w:themeColor="text1"/>
                <w14:textFill>
                  <w14:solidFill>
                    <w14:schemeClr w14:val="tx1"/>
                  </w14:solidFill>
                </w14:textFill>
              </w:rPr>
            </w:pPr>
            <w:r>
              <w:rPr>
                <w:rFonts w:hint="eastAsia"/>
                <w:color w:val="000000" w:themeColor="text1"/>
                <w:kern w:val="0"/>
                <w:szCs w:val="24"/>
                <w14:textFill>
                  <w14:solidFill>
                    <w14:schemeClr w14:val="tx1"/>
                  </w14:solidFill>
                </w14:textFill>
              </w:rPr>
              <w:t>拟建工程风险事故发生概率低，按照钻井相关行业规范完善井控、防火、防爆安全以及硫化氢安全防护等措施，尤其是井喷失控后按《含硫化氢天然气井失控井口点火时间规定》（AQ2016-2008）15min内点火、紧急撤离区居民撤离、应急监测和适时组织一般撤离区居民撤离等关键措施。制定详尽有效的事故应急方案，充分提高队伍的事故防范能力，严格按照钻井设计和行业规范作业，强化健康、安全、环境管理（HSE），拟建工程环境风险会大大地降低。通过按行业规范要求和环评要求进行风险防范和制定应急措施，可将该工程环境风险几率和风险影响降至最低，合深9井钻井工程环境风险是可以接受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8" w:hRule="atLeast"/>
          <w:jc w:val="center"/>
        </w:trPr>
        <w:tc>
          <w:tcPr>
            <w:tcW w:w="750" w:type="dxa"/>
            <w:tcMar>
              <w:left w:w="28" w:type="dxa"/>
              <w:right w:w="28" w:type="dxa"/>
            </w:tcMar>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运营期生态环境影响分析</w:t>
            </w:r>
          </w:p>
        </w:tc>
        <w:tc>
          <w:tcPr>
            <w:tcW w:w="8492" w:type="dxa"/>
            <w:vAlign w:val="center"/>
          </w:tcPr>
          <w:p>
            <w:pPr>
              <w:adjustRightInd w:val="0"/>
              <w:snapToGrid w:val="0"/>
              <w:ind w:firstLine="480" w:firstLineChars="200"/>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本项目为常规天然气勘探井，只涉及施工期（钻前工程、钻井工程和完井工程），不涉及运营期。因此，本次评价不对营运期进行分析（若后续完井测试获良好气流，需另行办理采输环评手续）。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750" w:type="dxa"/>
            <w:vAlign w:val="center"/>
          </w:tcPr>
          <w:p>
            <w:pPr>
              <w:pStyle w:val="1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选址选线环境合理性分析</w:t>
            </w:r>
          </w:p>
        </w:tc>
        <w:tc>
          <w:tcPr>
            <w:tcW w:w="8492" w:type="dxa"/>
          </w:tcPr>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本项目为常规天然气钻井项目，无管线工程，本次评价重点对其选址合理性进行论证分析。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钻前工程及井场布置技术要求》（SY/T5466-2013）第3.2.2节规定：油、气井井口距高压线及其他永久性设施不小于75m，距民宅不小于100m，距铁路、高速公路不小于200m，距学校、医院和大型油库等人口密集性、高危性场所不小于500m。在地下矿产采掘区钻井，井筒与采掘坑道、矿井坑道之间的距离不小于100m。工程平台各井口与周围设施间距离等基本情况见表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   工程平台各井口与周围设施间距离的符合性</w:t>
            </w:r>
          </w:p>
          <w:tbl>
            <w:tblPr>
              <w:tblStyle w:val="19"/>
              <w:tblW w:w="8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620"/>
              <w:gridCol w:w="2456"/>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名称</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钻前工程井场技术要求</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工程是否涉及居民区、铁路等，以及距井口距离</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是否满足钻前技术要求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高压线及其他永久性设施</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≥75m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民宅</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工程拆迁后，井口100m范围内无民房</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铁路、高速公路</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学校</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500m范围内不涉及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医院</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500m范围内不涉及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油库等高危险场所</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500m范围内不涉及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集中居住地等人口密集区</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w:t>
                  </w:r>
                </w:p>
              </w:tc>
              <w:tc>
                <w:tcPr>
                  <w:tcW w:w="2456"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500m范围内不涉及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地下矿产采掘坑道、矿井坑道</w:t>
                  </w:r>
                </w:p>
              </w:tc>
              <w:tc>
                <w:tcPr>
                  <w:tcW w:w="1620"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≥100m</w:t>
                  </w:r>
                </w:p>
              </w:tc>
              <w:tc>
                <w:tcPr>
                  <w:tcW w:w="2456"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00m范围内不涉及</w:t>
                  </w:r>
                </w:p>
              </w:tc>
              <w:tc>
                <w:tcPr>
                  <w:tcW w:w="2069" w:type="dxa"/>
                  <w:vAlign w:val="center"/>
                </w:tcPr>
                <w:p>
                  <w:pPr>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满足要求</w:t>
                  </w:r>
                </w:p>
              </w:tc>
            </w:tr>
          </w:tbl>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经调查，建设单位已按照《钻前工程及井场布置技术要求》（SY/T5466-2013）中相关规定开展钻前工程；井口75m范围内无高压线及其他永久性设施；200m范围内无铁路、高速公路等；500m范围内无学校、医院和大型油库等人口密集性、高危性场所；井筒100m范围内无地下矿产采掘区采掘坑道和矿井坑道。该井位选址满足《钻前工程及井场布置技术要求》（SY/T5466-2013）中3.2.2节相关规定。</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根据井场地质构造情况，为有效开发该区块天然气资源，建设单位拟在该区块部署勘探井，拟建地区域内无泉眼、地下暗河等控制性水点分布，其选址是比较理想的选址。本项目建设用地为临时占地，对工程占地的具体补偿措施及补偿方案由国土局确定，在采取补偿等措施后，对失地农民的生活影响较小。</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3、项目所选址周边居民用于主要为市政供水，位于当地城镇规划区外，同时也不涉及风景名胜区、自然保护区和饮用水源保护区等环境敏感目标。</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项目产生的危险废物主要为油类，废油桶布设于井场内靠近各钻井设备附近。经调查，各危废临时收集设施附近无自然保护区、风景名胜区、集中式水源地等敏感点分布，在采取三防措施后对其影响较小。因此，项目各危险废物临时收集设施选址合理。</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综上所述，本项目井位选址符合相关规定。</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headerReference r:id="rId13" w:type="default"/>
          <w:pgSz w:w="11906" w:h="16838"/>
          <w:pgMar w:top="1440" w:right="1800" w:bottom="1440" w:left="1800" w:header="851" w:footer="992" w:gutter="0"/>
          <w:cols w:space="425" w:num="1"/>
          <w:docGrid w:type="lines" w:linePitch="312" w:charSpace="0"/>
        </w:sectPr>
      </w:pPr>
    </w:p>
    <w:tbl>
      <w:tblPr>
        <w:tblStyle w:val="1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spacing w:line="240" w:lineRule="auto"/>
              <w:jc w:val="center"/>
              <w:rPr>
                <w:rFonts w:ascii="宋体" w:hAnsi="宋体"/>
                <w:bCs/>
                <w:color w:val="000000" w:themeColor="text1"/>
                <w:szCs w:val="24"/>
                <w14:textFill>
                  <w14:solidFill>
                    <w14:schemeClr w14:val="tx1"/>
                  </w14:solidFill>
                </w14:textFill>
              </w:rPr>
            </w:pPr>
            <w:r>
              <w:rPr>
                <w:rFonts w:hint="eastAsia" w:cstheme="majorBidi"/>
                <w:bCs/>
                <w:color w:val="000000" w:themeColor="text1"/>
                <w:szCs w:val="24"/>
                <w14:textFill>
                  <w14:solidFill>
                    <w14:schemeClr w14:val="tx1"/>
                  </w14:solidFill>
                </w14:textFill>
              </w:rPr>
              <w:t>施工期生态环境保护措施</w:t>
            </w:r>
          </w:p>
        </w:tc>
        <w:tc>
          <w:tcPr>
            <w:tcW w:w="8457" w:type="dxa"/>
          </w:tcPr>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生态</w:t>
            </w:r>
            <w:r>
              <w:rPr>
                <w:color w:val="000000" w:themeColor="text1"/>
                <w14:textFill>
                  <w14:solidFill>
                    <w14:schemeClr w14:val="tx1"/>
                  </w14:solidFill>
                </w14:textFill>
              </w:rPr>
              <w:t>环境保护措施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在施工过程中需重视对周边生态环境的保护，严格落实各项环评提出的环境保护措施，以达到对生态环境扰动影响最小化，并在相应时期对造成的生物损失进行必要的恢复与补偿。具体措施如下：</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在满足施工条件下，严格控制临时施工作业带，尽量减少对植被的破坏；施工期应避开雨天与大风天气，减少水土流失量。</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hint="eastAsia"/>
                <w:bCs/>
                <w:color w:val="000000" w:themeColor="text1"/>
                <w14:textFill>
                  <w14:solidFill>
                    <w14:schemeClr w14:val="tx1"/>
                  </w14:solidFill>
                </w14:textFill>
              </w:rPr>
              <w:t>井场采用水泥硬化，有效地防止雨水冲刷、场地周场围修临时排水沟。</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制定严格的施工操作规范，建立施工期生态环境监理制度，严禁施工车辆随意开辟施工便道。</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对因项目建设过程中形成的裸露地表，应及时采取绿化措施，选择适宜当地生长的乔灌木及草本品种。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⑤对本工程施工临时占用的耕地，在施工期根据占用面积给予影响人口相应的补偿，施工结束后进行土地恢复、农业复垦，及时归还农户耕种。土地复垦工作应遵循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谁破坏，谁复垦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的原则，建设单位需严格按照《土地复垦条例》要求，编制项目土地复垦方案，进行土地复垦，使其恢复到可供利用状态，并优先用于农业。</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.2大气污染防治措施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.2.1钻前工程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钻前工程环境空气污染物主要来自施工扬尘、施工机械尾气和生活燃料烟气。施工扬尘为土石方开挖，材料运输、卸放、拌和等过程中产生的，主要污染物为TSP，采取了洒水 防尘措施影响较小；施工机械尾气为燃油发电机、车辆排放尾气，主要污染物为NOx和CO，由于累计施工工时不长，未对周边农业生产造成明显影响。钻前施工现场进行合理化管理，统一堆放材料，设置专门库房堆放水泥，尽量减少搬运环节，搬运时轻举轻放，防止包装袋破裂。施工现场设置围栏或部分围栏，缩小施工扬尘的扩散范围。保持运输车辆完好，不过满装载，尽量采取遮盖、密闭措施，减少沿程抛洒。通过以上有效的管理措施，可降 低扬尘50-70%。方法可行有效。</w:t>
            </w:r>
          </w:p>
          <w:p>
            <w:pPr>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headerReference r:id="rId14" w:type="default"/>
          <w:pgSz w:w="11906" w:h="16838"/>
          <w:pgMar w:top="1440" w:right="1800" w:bottom="1440" w:left="1800" w:header="851" w:footer="992" w:gutter="0"/>
          <w:cols w:space="425" w:num="1"/>
          <w:docGrid w:type="lines" w:linePitch="312" w:charSpace="0"/>
        </w:sectPr>
      </w:pPr>
    </w:p>
    <w:tbl>
      <w:tblPr>
        <w:tblStyle w:val="1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4" w:hRule="atLeast"/>
          <w:jc w:val="center"/>
        </w:trPr>
        <w:tc>
          <w:tcPr>
            <w:tcW w:w="753" w:type="dxa"/>
            <w:tcMar>
              <w:left w:w="28" w:type="dxa"/>
              <w:right w:w="28" w:type="dxa"/>
            </w:tcMar>
            <w:vAlign w:val="center"/>
          </w:tcPr>
          <w:p>
            <w:pPr>
              <w:adjustRightInd w:val="0"/>
              <w:snapToGrid w:val="0"/>
              <w:jc w:val="center"/>
              <w:rPr>
                <w:rFonts w:ascii="宋体" w:hAnsi="宋体"/>
                <w:bCs/>
                <w:color w:val="000000" w:themeColor="text1"/>
                <w14:textFill>
                  <w14:solidFill>
                    <w14:schemeClr w14:val="tx1"/>
                  </w14:solidFill>
                </w14:textFill>
              </w:rPr>
            </w:pPr>
            <w:r>
              <w:rPr>
                <w:rFonts w:hint="eastAsia" w:cstheme="majorBidi"/>
                <w:bCs/>
                <w:color w:val="000000" w:themeColor="text1"/>
                <w:sz w:val="21"/>
                <w:szCs w:val="32"/>
                <w14:textFill>
                  <w14:solidFill>
                    <w14:schemeClr w14:val="tx1"/>
                  </w14:solidFill>
                </w14:textFill>
              </w:rPr>
              <w:t>施工期生态环境保护措施</w:t>
            </w:r>
          </w:p>
        </w:tc>
        <w:tc>
          <w:tcPr>
            <w:tcW w:w="8457" w:type="dxa"/>
          </w:tcPr>
          <w:p>
            <w:pPr>
              <w:pStyle w:val="4"/>
              <w:rPr>
                <w:color w:val="000000" w:themeColor="text1"/>
                <w14:textFill>
                  <w14:solidFill>
                    <w14:schemeClr w14:val="tx1"/>
                  </w14:solidFill>
                </w14:textFill>
              </w:rPr>
            </w:pPr>
            <w:r>
              <w:rPr>
                <w:color w:val="000000" w:themeColor="text1"/>
                <w14:textFill>
                  <w14:solidFill>
                    <w14:schemeClr w14:val="tx1"/>
                  </w14:solidFill>
                </w14:textFill>
              </w:rPr>
              <w:t>5.2.2钻井工程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（1）燃油废气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备用柴油机发电机等设备使用优质柴油，产生的大气污染物浓度低，且柴油机发电机设备均为成套产品，经自带的排气筒排放。</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（2）测试放喷废气</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测试放喷废气主要采用地面燃烧处理，测试放喷管口高为</w:t>
            </w:r>
            <w:r>
              <w:rPr>
                <w:color w:val="000000" w:themeColor="text1"/>
                <w14:textFill>
                  <w14:solidFill>
                    <w14:schemeClr w14:val="tx1"/>
                  </w14:solidFill>
                </w14:textFill>
              </w:rPr>
              <w:t>1m</w:t>
            </w:r>
            <w:r>
              <w:rPr>
                <w:rFonts w:hint="eastAsia"/>
                <w:color w:val="000000" w:themeColor="text1"/>
                <w14:textFill>
                  <w14:solidFill>
                    <w14:schemeClr w14:val="tx1"/>
                  </w14:solidFill>
                </w14:textFill>
              </w:rPr>
              <w:t>，采用短火焰灼烧器，修建燃烧池降低热辐射影响。放喷管线采用螺纹与标准法兰连接的专用抗硫管材。水泥基墩坑长</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深为</w:t>
            </w:r>
            <w:r>
              <w:rPr>
                <w:color w:val="000000" w:themeColor="text1"/>
                <w14:textFill>
                  <w14:solidFill>
                    <w14:schemeClr w14:val="tx1"/>
                  </w14:solidFill>
                </w14:textFill>
              </w:rPr>
              <w:t>0.8m×0.8m×1.0m</w:t>
            </w:r>
            <w:r>
              <w:rPr>
                <w:rFonts w:hint="eastAsia"/>
                <w:color w:val="000000" w:themeColor="text1"/>
                <w14:textFill>
                  <w14:solidFill>
                    <w14:schemeClr w14:val="tx1"/>
                  </w14:solidFill>
                </w14:textFill>
              </w:rPr>
              <w:t>，遇地表松软时，基坑体积应大于</w:t>
            </w:r>
            <w:r>
              <w:rPr>
                <w:color w:val="000000" w:themeColor="text1"/>
                <w14:textFill>
                  <w14:solidFill>
                    <w14:schemeClr w14:val="tx1"/>
                  </w14:solidFill>
                </w14:textFill>
              </w:rPr>
              <w:t>1.2m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；地脚螺栓直径不小于</w:t>
            </w:r>
            <w:r>
              <w:rPr>
                <w:color w:val="000000" w:themeColor="text1"/>
                <w14:textFill>
                  <w14:solidFill>
                    <w14:schemeClr w14:val="tx1"/>
                  </w14:solidFill>
                </w14:textFill>
              </w:rPr>
              <w:t>20mm</w:t>
            </w:r>
            <w:r>
              <w:rPr>
                <w:rFonts w:hint="eastAsia"/>
                <w:color w:val="000000" w:themeColor="text1"/>
                <w14:textFill>
                  <w14:solidFill>
                    <w14:schemeClr w14:val="tx1"/>
                  </w14:solidFill>
                </w14:textFill>
              </w:rPr>
              <w:t>，预埋长度不小于</w:t>
            </w:r>
            <w:r>
              <w:rPr>
                <w:color w:val="000000" w:themeColor="text1"/>
                <w14:textFill>
                  <w14:solidFill>
                    <w14:schemeClr w14:val="tx1"/>
                  </w14:solidFill>
                </w14:textFill>
              </w:rPr>
              <w:t>0.5m</w:t>
            </w:r>
            <w:r>
              <w:rPr>
                <w:rFonts w:hint="eastAsia"/>
                <w:color w:val="000000" w:themeColor="text1"/>
                <w14:textFill>
                  <w14:solidFill>
                    <w14:schemeClr w14:val="tx1"/>
                  </w14:solidFill>
                </w14:textFill>
              </w:rPr>
              <w:t>。燃烧池内层采用耐火砖修建。该技术在钻井工程中广泛应用，技术成熟可靠，措施可行。</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地表水环境</w:t>
            </w:r>
            <w:r>
              <w:rPr>
                <w:color w:val="000000" w:themeColor="text1"/>
                <w14:textFill>
                  <w14:solidFill>
                    <w14:schemeClr w14:val="tx1"/>
                  </w14:solidFill>
                </w14:textFill>
              </w:rPr>
              <w:t>污染防治措施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.3.1钻前工程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钻前工程生活污水经旱厕收集后用作农肥。该处置方式在油气钻井工程中广泛应用，技术成熟可靠，措施可行。</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.3.2钻</w:t>
            </w:r>
            <w:r>
              <w:rPr>
                <w:rFonts w:hint="eastAsia"/>
                <w:color w:val="000000" w:themeColor="text1"/>
                <w14:textFill>
                  <w14:solidFill>
                    <w14:schemeClr w14:val="tx1"/>
                  </w14:solidFill>
                </w14:textFill>
              </w:rPr>
              <w:t>井</w:t>
            </w:r>
            <w:r>
              <w:rPr>
                <w:color w:val="000000" w:themeColor="text1"/>
                <w14:textFill>
                  <w14:solidFill>
                    <w14:schemeClr w14:val="tx1"/>
                  </w14:solidFill>
                </w14:textFill>
              </w:rPr>
              <w:t>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（1）废水环境管理措施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本项目作业废水主要包括钻井废水、洗井废水、酸化废水和方井雨水，其处置方案为：钻井废水、洗井废水、酸化废水、方井雨水汇至井场清洁化操作平台进行随钻处理，</w:t>
            </w:r>
            <w:r>
              <w:rPr>
                <w:rFonts w:hint="eastAsia"/>
                <w:bCs/>
                <w:color w:val="000000" w:themeColor="text1"/>
                <w14:textFill>
                  <w14:solidFill>
                    <w14:schemeClr w14:val="tx1"/>
                  </w14:solidFill>
                </w14:textFill>
              </w:rPr>
              <w:t>钻井过程产生的废水经井场内预处理后临时储存，最终拟</w:t>
            </w:r>
            <w:r>
              <w:rPr>
                <w:rFonts w:hint="eastAsia"/>
                <w:color w:val="000000" w:themeColor="text1"/>
                <w14:textFill>
                  <w14:solidFill>
                    <w14:schemeClr w14:val="tx1"/>
                  </w14:solidFill>
                </w14:textFill>
              </w:rPr>
              <w:t>外运至四川瑞利生物科技有限公司</w:t>
            </w:r>
            <w:r>
              <w:rPr>
                <w:rFonts w:hint="eastAsia"/>
                <w:color w:val="000000" w:themeColor="text1"/>
                <w:szCs w:val="24"/>
                <w14:textFill>
                  <w14:solidFill>
                    <w14:schemeClr w14:val="tx1"/>
                  </w14:solidFill>
                </w14:textFill>
              </w:rPr>
              <w:t>或其他有资质的第三方单位</w:t>
            </w:r>
            <w:r>
              <w:rPr>
                <w:color w:val="000000" w:themeColor="text1"/>
                <w14:textFill>
                  <w14:solidFill>
                    <w14:schemeClr w14:val="tx1"/>
                  </w14:solidFill>
                </w14:textFill>
              </w:rPr>
              <w:t>处置</w:t>
            </w:r>
            <w:r>
              <w:rPr>
                <w:bCs/>
                <w:color w:val="000000" w:themeColor="text1"/>
                <w14:textFill>
                  <w14:solidFill>
                    <w14:schemeClr w14:val="tx1"/>
                  </w14:solidFill>
                </w14:textFill>
              </w:rPr>
              <w:t>。钻井过程中废水</w:t>
            </w:r>
            <w:r>
              <w:rPr>
                <w:rFonts w:hint="eastAsia"/>
                <w:bCs/>
                <w:color w:val="000000" w:themeColor="text1"/>
                <w14:textFill>
                  <w14:solidFill>
                    <w14:schemeClr w14:val="tx1"/>
                  </w14:solidFill>
                </w14:textFill>
              </w:rPr>
              <w:t>均可集中收集储存，收集储存</w:t>
            </w:r>
            <w:r>
              <w:rPr>
                <w:bCs/>
                <w:color w:val="000000" w:themeColor="text1"/>
                <w14:textFill>
                  <w14:solidFill>
                    <w14:schemeClr w14:val="tx1"/>
                  </w14:solidFill>
                </w14:textFill>
              </w:rPr>
              <w:t>贮存措施合理</w:t>
            </w:r>
            <w:r>
              <w:rPr>
                <w:rFonts w:hint="eastAsia"/>
                <w:color w:val="000000" w:themeColor="text1"/>
                <w14:textFill>
                  <w14:solidFill>
                    <w14:schemeClr w14:val="tx1"/>
                  </w14:solidFill>
                </w14:textFill>
              </w:rPr>
              <w:t>。</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（2）废水处理、转运责任单位简介</w:t>
            </w:r>
          </w:p>
          <w:p>
            <w:pPr>
              <w:pStyle w:val="52"/>
              <w:numPr>
                <w:ilvl w:val="0"/>
                <w:numId w:val="3"/>
              </w:numPr>
              <w:spacing w:line="440" w:lineRule="exact"/>
              <w:rPr>
                <w:color w:val="000000" w:themeColor="text1"/>
                <w14:textFill>
                  <w14:solidFill>
                    <w14:schemeClr w14:val="tx1"/>
                  </w14:solidFill>
                </w14:textFill>
              </w:rPr>
            </w:pPr>
            <w:r>
              <w:rPr>
                <w:color w:val="000000" w:themeColor="text1"/>
                <w14:textFill>
                  <w14:solidFill>
                    <w14:schemeClr w14:val="tx1"/>
                  </w14:solidFill>
                </w14:textFill>
              </w:rPr>
              <w:t>废水转运</w:t>
            </w:r>
            <w:r>
              <w:rPr>
                <w:rFonts w:hint="eastAsia"/>
                <w:color w:val="000000" w:themeColor="text1"/>
                <w14:textFill>
                  <w14:solidFill>
                    <w14:schemeClr w14:val="tx1"/>
                  </w14:solidFill>
                </w14:textFill>
              </w:rPr>
              <w:t>、处置</w:t>
            </w:r>
            <w:r>
              <w:rPr>
                <w:color w:val="000000" w:themeColor="text1"/>
                <w14:textFill>
                  <w14:solidFill>
                    <w14:schemeClr w14:val="tx1"/>
                  </w14:solidFill>
                </w14:textFill>
              </w:rPr>
              <w:t>单位</w:t>
            </w:r>
          </w:p>
          <w:p>
            <w:pPr>
              <w:pStyle w:val="52"/>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根据建设单位提供资料，目前，建设单位拟委托四川瑞利生物科技有限公司</w:t>
            </w:r>
            <w:r>
              <w:rPr>
                <w:color w:val="000000" w:themeColor="text1"/>
                <w14:textFill>
                  <w14:solidFill>
                    <w14:schemeClr w14:val="tx1"/>
                  </w14:solidFill>
                </w14:textFill>
              </w:rPr>
              <w:t>处置钻井</w:t>
            </w:r>
            <w:r>
              <w:rPr>
                <w:rFonts w:hint="eastAsia"/>
                <w:color w:val="000000" w:themeColor="text1"/>
                <w14:textFill>
                  <w14:solidFill>
                    <w14:schemeClr w14:val="tx1"/>
                  </w14:solidFill>
                </w14:textFill>
              </w:rPr>
              <w:t>过程中产生的</w:t>
            </w:r>
            <w:r>
              <w:rPr>
                <w:color w:val="000000" w:themeColor="text1"/>
                <w14:textFill>
                  <w14:solidFill>
                    <w14:schemeClr w14:val="tx1"/>
                  </w14:solidFill>
                </w14:textFill>
              </w:rPr>
              <w:t>废水，明确</w:t>
            </w: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作业废水转运单位为</w:t>
            </w:r>
            <w:r>
              <w:rPr>
                <w:rFonts w:hint="eastAsia"/>
                <w:color w:val="000000" w:themeColor="text1"/>
                <w14:textFill>
                  <w14:solidFill>
                    <w14:schemeClr w14:val="tx1"/>
                  </w14:solidFill>
                </w14:textFill>
              </w:rPr>
              <w:t>中国石油集团川庆钻探工程有限公司重庆运输总公司</w:t>
            </w:r>
            <w:r>
              <w:rPr>
                <w:color w:val="000000" w:themeColor="text1"/>
                <w14:textFill>
                  <w14:solidFill>
                    <w14:schemeClr w14:val="tx1"/>
                  </w14:solidFill>
                </w14:textFill>
              </w:rPr>
              <w:t>。废水转运前应检查罐体设备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管路是否有跑冒滴漏现象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确认无此现象再转运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转运单位在运输过程中</w:t>
            </w:r>
            <w:r>
              <w:rPr>
                <w:rFonts w:hint="eastAsia"/>
                <w:color w:val="000000" w:themeColor="text1"/>
                <w14:textFill>
                  <w14:solidFill>
                    <w14:schemeClr w14:val="tx1"/>
                  </w14:solidFill>
                </w14:textFill>
              </w:rPr>
              <w:t>采取</w:t>
            </w:r>
            <w:r>
              <w:rPr>
                <w:color w:val="000000" w:themeColor="text1"/>
                <w14:textFill>
                  <w14:solidFill>
                    <w14:schemeClr w14:val="tx1"/>
                  </w14:solidFill>
                </w14:textFill>
              </w:rPr>
              <w:t>防渗措施并做好台账管理</w:t>
            </w:r>
            <w:r>
              <w:rPr>
                <w:rFonts w:hint="eastAsia"/>
                <w:color w:val="000000" w:themeColor="text1"/>
                <w14:textFill>
                  <w14:solidFill>
                    <w14:schemeClr w14:val="tx1"/>
                  </w14:solidFill>
                </w14:textFill>
              </w:rPr>
              <w:t>。</w:t>
            </w:r>
          </w:p>
          <w:p>
            <w:pPr>
              <w:pStyle w:val="52"/>
              <w:numPr>
                <w:ilvl w:val="0"/>
                <w:numId w:val="3"/>
              </w:numPr>
              <w:spacing w:line="440" w:lineRule="exact"/>
              <w:rPr>
                <w:color w:val="000000" w:themeColor="text1"/>
                <w:szCs w:val="20"/>
                <w14:textFill>
                  <w14:solidFill>
                    <w14:schemeClr w14:val="tx1"/>
                  </w14:solidFill>
                </w14:textFill>
              </w:rPr>
            </w:pPr>
            <w:r>
              <w:rPr>
                <w:color w:val="000000" w:themeColor="text1"/>
                <w:szCs w:val="20"/>
                <w14:textFill>
                  <w14:solidFill>
                    <w14:schemeClr w14:val="tx1"/>
                  </w14:solidFill>
                </w14:textFill>
              </w:rPr>
              <w:t>废水最终处理单位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四川瑞利生物科技有限公司具有营业执照（该公司经营范围为生物技术推广服务：专业技术服务业：环保工程）说明其可以对外经营，接收处理外来单位的废水，并且在开工前签订有废水接收处置协议。</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废水转运路线</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建议转运路线途经村道（12.3km）→成渝环线高速（3.1km）→潼荣高速（56.8km）→南渝泸高速（1.2km）→潼荣高速（38.0km）→广泸高速（53.1km）→临港大道（4.2km）→四川瑞利生物科技有限公司污水处理厂，本次建议废水转运路线总运距约168.7km，该转运路线中途跨越琼江河、复兴河、窟窿河及龙溪河等中小型河沟。为降低废水转运风险，提出以下管理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I、建立建设单位与当地政府、环境生态局等相关部门的联络机制，若有险情发生，应及时与作业区值班人员取得联系，若确认发生废水外溢事故，应及时上报当地政府、生态环境局等相关部门。</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II、对承包废水转运的承包商实施车辆登记制度，为每台车安装GPS，并纳入建设方的GPS监控系统平台。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Ⅲ、转运过程做好转运台账，严格实施交接清单制度。</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Ⅳ、加强罐车装载量管理，严禁超载。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Ⅴ、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Ⅵ、转运罐车行驶至江河较近位置或者穿越江河的道路时，应放慢行驶速度。</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Ⅶ、废水转运尽量避开暴雨时节。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Ⅷ、建立废水转运五联单制度。</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2195195</wp:posOffset>
                      </wp:positionH>
                      <wp:positionV relativeFrom="paragraph">
                        <wp:posOffset>3644900</wp:posOffset>
                      </wp:positionV>
                      <wp:extent cx="2025015" cy="286385"/>
                      <wp:effectExtent l="419100" t="0" r="13335" b="18415"/>
                      <wp:wrapNone/>
                      <wp:docPr id="20" name="矩形标注 20"/>
                      <wp:cNvGraphicFramePr/>
                      <a:graphic xmlns:a="http://schemas.openxmlformats.org/drawingml/2006/main">
                        <a:graphicData uri="http://schemas.microsoft.com/office/word/2010/wordprocessingShape">
                          <wps:wsp>
                            <wps:cNvSpPr>
                              <a:spLocks noChangeArrowheads="1"/>
                            </wps:cNvSpPr>
                            <wps:spPr bwMode="auto">
                              <a:xfrm>
                                <a:off x="0" y="0"/>
                                <a:ext cx="2025015" cy="286385"/>
                              </a:xfrm>
                              <a:prstGeom prst="wedgeRectCallout">
                                <a:avLst>
                                  <a:gd name="adj1" fmla="val -68860"/>
                                  <a:gd name="adj2" fmla="val 16177"/>
                                </a:avLst>
                              </a:prstGeom>
                              <a:solidFill>
                                <a:srgbClr val="FFFFFF"/>
                              </a:solidFill>
                              <a:ln w="9525" cmpd="sng">
                                <a:solidFill>
                                  <a:srgbClr val="000000"/>
                                </a:solidFill>
                                <a:miter lim="800000"/>
                              </a:ln>
                              <a:effectLst/>
                            </wps:spPr>
                            <wps:txbx>
                              <w:txbxContent>
                                <w:p>
                                  <w:pPr>
                                    <w:spacing w:line="240" w:lineRule="auto"/>
                                    <w:jc w:val="center"/>
                                  </w:pPr>
                                  <w:r>
                                    <w:t>四川瑞利生物科技有限公司</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72.85pt;margin-top:287pt;height:22.55pt;width:159.45pt;z-index:251669504;mso-width-relative:page;mso-height-relative:page;" fillcolor="#FFFFFF" filled="t" stroked="t" coordsize="21600,21600" o:gfxdata="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lMGxdwAAAALAQAADwAAAAAAAAABACAAAAAi&#10;AAAAZHJzL2Rvd25yZXYueG1sUEsBAhQAFAAAAAgAh07iQNszy0Z4AgAA+QQAAA4AAAAAAAAAAQAg&#10;AAAAKwEAAGRycy9lMm9Eb2MueG1sUEsFBgAAAAAGAAYAWQEAABUGAAAAAA==&#10;" adj="-4074,14294">
                      <v:fill on="t" focussize="0,0"/>
                      <v:stroke color="#000000" miterlimit="8" joinstyle="miter"/>
                      <v:imagedata o:title=""/>
                      <o:lock v:ext="edit" aspectratio="f"/>
                      <v:textbox>
                        <w:txbxContent>
                          <w:p>
                            <w:pPr>
                              <w:spacing w:line="240" w:lineRule="auto"/>
                              <w:jc w:val="center"/>
                            </w:pPr>
                            <w:r>
                              <w:t>四川瑞利生物科技有限公司</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3329940</wp:posOffset>
                      </wp:positionH>
                      <wp:positionV relativeFrom="paragraph">
                        <wp:posOffset>681355</wp:posOffset>
                      </wp:positionV>
                      <wp:extent cx="889000" cy="266065"/>
                      <wp:effectExtent l="247650" t="0" r="25400" b="19685"/>
                      <wp:wrapNone/>
                      <wp:docPr id="19" name="矩形标注 19"/>
                      <wp:cNvGraphicFramePr/>
                      <a:graphic xmlns:a="http://schemas.openxmlformats.org/drawingml/2006/main">
                        <a:graphicData uri="http://schemas.microsoft.com/office/word/2010/wordprocessingShape">
                          <wps:wsp>
                            <wps:cNvSpPr>
                              <a:spLocks noChangeArrowheads="1"/>
                            </wps:cNvSpPr>
                            <wps:spPr bwMode="auto">
                              <a:xfrm>
                                <a:off x="0" y="0"/>
                                <a:ext cx="889000" cy="266065"/>
                              </a:xfrm>
                              <a:prstGeom prst="wedgeRectCallout">
                                <a:avLst>
                                  <a:gd name="adj1" fmla="val -72856"/>
                                  <a:gd name="adj2" fmla="val -44509"/>
                                </a:avLst>
                              </a:prstGeom>
                              <a:solidFill>
                                <a:srgbClr val="FFFFFF"/>
                              </a:solidFill>
                              <a:ln w="9525" cmpd="sng">
                                <a:solidFill>
                                  <a:srgbClr val="000000"/>
                                </a:solidFill>
                                <a:miter lim="800000"/>
                              </a:ln>
                            </wps:spPr>
                            <wps:txbx>
                              <w:txbxContent>
                                <w:p>
                                  <w:pPr>
                                    <w:spacing w:line="240" w:lineRule="auto"/>
                                  </w:pPr>
                                  <w:r>
                                    <w:rPr>
                                      <w:rFonts w:hint="eastAsia"/>
                                    </w:rPr>
                                    <w:t>合深9井</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62.2pt;margin-top:53.65pt;height:20.95pt;width:70pt;z-index:251668480;mso-width-relative:page;mso-height-relative:page;" fillcolor="#FFFFFF" filled="t" stroked="t" coordsize="21600,21600" o:gfxdata="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Ycj+a2QAAAAsBAAAPAAAAAAAAAAEAIAAAACIA&#10;AABkcnMvZG93bnJldi54bWxQSwECFAAUAAAACACHTuJA750t6XoCAADrBAAADgAAAAAAAAABACAA&#10;AAAoAQAAZHJzL2Uyb0RvYy54bWxQSwUGAAAAAAYABgBZAQAAFAYAAAAA&#10;" adj="-4937,1186">
                      <v:fill on="t" focussize="0,0"/>
                      <v:stroke color="#000000" miterlimit="8" joinstyle="miter"/>
                      <v:imagedata o:title=""/>
                      <o:lock v:ext="edit" aspectratio="f"/>
                      <v:textbox>
                        <w:txbxContent>
                          <w:p>
                            <w:pPr>
                              <w:spacing w:line="240" w:lineRule="auto"/>
                            </w:pPr>
                            <w:r>
                              <w:rPr>
                                <w:rFonts w:hint="eastAsia"/>
                              </w:rPr>
                              <w:t>合深9井</w:t>
                            </w:r>
                          </w:p>
                        </w:txbxContent>
                      </v:textbox>
                    </v:shape>
                  </w:pict>
                </mc:Fallback>
              </mc:AlternateContent>
            </w:r>
            <w:r>
              <w:rPr>
                <w:color w:val="000000" w:themeColor="text1"/>
                <w14:textFill>
                  <w14:solidFill>
                    <w14:schemeClr w14:val="tx1"/>
                  </w14:solidFill>
                </w14:textFill>
              </w:rPr>
              <w:drawing>
                <wp:inline distT="0" distB="0" distL="0" distR="0">
                  <wp:extent cx="3556000" cy="4004310"/>
                  <wp:effectExtent l="0" t="0" r="6350" b="0"/>
                  <wp:docPr id="17" name="图片 17" descr="G:\Users\Administrator\Documents\WeChat Files\wxid_ampdkus0syvi22\FileStorage\Temp\167239968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Users\Administrator\Documents\WeChat Files\wxid_ampdkus0syvi22\FileStorage\Temp\16723996826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56179" cy="4004935"/>
                          </a:xfrm>
                          <a:prstGeom prst="rect">
                            <a:avLst/>
                          </a:prstGeom>
                          <a:noFill/>
                          <a:ln>
                            <a:noFill/>
                          </a:ln>
                        </pic:spPr>
                      </pic:pic>
                    </a:graphicData>
                  </a:graphic>
                </wp:inline>
              </w:drawing>
            </w:r>
          </w:p>
          <w:p>
            <w:pPr>
              <w:pStyle w:val="52"/>
              <w:spacing w:line="440" w:lineRule="exact"/>
              <w:ind w:firstLine="0" w:firstLineChars="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图5-1   废水转移路线示意图</w:t>
            </w:r>
          </w:p>
          <w:p>
            <w:pPr>
              <w:pStyle w:val="52"/>
              <w:spacing w:line="440" w:lineRule="exact"/>
              <w:rPr>
                <w:color w:val="000000" w:themeColor="text1"/>
                <w:szCs w:val="20"/>
                <w14:textFill>
                  <w14:solidFill>
                    <w14:schemeClr w14:val="tx1"/>
                  </w14:solidFill>
                </w14:textFill>
              </w:rPr>
            </w:pPr>
            <w:r>
              <w:rPr>
                <w:color w:val="000000" w:themeColor="text1"/>
                <w:szCs w:val="20"/>
                <w14:textFill>
                  <w14:solidFill>
                    <w14:schemeClr w14:val="tx1"/>
                  </w14:solidFill>
                </w14:textFill>
              </w:rPr>
              <w:t>2015年4月，四川瑞利生物科技有限公司</w:t>
            </w:r>
            <w:r>
              <w:rPr>
                <w:rFonts w:ascii="宋体" w:hAnsi="宋体"/>
                <w:color w:val="000000" w:themeColor="text1"/>
                <w:szCs w:val="20"/>
                <w14:textFill>
                  <w14:solidFill>
                    <w14:schemeClr w14:val="tx1"/>
                  </w14:solidFill>
                </w14:textFill>
              </w:rPr>
              <w:t>“</w:t>
            </w:r>
            <w:r>
              <w:rPr>
                <w:color w:val="000000" w:themeColor="text1"/>
                <w:szCs w:val="20"/>
                <w14:textFill>
                  <w14:solidFill>
                    <w14:schemeClr w14:val="tx1"/>
                  </w14:solidFill>
                </w14:textFill>
              </w:rPr>
              <w:t>18万吨/年气田压裂返排液治理项目</w:t>
            </w:r>
            <w:r>
              <w:rPr>
                <w:rFonts w:ascii="宋体" w:hAnsi="宋体"/>
                <w:color w:val="000000" w:themeColor="text1"/>
                <w:szCs w:val="20"/>
                <w14:textFill>
                  <w14:solidFill>
                    <w14:schemeClr w14:val="tx1"/>
                  </w14:solidFill>
                </w14:textFill>
              </w:rPr>
              <w:t>”</w:t>
            </w:r>
            <w:r>
              <w:rPr>
                <w:color w:val="000000" w:themeColor="text1"/>
                <w:szCs w:val="20"/>
                <w14:textFill>
                  <w14:solidFill>
                    <w14:schemeClr w14:val="tx1"/>
                  </w14:solidFill>
                </w14:textFill>
              </w:rPr>
              <w:t>经泸州市龙马潭区发展和改革局立项（川投资备〔51050415040101〕0009号）。2015年7月，《18万吨/年气田压裂返排液治理项目环境影响报告书》获得了泸州市龙马潭区环保局的批复（泸龙环建函〔2015〕39号）。根据环评批复四川瑞利生物科技有限公司</w:t>
            </w:r>
            <w:r>
              <w:rPr>
                <w:rFonts w:ascii="宋体" w:hAnsi="宋体"/>
                <w:color w:val="000000" w:themeColor="text1"/>
                <w:szCs w:val="20"/>
                <w14:textFill>
                  <w14:solidFill>
                    <w14:schemeClr w14:val="tx1"/>
                  </w14:solidFill>
                </w14:textFill>
              </w:rPr>
              <w:t>“</w:t>
            </w:r>
            <w:r>
              <w:rPr>
                <w:color w:val="000000" w:themeColor="text1"/>
                <w:szCs w:val="20"/>
                <w14:textFill>
                  <w14:solidFill>
                    <w14:schemeClr w14:val="tx1"/>
                  </w14:solidFill>
                </w14:textFill>
              </w:rPr>
              <w:t>18万吨/年气田压裂返排液治理项目</w:t>
            </w:r>
            <w:r>
              <w:rPr>
                <w:rFonts w:ascii="宋体" w:hAnsi="宋体"/>
                <w:color w:val="000000" w:themeColor="text1"/>
                <w:szCs w:val="20"/>
                <w14:textFill>
                  <w14:solidFill>
                    <w14:schemeClr w14:val="tx1"/>
                  </w14:solidFill>
                </w14:textFill>
              </w:rPr>
              <w:t>”</w:t>
            </w:r>
            <w:r>
              <w:rPr>
                <w:rFonts w:hint="eastAsia"/>
                <w:color w:val="000000" w:themeColor="text1"/>
                <w:szCs w:val="20"/>
                <w14:textFill>
                  <w14:solidFill>
                    <w14:schemeClr w14:val="tx1"/>
                  </w14:solidFill>
                </w14:textFill>
              </w:rPr>
              <w:t>在</w:t>
            </w:r>
            <w:r>
              <w:rPr>
                <w:color w:val="000000" w:themeColor="text1"/>
                <w:szCs w:val="20"/>
                <w14:textFill>
                  <w14:solidFill>
                    <w14:schemeClr w14:val="tx1"/>
                  </w14:solidFill>
                </w14:textFill>
              </w:rPr>
              <w:t>泸州经济开发区泸州北方化学工业有限公司用地进行建设。2016年5月，四川瑞利生物科技有限公司</w:t>
            </w:r>
            <w:r>
              <w:rPr>
                <w:rFonts w:ascii="宋体" w:hAnsi="宋体"/>
                <w:color w:val="000000" w:themeColor="text1"/>
                <w:szCs w:val="20"/>
                <w14:textFill>
                  <w14:solidFill>
                    <w14:schemeClr w14:val="tx1"/>
                  </w14:solidFill>
                </w14:textFill>
              </w:rPr>
              <w:t>“</w:t>
            </w:r>
            <w:r>
              <w:rPr>
                <w:color w:val="000000" w:themeColor="text1"/>
                <w:szCs w:val="20"/>
                <w14:textFill>
                  <w14:solidFill>
                    <w14:schemeClr w14:val="tx1"/>
                  </w14:solidFill>
                </w14:textFill>
              </w:rPr>
              <w:t>18万吨/年气田压裂返排液治理项目</w:t>
            </w:r>
            <w:r>
              <w:rPr>
                <w:rFonts w:ascii="宋体" w:hAnsi="宋体"/>
                <w:color w:val="000000" w:themeColor="text1"/>
                <w:szCs w:val="20"/>
                <w14:textFill>
                  <w14:solidFill>
                    <w14:schemeClr w14:val="tx1"/>
                  </w14:solidFill>
                </w14:textFill>
              </w:rPr>
              <w:t>”</w:t>
            </w:r>
            <w:r>
              <w:rPr>
                <w:color w:val="000000" w:themeColor="text1"/>
                <w:szCs w:val="20"/>
                <w14:textFill>
                  <w14:solidFill>
                    <w14:schemeClr w14:val="tx1"/>
                  </w14:solidFill>
                </w14:textFill>
              </w:rPr>
              <w:t>通过了泸州市龙马潭区环保局的环保验收（泸龙环验〔2016〕7号）。</w:t>
            </w:r>
          </w:p>
          <w:p>
            <w:pPr>
              <w:pStyle w:val="52"/>
              <w:spacing w:line="440" w:lineRule="exact"/>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经核查，</w:t>
            </w:r>
            <w:r>
              <w:rPr>
                <w:color w:val="000000" w:themeColor="text1"/>
                <w:szCs w:val="20"/>
                <w14:textFill>
                  <w14:solidFill>
                    <w14:schemeClr w14:val="tx1"/>
                  </w14:solidFill>
                </w14:textFill>
              </w:rPr>
              <w:t>四川瑞利生物科技有限公司气田压裂返排液治理项目</w:t>
            </w:r>
            <w:r>
              <w:rPr>
                <w:rFonts w:hint="eastAsia"/>
                <w:color w:val="000000" w:themeColor="text1"/>
                <w:szCs w:val="20"/>
                <w14:textFill>
                  <w14:solidFill>
                    <w14:schemeClr w14:val="tx1"/>
                  </w14:solidFill>
                </w14:textFill>
              </w:rPr>
              <w:t>废水</w:t>
            </w:r>
            <w:r>
              <w:rPr>
                <w:color w:val="000000" w:themeColor="text1"/>
                <w:szCs w:val="20"/>
                <w14:textFill>
                  <w14:solidFill>
                    <w14:schemeClr w14:val="tx1"/>
                  </w14:solidFill>
                </w14:textFill>
              </w:rPr>
              <w:t>处理量为18万</w:t>
            </w:r>
            <w:r>
              <w:rPr>
                <w:rFonts w:hint="eastAsia"/>
                <w:color w:val="000000" w:themeColor="text1"/>
                <w:szCs w:val="20"/>
                <w14:textFill>
                  <w14:solidFill>
                    <w14:schemeClr w14:val="tx1"/>
                  </w14:solidFill>
                </w14:textFill>
              </w:rPr>
              <w:t>t/a</w:t>
            </w:r>
            <w:r>
              <w:rPr>
                <w:color w:val="000000" w:themeColor="text1"/>
                <w:szCs w:val="20"/>
                <w14:textFill>
                  <w14:solidFill>
                    <w14:schemeClr w14:val="tx1"/>
                  </w14:solidFill>
                </w14:textFill>
              </w:rPr>
              <w:t>，则其日处理废水的量约为493t，目前处理厂废水处理量为</w:t>
            </w:r>
            <w:r>
              <w:rPr>
                <w:rFonts w:hint="eastAsia"/>
                <w:color w:val="000000" w:themeColor="text1"/>
                <w:szCs w:val="20"/>
                <w14:textFill>
                  <w14:solidFill>
                    <w14:schemeClr w14:val="tx1"/>
                  </w14:solidFill>
                </w14:textFill>
              </w:rPr>
              <w:t>193</w:t>
            </w:r>
            <w:r>
              <w:rPr>
                <w:color w:val="000000" w:themeColor="text1"/>
                <w:szCs w:val="20"/>
                <w14:textFill>
                  <w14:solidFill>
                    <w14:schemeClr w14:val="tx1"/>
                  </w14:solidFill>
                </w14:textFill>
              </w:rPr>
              <w:t>t/d，富裕处理量</w:t>
            </w:r>
            <w:r>
              <w:rPr>
                <w:rFonts w:hint="eastAsia"/>
                <w:color w:val="000000" w:themeColor="text1"/>
                <w:szCs w:val="20"/>
                <w14:textFill>
                  <w14:solidFill>
                    <w14:schemeClr w14:val="tx1"/>
                  </w14:solidFill>
                </w14:textFill>
              </w:rPr>
              <w:t>300</w:t>
            </w:r>
            <w:r>
              <w:rPr>
                <w:color w:val="000000" w:themeColor="text1"/>
                <w:szCs w:val="20"/>
                <w14:textFill>
                  <w14:solidFill>
                    <w14:schemeClr w14:val="tx1"/>
                  </w14:solidFill>
                </w14:textFill>
              </w:rPr>
              <w:t>t/d，</w:t>
            </w:r>
            <w:r>
              <w:rPr>
                <w:rFonts w:hint="eastAsia"/>
                <w:color w:val="000000" w:themeColor="text1"/>
                <w:szCs w:val="20"/>
                <w14:textFill>
                  <w14:solidFill>
                    <w14:schemeClr w14:val="tx1"/>
                  </w14:solidFill>
                </w14:textFill>
              </w:rPr>
              <w:t>且运行良好</w:t>
            </w:r>
            <w:r>
              <w:rPr>
                <w:color w:val="000000" w:themeColor="text1"/>
                <w:szCs w:val="20"/>
                <w14:textFill>
                  <w14:solidFill>
                    <w14:schemeClr w14:val="tx1"/>
                  </w14:solidFill>
                </w14:textFill>
              </w:rPr>
              <w:t>。同时，</w:t>
            </w:r>
            <w:r>
              <w:rPr>
                <w:rFonts w:hint="eastAsia"/>
                <w:color w:val="000000" w:themeColor="text1"/>
                <w:szCs w:val="20"/>
                <w14:textFill>
                  <w14:solidFill>
                    <w14:schemeClr w14:val="tx1"/>
                  </w14:solidFill>
                </w14:textFill>
              </w:rPr>
              <w:t>本项目试气作业</w:t>
            </w:r>
            <w:r>
              <w:rPr>
                <w:color w:val="000000" w:themeColor="text1"/>
                <w:szCs w:val="20"/>
                <w14:textFill>
                  <w14:solidFill>
                    <w14:schemeClr w14:val="tx1"/>
                  </w14:solidFill>
                </w14:textFill>
              </w:rPr>
              <w:t>废水集中处理后，预计每天转运一次（</w:t>
            </w: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辆），每辆罐车最大转运量为25t，因此，通过合理安排转运每日转运车次，在接收本公司的废水后，依然不会超过该公司每日的最大处理量，能够满足本工程废水处理的要求。</w:t>
            </w:r>
          </w:p>
          <w:p>
            <w:pPr>
              <w:pStyle w:val="52"/>
              <w:spacing w:line="440" w:lineRule="exact"/>
              <w:rPr>
                <w:bCs/>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综上所述</w:t>
            </w:r>
            <w:r>
              <w:rPr>
                <w:color w:val="000000" w:themeColor="text1"/>
                <w:szCs w:val="20"/>
                <w14:textFill>
                  <w14:solidFill>
                    <w14:schemeClr w14:val="tx1"/>
                  </w14:solidFill>
                </w14:textFill>
              </w:rPr>
              <w:t>，</w:t>
            </w:r>
            <w:r>
              <w:rPr>
                <w:rFonts w:hint="eastAsia"/>
                <w:color w:val="000000" w:themeColor="text1"/>
                <w:szCs w:val="20"/>
                <w14:textFill>
                  <w14:solidFill>
                    <w14:schemeClr w14:val="tx1"/>
                  </w14:solidFill>
                </w14:textFill>
              </w:rPr>
              <w:t>拟建项目钻井过程中产生的废水交由四川</w:t>
            </w:r>
            <w:r>
              <w:rPr>
                <w:color w:val="000000" w:themeColor="text1"/>
                <w:szCs w:val="20"/>
                <w14:textFill>
                  <w14:solidFill>
                    <w14:schemeClr w14:val="tx1"/>
                  </w14:solidFill>
                </w14:textFill>
              </w:rPr>
              <w:t>瑞利生物科技有限公司处理</w:t>
            </w:r>
            <w:r>
              <w:rPr>
                <w:rFonts w:hint="eastAsia"/>
                <w:color w:val="000000" w:themeColor="text1"/>
                <w:szCs w:val="20"/>
                <w14:textFill>
                  <w14:solidFill>
                    <w14:schemeClr w14:val="tx1"/>
                  </w14:solidFill>
                </w14:textFill>
              </w:rPr>
              <w:t>可行</w:t>
            </w:r>
            <w:r>
              <w:rPr>
                <w:rFonts w:hAnsi="宋体"/>
                <w:color w:val="000000" w:themeColor="text1"/>
                <w:szCs w:val="24"/>
                <w14:textFill>
                  <w14:solidFill>
                    <w14:schemeClr w14:val="tx1"/>
                  </w14:solidFill>
                </w14:textFill>
              </w:rPr>
              <w:t>。</w:t>
            </w:r>
          </w:p>
          <w:p>
            <w:pPr>
              <w:pStyle w:val="52"/>
              <w:spacing w:line="440" w:lineRule="exact"/>
              <w:rPr>
                <w:color w:val="000000" w:themeColor="text1"/>
                <w:szCs w:val="24"/>
                <w14:textFill>
                  <w14:solidFill>
                    <w14:schemeClr w14:val="tx1"/>
                  </w14:solidFill>
                </w14:textFill>
              </w:rPr>
            </w:pPr>
            <w:r>
              <w:rPr>
                <w:rFonts w:hint="eastAsia"/>
                <w:color w:val="000000" w:themeColor="text1"/>
                <w:szCs w:val="20"/>
                <w14:textFill>
                  <w14:solidFill>
                    <w14:schemeClr w14:val="tx1"/>
                  </w14:solidFill>
                </w14:textFill>
              </w:rPr>
              <w:t>④</w:t>
            </w:r>
            <w:r>
              <w:rPr>
                <w:color w:val="000000" w:themeColor="text1"/>
                <w:szCs w:val="20"/>
                <w14:textFill>
                  <w14:solidFill>
                    <w14:schemeClr w14:val="tx1"/>
                  </w14:solidFill>
                </w14:textFill>
              </w:rPr>
              <w:t>废水预处理工艺及效果</w:t>
            </w:r>
          </w:p>
          <w:p>
            <w:pPr>
              <w:pStyle w:val="52"/>
              <w:spacing w:line="440" w:lineRule="exact"/>
              <w:rPr>
                <w:color w:val="000000" w:themeColor="text1"/>
                <w:szCs w:val="20"/>
                <w14:textFill>
                  <w14:solidFill>
                    <w14:schemeClr w14:val="tx1"/>
                  </w14:solidFill>
                </w14:textFill>
              </w:rPr>
            </w:pPr>
            <w:r>
              <w:rPr>
                <w:rFonts w:hint="eastAsia" w:hAnsi="宋体"/>
                <w:color w:val="000000" w:themeColor="text1"/>
                <w:szCs w:val="20"/>
                <w14:textFill>
                  <w14:solidFill>
                    <w14:schemeClr w14:val="tx1"/>
                  </w14:solidFill>
                </w14:textFill>
              </w:rPr>
              <w:t xml:space="preserve">A. </w:t>
            </w:r>
            <w:r>
              <w:rPr>
                <w:color w:val="000000" w:themeColor="text1"/>
                <w:szCs w:val="20"/>
                <w14:textFill>
                  <w14:solidFill>
                    <w14:schemeClr w14:val="tx1"/>
                  </w14:solidFill>
                </w14:textFill>
              </w:rPr>
              <w:t>预处理工艺</w:t>
            </w:r>
            <w:r>
              <w:rPr>
                <w:rFonts w:hint="eastAsia"/>
                <w:color w:val="000000" w:themeColor="text1"/>
                <w:szCs w:val="20"/>
                <w14:textFill>
                  <w14:solidFill>
                    <w14:schemeClr w14:val="tx1"/>
                  </w14:solidFill>
                </w14:textFill>
              </w:rPr>
              <w:t>流程</w:t>
            </w:r>
          </w:p>
          <w:p>
            <w:pPr>
              <w:pStyle w:val="52"/>
              <w:widowControl w:val="0"/>
              <w:spacing w:line="440" w:lineRule="exact"/>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预处理</w:t>
            </w:r>
            <w:r>
              <w:rPr>
                <w:color w:val="000000" w:themeColor="text1"/>
                <w:szCs w:val="20"/>
                <w14:textFill>
                  <w14:solidFill>
                    <w14:schemeClr w14:val="tx1"/>
                  </w14:solidFill>
                </w14:textFill>
              </w:rPr>
              <w:t>工艺采用隔油、混凝、沉淀分离的工艺，该工艺目前在</w:t>
            </w:r>
            <w:r>
              <w:rPr>
                <w:rFonts w:hint="eastAsia"/>
                <w:color w:val="000000" w:themeColor="text1"/>
                <w:szCs w:val="20"/>
                <w14:textFill>
                  <w14:solidFill>
                    <w14:schemeClr w14:val="tx1"/>
                  </w14:solidFill>
                </w14:textFill>
              </w:rPr>
              <w:t>钻井工程中</w:t>
            </w:r>
            <w:r>
              <w:rPr>
                <w:color w:val="000000" w:themeColor="text1"/>
                <w:szCs w:val="20"/>
                <w14:textFill>
                  <w14:solidFill>
                    <w14:schemeClr w14:val="tx1"/>
                  </w14:solidFill>
                </w14:textFill>
              </w:rPr>
              <w:t>广泛使用，处理后的出水上清液回用，其余贮于废水收集罐中，</w:t>
            </w:r>
            <w:r>
              <w:rPr>
                <w:rFonts w:hint="eastAsia"/>
                <w:color w:val="000000" w:themeColor="text1"/>
                <w:szCs w:val="20"/>
                <w14:textFill>
                  <w14:solidFill>
                    <w14:schemeClr w14:val="tx1"/>
                  </w14:solidFill>
                </w14:textFill>
              </w:rPr>
              <w:t>清洁生产操作平台</w:t>
            </w:r>
            <w:r>
              <w:rPr>
                <w:color w:val="000000" w:themeColor="text1"/>
                <w:szCs w:val="20"/>
                <w14:textFill>
                  <w14:solidFill>
                    <w14:schemeClr w14:val="tx1"/>
                  </w14:solidFill>
                </w14:textFill>
              </w:rPr>
              <w:t>废水</w:t>
            </w:r>
            <w:r>
              <w:rPr>
                <w:rFonts w:hint="eastAsia"/>
                <w:color w:val="000000" w:themeColor="text1"/>
                <w:szCs w:val="20"/>
                <w14:textFill>
                  <w14:solidFill>
                    <w14:schemeClr w14:val="tx1"/>
                  </w14:solidFill>
                </w14:textFill>
              </w:rPr>
              <w:t>预处理</w:t>
            </w:r>
            <w:r>
              <w:rPr>
                <w:color w:val="000000" w:themeColor="text1"/>
                <w:szCs w:val="20"/>
                <w14:textFill>
                  <w14:solidFill>
                    <w14:schemeClr w14:val="tx1"/>
                  </w14:solidFill>
                </w14:textFill>
              </w:rPr>
              <w:t>后</w:t>
            </w:r>
            <w:r>
              <w:rPr>
                <w:rFonts w:hint="eastAsia"/>
                <w:color w:val="000000" w:themeColor="text1"/>
                <w:szCs w:val="20"/>
                <w14:textFill>
                  <w14:solidFill>
                    <w14:schemeClr w14:val="tx1"/>
                  </w14:solidFill>
                </w14:textFill>
              </w:rPr>
              <w:t>罐车外运</w:t>
            </w:r>
            <w:r>
              <w:rPr>
                <w:color w:val="000000" w:themeColor="text1"/>
                <w:szCs w:val="20"/>
                <w14:textFill>
                  <w14:solidFill>
                    <w14:schemeClr w14:val="tx1"/>
                  </w14:solidFill>
                </w14:textFill>
              </w:rPr>
              <w:t>至</w:t>
            </w:r>
            <w:r>
              <w:rPr>
                <w:rFonts w:hint="eastAsia"/>
                <w:color w:val="000000" w:themeColor="text1"/>
                <w:szCs w:val="20"/>
                <w14:textFill>
                  <w14:solidFill>
                    <w14:schemeClr w14:val="tx1"/>
                  </w14:solidFill>
                </w14:textFill>
              </w:rPr>
              <w:t>四川瑞利生物科技有限公司</w:t>
            </w:r>
            <w:r>
              <w:rPr>
                <w:color w:val="000000" w:themeColor="text1"/>
                <w:szCs w:val="20"/>
                <w14:textFill>
                  <w14:solidFill>
                    <w14:schemeClr w14:val="tx1"/>
                  </w14:solidFill>
                </w14:textFill>
              </w:rPr>
              <w:t>处理。</w:t>
            </w:r>
          </w:p>
          <w:p>
            <w:pPr>
              <w:ind w:firstLine="480" w:firstLineChars="200"/>
              <w:rPr>
                <w:color w:val="000000" w:themeColor="text1"/>
                <w14:textFill>
                  <w14:solidFill>
                    <w14:schemeClr w14:val="tx1"/>
                  </w14:solidFill>
                </w14:textFill>
              </w:rPr>
            </w:pPr>
            <w:r>
              <w:rPr>
                <w:color w:val="000000" w:themeColor="text1"/>
                <w:szCs w:val="20"/>
                <w14:textFill>
                  <w14:solidFill>
                    <w14:schemeClr w14:val="tx1"/>
                  </w14:solidFill>
                </w14:textFill>
              </w:rPr>
              <w:t>洗井废水由井筒排出后直接进入废水罐暂存，并转至</w:t>
            </w:r>
            <w:r>
              <w:rPr>
                <w:rFonts w:hint="eastAsia"/>
                <w:color w:val="000000" w:themeColor="text1"/>
                <w:szCs w:val="20"/>
                <w14:textFill>
                  <w14:solidFill>
                    <w14:schemeClr w14:val="tx1"/>
                  </w14:solidFill>
                </w14:textFill>
              </w:rPr>
              <w:t>清洁生产操作平台</w:t>
            </w:r>
            <w:r>
              <w:rPr>
                <w:color w:val="000000" w:themeColor="text1"/>
                <w:szCs w:val="20"/>
                <w14:textFill>
                  <w14:solidFill>
                    <w14:schemeClr w14:val="tx1"/>
                  </w14:solidFill>
                </w14:textFill>
              </w:rPr>
              <w:t>进行现场预处理。由于该废水呈强酸性，并有大量的返排物质，包括一些高分子物质和盐酸，该体系在酸性条件下呈稳定动态平衡。因此</w:t>
            </w:r>
            <w:r>
              <w:rPr>
                <w:rFonts w:hint="eastAsia"/>
                <w:color w:val="000000" w:themeColor="text1"/>
                <w:szCs w:val="20"/>
                <w14:textFill>
                  <w14:solidFill>
                    <w14:schemeClr w14:val="tx1"/>
                  </w14:solidFill>
                </w14:textFill>
              </w:rPr>
              <w:t>，先在井场内</w:t>
            </w:r>
            <w:r>
              <w:rPr>
                <w:color w:val="000000" w:themeColor="text1"/>
                <w:szCs w:val="20"/>
                <w14:textFill>
                  <w14:solidFill>
                    <w14:schemeClr w14:val="tx1"/>
                  </w14:solidFill>
                </w14:textFill>
              </w:rPr>
              <w:t>通过加入生石灰（氧化钙），即可完成中和，破坏其稳定结构，使其产生絮凝沉淀。沉淀后上清液暂存于废水罐中，完井后与钻井剩余废水</w:t>
            </w:r>
            <w:r>
              <w:rPr>
                <w:rFonts w:hint="eastAsia"/>
                <w:color w:val="000000" w:themeColor="text1"/>
                <w:szCs w:val="20"/>
                <w14:textFill>
                  <w14:solidFill>
                    <w14:schemeClr w14:val="tx1"/>
                  </w14:solidFill>
                </w14:textFill>
              </w:rPr>
              <w:t>拟交由四川瑞利生物科技有限公司</w:t>
            </w:r>
            <w:r>
              <w:rPr>
                <w:color w:val="000000" w:themeColor="text1"/>
                <w:szCs w:val="20"/>
                <w14:textFill>
                  <w14:solidFill>
                    <w14:schemeClr w14:val="tx1"/>
                  </w14:solidFill>
                </w14:textFill>
              </w:rPr>
              <w:t>处理。钻井</w:t>
            </w:r>
            <w:r>
              <w:rPr>
                <w:rFonts w:hint="eastAsia"/>
                <w:color w:val="000000" w:themeColor="text1"/>
                <w:szCs w:val="20"/>
                <w14:textFill>
                  <w14:solidFill>
                    <w14:schemeClr w14:val="tx1"/>
                  </w14:solidFill>
                </w14:textFill>
              </w:rPr>
              <w:t>过程中产生的</w:t>
            </w:r>
            <w:r>
              <w:rPr>
                <w:color w:val="000000" w:themeColor="text1"/>
                <w:szCs w:val="20"/>
                <w14:textFill>
                  <w14:solidFill>
                    <w14:schemeClr w14:val="tx1"/>
                  </w14:solidFill>
                </w14:textFill>
              </w:rPr>
              <w:t>废水井场预处理流程见图5-</w:t>
            </w: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587240" cy="1481455"/>
                      <wp:effectExtent l="0" t="0" r="3810" b="0"/>
                      <wp:docPr id="47" name="画布 47"/>
                      <wp:cNvGraphicFramePr/>
                      <a:graphic xmlns:a="http://schemas.openxmlformats.org/drawingml/2006/main">
                        <a:graphicData uri="http://schemas.microsoft.com/office/word/2010/wordprocessingCanvas">
                          <wpc:wpc>
                            <wpc:bg>
                              <a:noFill/>
                            </wpc:bg>
                            <wpc:whole>
                              <a:ln>
                                <a:noFill/>
                              </a:ln>
                            </wpc:whole>
                            <wps:wsp>
                              <wps:cNvPr id="22" name="文本框 276"/>
                              <wps:cNvSpPr txBox="1">
                                <a:spLocks noChangeArrowheads="1"/>
                              </wps:cNvSpPr>
                              <wps:spPr bwMode="auto">
                                <a:xfrm>
                                  <a:off x="697230" y="691515"/>
                                  <a:ext cx="814705" cy="266700"/>
                                </a:xfrm>
                                <a:prstGeom prst="rect">
                                  <a:avLst/>
                                </a:prstGeom>
                                <a:solidFill>
                                  <a:srgbClr val="FFFFFF">
                                    <a:alpha val="0"/>
                                  </a:srgbClr>
                                </a:solidFill>
                                <a:ln w="9525">
                                  <a:solidFill>
                                    <a:srgbClr val="000000"/>
                                  </a:solidFill>
                                  <a:miter lim="800000"/>
                                </a:ln>
                                <a:effectLst/>
                              </wps:spPr>
                              <wps:txbx>
                                <w:txbxContent>
                                  <w:p>
                                    <w:pPr>
                                      <w:pStyle w:val="17"/>
                                      <w:ind w:left="0" w:leftChars="0" w:firstLine="0" w:firstLineChars="0"/>
                                      <w:jc w:val="center"/>
                                    </w:pPr>
                                    <w:r>
                                      <w:rPr>
                                        <w:rFonts w:hint="eastAsia"/>
                                      </w:rPr>
                                      <w:t>废水收集罐</w:t>
                                    </w:r>
                                  </w:p>
                                </w:txbxContent>
                              </wps:txbx>
                              <wps:bodyPr rot="0" vert="horz" wrap="square" lIns="18000" tIns="45720" rIns="18000" bIns="45720" anchor="t" anchorCtr="0" upright="1">
                                <a:noAutofit/>
                              </wps:bodyPr>
                            </wps:wsp>
                            <wps:wsp>
                              <wps:cNvPr id="23" name="文本框 276"/>
                              <wps:cNvSpPr txBox="1">
                                <a:spLocks noChangeArrowheads="1"/>
                              </wps:cNvSpPr>
                              <wps:spPr bwMode="auto">
                                <a:xfrm>
                                  <a:off x="36830" y="696595"/>
                                  <a:ext cx="492760" cy="267335"/>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废水</w:t>
                                    </w:r>
                                  </w:p>
                                </w:txbxContent>
                              </wps:txbx>
                              <wps:bodyPr rot="0" vert="horz" wrap="square" lIns="18000" tIns="45720" rIns="18000" bIns="45720" anchor="t" anchorCtr="0" upright="1">
                                <a:noAutofit/>
                              </wps:bodyPr>
                            </wps:wsp>
                            <wps:wsp>
                              <wps:cNvPr id="24" name="直线 185"/>
                              <wps:cNvCnPr/>
                              <wps:spPr bwMode="auto">
                                <a:xfrm>
                                  <a:off x="414655" y="832485"/>
                                  <a:ext cx="285750" cy="635"/>
                                </a:xfrm>
                                <a:prstGeom prst="line">
                                  <a:avLst/>
                                </a:prstGeom>
                                <a:noFill/>
                                <a:ln w="9525">
                                  <a:solidFill>
                                    <a:srgbClr val="000000"/>
                                  </a:solidFill>
                                  <a:round/>
                                  <a:tailEnd type="triangle" w="med" len="med"/>
                                </a:ln>
                                <a:effectLst/>
                              </wps:spPr>
                              <wps:bodyPr/>
                            </wps:wsp>
                            <wps:wsp>
                              <wps:cNvPr id="25" name="直线 186"/>
                              <wps:cNvCnPr/>
                              <wps:spPr bwMode="auto">
                                <a:xfrm>
                                  <a:off x="1514475" y="833755"/>
                                  <a:ext cx="279400" cy="0"/>
                                </a:xfrm>
                                <a:prstGeom prst="line">
                                  <a:avLst/>
                                </a:prstGeom>
                                <a:noFill/>
                                <a:ln w="9525">
                                  <a:solidFill>
                                    <a:srgbClr val="000000"/>
                                  </a:solidFill>
                                  <a:round/>
                                  <a:tailEnd type="triangle" w="med" len="med"/>
                                </a:ln>
                                <a:effectLst/>
                              </wps:spPr>
                              <wps:bodyPr/>
                            </wps:wsp>
                            <wps:wsp>
                              <wps:cNvPr id="26" name="直线 187"/>
                              <wps:cNvCnPr/>
                              <wps:spPr bwMode="auto">
                                <a:xfrm>
                                  <a:off x="2580005" y="833755"/>
                                  <a:ext cx="460796" cy="0"/>
                                </a:xfrm>
                                <a:prstGeom prst="line">
                                  <a:avLst/>
                                </a:prstGeom>
                                <a:noFill/>
                                <a:ln w="9525">
                                  <a:solidFill>
                                    <a:srgbClr val="000000"/>
                                  </a:solidFill>
                                  <a:round/>
                                  <a:tailEnd type="triangle" w="med" len="med"/>
                                </a:ln>
                                <a:effectLst/>
                              </wps:spPr>
                              <wps:bodyPr/>
                            </wps:wsp>
                            <wps:wsp>
                              <wps:cNvPr id="27" name="文本框 276"/>
                              <wps:cNvSpPr txBox="1">
                                <a:spLocks noChangeArrowheads="1"/>
                              </wps:cNvSpPr>
                              <wps:spPr bwMode="auto">
                                <a:xfrm>
                                  <a:off x="1718310" y="7620"/>
                                  <a:ext cx="913130" cy="266700"/>
                                </a:xfrm>
                                <a:prstGeom prst="rect">
                                  <a:avLst/>
                                </a:prstGeom>
                                <a:solidFill>
                                  <a:srgbClr val="FFFFFF">
                                    <a:alpha val="0"/>
                                  </a:srgbClr>
                                </a:solidFill>
                                <a:ln w="9525">
                                  <a:solidFill>
                                    <a:srgbClr val="000000"/>
                                  </a:solidFill>
                                  <a:miter lim="800000"/>
                                </a:ln>
                                <a:effectLst/>
                              </wps:spPr>
                              <wps:txbx>
                                <w:txbxContent>
                                  <w:p>
                                    <w:pPr>
                                      <w:pStyle w:val="17"/>
                                      <w:ind w:left="0" w:leftChars="0" w:firstLine="0" w:firstLineChars="0"/>
                                      <w:jc w:val="center"/>
                                    </w:pPr>
                                    <w:r>
                                      <w:rPr>
                                        <w:rFonts w:hint="eastAsia"/>
                                      </w:rPr>
                                      <w:t>配备泥浆</w:t>
                                    </w:r>
                                  </w:p>
                                </w:txbxContent>
                              </wps:txbx>
                              <wps:bodyPr rot="0" vert="horz" wrap="square" lIns="18000" tIns="45720" rIns="18000" bIns="45720" anchor="t" anchorCtr="0" upright="1">
                                <a:noAutofit/>
                              </wps:bodyPr>
                            </wps:wsp>
                            <wps:wsp>
                              <wps:cNvPr id="28" name="直线 189"/>
                              <wps:cNvCnPr/>
                              <wps:spPr bwMode="auto">
                                <a:xfrm>
                                  <a:off x="1117600" y="153035"/>
                                  <a:ext cx="8255" cy="539750"/>
                                </a:xfrm>
                                <a:prstGeom prst="line">
                                  <a:avLst/>
                                </a:prstGeom>
                                <a:noFill/>
                                <a:ln w="9525">
                                  <a:solidFill>
                                    <a:srgbClr val="000000"/>
                                  </a:solidFill>
                                  <a:round/>
                                  <a:tailEnd type="triangle" w="med" len="med"/>
                                </a:ln>
                                <a:effectLst/>
                              </wps:spPr>
                              <wps:bodyPr/>
                            </wps:wsp>
                            <wps:wsp>
                              <wps:cNvPr id="29" name="文本框 276"/>
                              <wps:cNvSpPr txBox="1">
                                <a:spLocks noChangeArrowheads="1"/>
                              </wps:cNvSpPr>
                              <wps:spPr bwMode="auto">
                                <a:xfrm>
                                  <a:off x="2978150" y="29845"/>
                                  <a:ext cx="1546225" cy="266700"/>
                                </a:xfrm>
                                <a:prstGeom prst="rect">
                                  <a:avLst/>
                                </a:prstGeom>
                                <a:solidFill>
                                  <a:srgbClr val="FFFFFF">
                                    <a:alpha val="0"/>
                                  </a:srgbClr>
                                </a:solidFill>
                                <a:ln w="9525">
                                  <a:solidFill>
                                    <a:srgbClr val="000000"/>
                                  </a:solidFill>
                                  <a:miter lim="800000"/>
                                </a:ln>
                                <a:effectLst/>
                              </wps:spPr>
                              <wps:txbx>
                                <w:txbxContent>
                                  <w:p>
                                    <w:pPr>
                                      <w:pStyle w:val="17"/>
                                      <w:ind w:left="0" w:leftChars="0" w:firstLine="0" w:firstLineChars="0"/>
                                      <w:jc w:val="center"/>
                                    </w:pPr>
                                    <w:r>
                                      <w:rPr>
                                        <w:rFonts w:hint="eastAsia"/>
                                      </w:rPr>
                                      <w:t>高架水罐（罐内为清水）</w:t>
                                    </w:r>
                                  </w:p>
                                </w:txbxContent>
                              </wps:txbx>
                              <wps:bodyPr rot="0" vert="horz" wrap="square" lIns="18000" tIns="45720" rIns="18000" bIns="45720" anchor="t" anchorCtr="0" upright="1">
                                <a:noAutofit/>
                              </wps:bodyPr>
                            </wps:wsp>
                            <wps:wsp>
                              <wps:cNvPr id="30" name="文本框 276"/>
                              <wps:cNvSpPr txBox="1">
                                <a:spLocks noChangeArrowheads="1"/>
                              </wps:cNvSpPr>
                              <wps:spPr bwMode="auto">
                                <a:xfrm>
                                  <a:off x="3024505" y="692150"/>
                                  <a:ext cx="572770" cy="266700"/>
                                </a:xfrm>
                                <a:prstGeom prst="rect">
                                  <a:avLst/>
                                </a:prstGeom>
                                <a:solidFill>
                                  <a:srgbClr val="FFFFFF">
                                    <a:alpha val="0"/>
                                  </a:srgbClr>
                                </a:solidFill>
                                <a:ln w="9525">
                                  <a:solidFill>
                                    <a:srgbClr val="000000"/>
                                  </a:solidFill>
                                  <a:miter lim="800000"/>
                                </a:ln>
                                <a:effectLst/>
                              </wps:spPr>
                              <wps:txbx>
                                <w:txbxContent>
                                  <w:p>
                                    <w:pPr>
                                      <w:pStyle w:val="17"/>
                                      <w:ind w:left="0" w:leftChars="0" w:firstLine="0" w:firstLineChars="0"/>
                                      <w:jc w:val="center"/>
                                    </w:pPr>
                                    <w:r>
                                      <w:rPr>
                                        <w:rFonts w:hint="eastAsia"/>
                                      </w:rPr>
                                      <w:t>废水罐</w:t>
                                    </w:r>
                                  </w:p>
                                </w:txbxContent>
                              </wps:txbx>
                              <wps:bodyPr rot="0" vert="horz" wrap="square" lIns="18000" tIns="45720" rIns="18000" bIns="45720" anchor="t" anchorCtr="0" upright="1">
                                <a:noAutofit/>
                              </wps:bodyPr>
                            </wps:wsp>
                            <wps:wsp>
                              <wps:cNvPr id="31" name="直线 193"/>
                              <wps:cNvCnPr/>
                              <wps:spPr bwMode="auto">
                                <a:xfrm flipH="1">
                                  <a:off x="2626360" y="161925"/>
                                  <a:ext cx="355600" cy="0"/>
                                </a:xfrm>
                                <a:prstGeom prst="line">
                                  <a:avLst/>
                                </a:prstGeom>
                                <a:noFill/>
                                <a:ln w="9525">
                                  <a:solidFill>
                                    <a:srgbClr val="000000"/>
                                  </a:solidFill>
                                  <a:round/>
                                  <a:tailEnd type="triangle" w="med" len="med"/>
                                </a:ln>
                                <a:effectLst/>
                              </wps:spPr>
                              <wps:bodyPr/>
                            </wps:wsp>
                            <wps:wsp>
                              <wps:cNvPr id="32" name="文本框 276"/>
                              <wps:cNvSpPr txBox="1">
                                <a:spLocks noChangeArrowheads="1"/>
                              </wps:cNvSpPr>
                              <wps:spPr bwMode="auto">
                                <a:xfrm>
                                  <a:off x="396875" y="1155065"/>
                                  <a:ext cx="3556000" cy="266700"/>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外运</w:t>
                                    </w:r>
                                    <w:r>
                                      <w:rPr>
                                        <w:rFonts w:hint="eastAsia"/>
                                        <w:color w:val="000000"/>
                                        <w:szCs w:val="21"/>
                                      </w:rPr>
                                      <w:t>泸县秀水冠柱建材厂或其他</w:t>
                                    </w:r>
                                    <w:r>
                                      <w:rPr>
                                        <w:rFonts w:hint="eastAsia"/>
                                      </w:rPr>
                                      <w:t>有资质单位进行资源化利用</w:t>
                                    </w:r>
                                  </w:p>
                                </w:txbxContent>
                              </wps:txbx>
                              <wps:bodyPr rot="0" vert="horz" wrap="square" lIns="18000" tIns="45720" rIns="18000" bIns="45720" anchor="t" anchorCtr="0" upright="1">
                                <a:noAutofit/>
                              </wps:bodyPr>
                            </wps:wsp>
                            <wps:wsp>
                              <wps:cNvPr id="33" name="文本框 276"/>
                              <wps:cNvSpPr txBox="1">
                                <a:spLocks noChangeArrowheads="1"/>
                              </wps:cNvSpPr>
                              <wps:spPr bwMode="auto">
                                <a:xfrm>
                                  <a:off x="1783715" y="695325"/>
                                  <a:ext cx="785495" cy="266700"/>
                                </a:xfrm>
                                <a:prstGeom prst="rect">
                                  <a:avLst/>
                                </a:prstGeom>
                                <a:solidFill>
                                  <a:srgbClr val="FFFFFF">
                                    <a:alpha val="0"/>
                                  </a:srgbClr>
                                </a:solidFill>
                                <a:ln w="9525">
                                  <a:solidFill>
                                    <a:srgbClr val="000000"/>
                                  </a:solidFill>
                                  <a:miter lim="800000"/>
                                </a:ln>
                                <a:effectLst/>
                              </wps:spPr>
                              <wps:txbx>
                                <w:txbxContent>
                                  <w:p>
                                    <w:pPr>
                                      <w:pStyle w:val="17"/>
                                      <w:ind w:left="0" w:leftChars="0" w:firstLine="0" w:firstLineChars="0"/>
                                      <w:jc w:val="center"/>
                                    </w:pPr>
                                    <w:r>
                                      <w:rPr>
                                        <w:rFonts w:hint="eastAsia"/>
                                      </w:rPr>
                                      <w:t>废水处理罐</w:t>
                                    </w:r>
                                  </w:p>
                                </w:txbxContent>
                              </wps:txbx>
                              <wps:bodyPr rot="0" vert="horz" wrap="square" lIns="18000" tIns="45720" rIns="18000" bIns="45720" anchor="t" anchorCtr="0" upright="1">
                                <a:noAutofit/>
                              </wps:bodyPr>
                            </wps:wsp>
                            <wps:wsp>
                              <wps:cNvPr id="34" name="文本框 276"/>
                              <wps:cNvSpPr txBox="1">
                                <a:spLocks noChangeArrowheads="1"/>
                              </wps:cNvSpPr>
                              <wps:spPr bwMode="auto">
                                <a:xfrm>
                                  <a:off x="1943100" y="254000"/>
                                  <a:ext cx="454660" cy="266700"/>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药剂</w:t>
                                    </w:r>
                                  </w:p>
                                </w:txbxContent>
                              </wps:txbx>
                              <wps:bodyPr rot="0" vert="horz" wrap="square" lIns="18000" tIns="45720" rIns="18000" bIns="45720" anchor="t" anchorCtr="0" upright="1">
                                <a:noAutofit/>
                              </wps:bodyPr>
                            </wps:wsp>
                            <wps:wsp>
                              <wps:cNvPr id="35" name="文本框 276"/>
                              <wps:cNvSpPr txBox="1">
                                <a:spLocks noChangeArrowheads="1"/>
                              </wps:cNvSpPr>
                              <wps:spPr bwMode="auto">
                                <a:xfrm>
                                  <a:off x="702945" y="256540"/>
                                  <a:ext cx="472440" cy="266700"/>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废水</w:t>
                                    </w:r>
                                  </w:p>
                                </w:txbxContent>
                              </wps:txbx>
                              <wps:bodyPr rot="0" vert="horz" wrap="square" lIns="18000" tIns="45720" rIns="18000" bIns="45720" anchor="t" anchorCtr="0" upright="1">
                                <a:noAutofit/>
                              </wps:bodyPr>
                            </wps:wsp>
                            <wps:wsp>
                              <wps:cNvPr id="36" name="直线 205"/>
                              <wps:cNvCnPr/>
                              <wps:spPr bwMode="auto">
                                <a:xfrm flipH="1" flipV="1">
                                  <a:off x="2524760" y="281940"/>
                                  <a:ext cx="6985" cy="248398"/>
                                </a:xfrm>
                                <a:prstGeom prst="line">
                                  <a:avLst/>
                                </a:prstGeom>
                                <a:noFill/>
                                <a:ln w="9525">
                                  <a:solidFill>
                                    <a:srgbClr val="000000"/>
                                  </a:solidFill>
                                  <a:round/>
                                  <a:tailEnd type="triangle" w="med" len="med"/>
                                </a:ln>
                                <a:effectLst/>
                              </wps:spPr>
                              <wps:bodyPr/>
                            </wps:wsp>
                            <wps:wsp>
                              <wps:cNvPr id="37" name="直线 206"/>
                              <wps:cNvCnPr/>
                              <wps:spPr bwMode="auto">
                                <a:xfrm>
                                  <a:off x="2176145" y="477520"/>
                                  <a:ext cx="635" cy="228600"/>
                                </a:xfrm>
                                <a:prstGeom prst="line">
                                  <a:avLst/>
                                </a:prstGeom>
                                <a:noFill/>
                                <a:ln w="9525">
                                  <a:solidFill>
                                    <a:srgbClr val="000000"/>
                                  </a:solidFill>
                                  <a:round/>
                                  <a:tailEnd type="triangle" w="med" len="med"/>
                                </a:ln>
                                <a:effectLst/>
                              </wps:spPr>
                              <wps:bodyPr/>
                            </wps:wsp>
                            <wps:wsp>
                              <wps:cNvPr id="38" name="直线 207"/>
                              <wps:cNvCnPr/>
                              <wps:spPr bwMode="auto">
                                <a:xfrm>
                                  <a:off x="1110615" y="139065"/>
                                  <a:ext cx="593995" cy="635"/>
                                </a:xfrm>
                                <a:prstGeom prst="line">
                                  <a:avLst/>
                                </a:prstGeom>
                                <a:noFill/>
                                <a:ln w="9525">
                                  <a:solidFill>
                                    <a:srgbClr val="000000"/>
                                  </a:solidFill>
                                  <a:round/>
                                </a:ln>
                                <a:effectLst/>
                              </wps:spPr>
                              <wps:bodyPr/>
                            </wps:wsp>
                            <wps:wsp>
                              <wps:cNvPr id="39" name="文本框 276"/>
                              <wps:cNvSpPr txBox="1">
                                <a:spLocks noChangeArrowheads="1"/>
                              </wps:cNvSpPr>
                              <wps:spPr bwMode="auto">
                                <a:xfrm>
                                  <a:off x="2550795" y="622300"/>
                                  <a:ext cx="469900" cy="266700"/>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上清液</w:t>
                                    </w:r>
                                  </w:p>
                                </w:txbxContent>
                              </wps:txbx>
                              <wps:bodyPr rot="0" vert="horz" wrap="square" lIns="18000" tIns="45720" rIns="18000" bIns="45720" anchor="t" anchorCtr="0" upright="1">
                                <a:noAutofit/>
                              </wps:bodyPr>
                            </wps:wsp>
                            <wps:wsp>
                              <wps:cNvPr id="40" name="直线 209"/>
                              <wps:cNvCnPr/>
                              <wps:spPr bwMode="auto">
                                <a:xfrm>
                                  <a:off x="3300730" y="527685"/>
                                  <a:ext cx="635" cy="161925"/>
                                </a:xfrm>
                                <a:prstGeom prst="line">
                                  <a:avLst/>
                                </a:prstGeom>
                                <a:noFill/>
                                <a:ln w="9525">
                                  <a:solidFill>
                                    <a:srgbClr val="000000"/>
                                  </a:solidFill>
                                  <a:round/>
                                </a:ln>
                                <a:effectLst/>
                              </wps:spPr>
                              <wps:bodyPr/>
                            </wps:wsp>
                            <wps:wsp>
                              <wps:cNvPr id="41" name="直线 210"/>
                              <wps:cNvCnPr/>
                              <wps:spPr bwMode="auto">
                                <a:xfrm>
                                  <a:off x="2529205" y="528955"/>
                                  <a:ext cx="767080" cy="0"/>
                                </a:xfrm>
                                <a:prstGeom prst="line">
                                  <a:avLst/>
                                </a:prstGeom>
                                <a:noFill/>
                                <a:ln w="9525">
                                  <a:solidFill>
                                    <a:srgbClr val="000000"/>
                                  </a:solidFill>
                                  <a:round/>
                                </a:ln>
                                <a:effectLst/>
                              </wps:spPr>
                              <wps:bodyPr/>
                            </wps:wsp>
                            <wps:wsp>
                              <wps:cNvPr id="42" name="文本框 276"/>
                              <wps:cNvSpPr txBox="1">
                                <a:spLocks noChangeArrowheads="1"/>
                              </wps:cNvSpPr>
                              <wps:spPr bwMode="auto">
                                <a:xfrm>
                                  <a:off x="2633980" y="314960"/>
                                  <a:ext cx="628650" cy="266700"/>
                                </a:xfrm>
                                <a:prstGeom prst="rect">
                                  <a:avLst/>
                                </a:prstGeom>
                                <a:solidFill>
                                  <a:srgbClr val="FFFFFF">
                                    <a:alpha val="0"/>
                                  </a:srgbClr>
                                </a:solidFill>
                                <a:ln>
                                  <a:noFill/>
                                </a:ln>
                                <a:effectLst/>
                              </wps:spPr>
                              <wps:txbx>
                                <w:txbxContent>
                                  <w:p>
                                    <w:pPr>
                                      <w:pStyle w:val="17"/>
                                      <w:ind w:left="0" w:leftChars="0" w:firstLine="0" w:firstLineChars="0"/>
                                      <w:jc w:val="center"/>
                                    </w:pPr>
                                    <w:r>
                                      <w:rPr>
                                        <w:rFonts w:hint="eastAsia"/>
                                      </w:rPr>
                                      <w:t>回用水</w:t>
                                    </w:r>
                                  </w:p>
                                </w:txbxContent>
                              </wps:txbx>
                              <wps:bodyPr rot="0" vert="horz" wrap="square" lIns="18000" tIns="45720" rIns="18000" bIns="45720" anchor="t" anchorCtr="0" upright="1">
                                <a:noAutofit/>
                              </wps:bodyPr>
                            </wps:wsp>
                            <wps:wsp>
                              <wps:cNvPr id="43" name="直线 212"/>
                              <wps:cNvCnPr/>
                              <wps:spPr bwMode="auto">
                                <a:xfrm>
                                  <a:off x="2179955" y="967740"/>
                                  <a:ext cx="0" cy="228600"/>
                                </a:xfrm>
                                <a:prstGeom prst="line">
                                  <a:avLst/>
                                </a:prstGeom>
                                <a:noFill/>
                                <a:ln w="9525">
                                  <a:solidFill>
                                    <a:srgbClr val="000000"/>
                                  </a:solidFill>
                                  <a:round/>
                                  <a:tailEnd type="triangle" w="med" len="med"/>
                                </a:ln>
                                <a:effectLst/>
                              </wps:spPr>
                              <wps:bodyPr/>
                            </wps:wsp>
                            <wps:wsp>
                              <wps:cNvPr id="44" name="文本框 276"/>
                              <wps:cNvSpPr txBox="1">
                                <a:spLocks noChangeArrowheads="1"/>
                              </wps:cNvSpPr>
                              <wps:spPr bwMode="auto">
                                <a:xfrm>
                                  <a:off x="1772285" y="918210"/>
                                  <a:ext cx="469900" cy="266700"/>
                                </a:xfrm>
                                <a:prstGeom prst="rect">
                                  <a:avLst/>
                                </a:prstGeom>
                                <a:solidFill>
                                  <a:srgbClr val="FFFFFF">
                                    <a:alpha val="0"/>
                                  </a:srgbClr>
                                </a:solidFill>
                                <a:ln>
                                  <a:noFill/>
                                </a:ln>
                                <a:effectLst/>
                              </wps:spPr>
                              <wps:txbx>
                                <w:txbxContent>
                                  <w:p>
                                    <w:pPr>
                                      <w:pStyle w:val="10"/>
                                      <w:jc w:val="center"/>
                                    </w:pPr>
                                    <w:r>
                                      <w:rPr>
                                        <w:rFonts w:hint="eastAsia"/>
                                      </w:rPr>
                                      <w:t>污回用水</w:t>
                                    </w:r>
                                  </w:p>
                                  <w:p>
                                    <w:pPr>
                                      <w:pStyle w:val="10"/>
                                      <w:jc w:val="center"/>
                                    </w:pPr>
                                    <w:r>
                                      <w:rPr>
                                        <w:rFonts w:hint="eastAsia"/>
                                      </w:rPr>
                                      <w:t>泥</w:t>
                                    </w:r>
                                  </w:p>
                                </w:txbxContent>
                              </wps:txbx>
                              <wps:bodyPr rot="0" vert="horz" wrap="square" lIns="18000" tIns="45720" rIns="18000" bIns="45720" anchor="t" anchorCtr="0" upright="1">
                                <a:noAutofit/>
                              </wps:bodyPr>
                            </wps:wsp>
                            <wps:wsp>
                              <wps:cNvPr id="45" name="直线 214"/>
                              <wps:cNvCnPr/>
                              <wps:spPr bwMode="auto">
                                <a:xfrm>
                                  <a:off x="3608705" y="834390"/>
                                  <a:ext cx="279400" cy="0"/>
                                </a:xfrm>
                                <a:prstGeom prst="line">
                                  <a:avLst/>
                                </a:prstGeom>
                                <a:noFill/>
                                <a:ln w="9525">
                                  <a:solidFill>
                                    <a:srgbClr val="000000"/>
                                  </a:solidFill>
                                  <a:round/>
                                  <a:tailEnd type="triangle" w="med" len="med"/>
                                </a:ln>
                                <a:effectLst/>
                              </wps:spPr>
                              <wps:bodyPr/>
                            </wps:wsp>
                            <wps:wsp>
                              <wps:cNvPr id="46" name="文本框 276"/>
                              <wps:cNvSpPr txBox="1">
                                <a:spLocks noChangeArrowheads="1"/>
                              </wps:cNvSpPr>
                              <wps:spPr bwMode="auto">
                                <a:xfrm>
                                  <a:off x="3512185" y="596265"/>
                                  <a:ext cx="469900" cy="266700"/>
                                </a:xfrm>
                                <a:prstGeom prst="rect">
                                  <a:avLst/>
                                </a:prstGeom>
                                <a:solidFill>
                                  <a:srgbClr val="FFFFFF">
                                    <a:alpha val="0"/>
                                  </a:srgbClr>
                                </a:solidFill>
                                <a:ln>
                                  <a:noFill/>
                                </a:ln>
                                <a:effectLst/>
                              </wps:spPr>
                              <wps:txbx>
                                <w:txbxContent>
                                  <w:p>
                                    <w:pPr>
                                      <w:pStyle w:val="10"/>
                                      <w:jc w:val="center"/>
                                    </w:pPr>
                                    <w:r>
                                      <w:rPr>
                                        <w:rFonts w:hint="eastAsia"/>
                                      </w:rPr>
                                      <w:t>外运</w:t>
                                    </w:r>
                                  </w:p>
                                </w:txbxContent>
                              </wps:txbx>
                              <wps:bodyPr rot="0" vert="horz" wrap="square" lIns="18000" tIns="45720" rIns="18000" bIns="45720" anchor="t" anchorCtr="0" upright="1">
                                <a:noAutofit/>
                              </wps:bodyPr>
                            </wps:wsp>
                          </wpc:wpc>
                        </a:graphicData>
                      </a:graphic>
                    </wp:inline>
                  </w:drawing>
                </mc:Choice>
                <mc:Fallback>
                  <w:pict>
                    <v:group id="_x0000_s1026" o:spid="_x0000_s1026" o:spt="203" style="height:116.65pt;width:361.2pt;" coordsize="4587240,1481455" editas="canvas" o:gfxdata="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CGQMzQ1wAAAAUBAAAPAAAAAAAAAAEAIAAAACIAAABkcnMvZG93bnJldi54bWxQSwEC&#10;FAAUAAAACACHTuJAuyMUT6IGAAAKPAAADgAAAAAAAAABACAAAAAmAQAAZHJzL2Uyb0RvYy54bWxQ&#10;SwUGAAAAAAYABgBZAQAAOgoAAAAA&#10;">
                      <o:lock v:ext="edit" aspectratio="f"/>
                      <v:shape id="_x0000_s1026" o:spid="_x0000_s1026" style="position:absolute;left:0;top:0;height:1481455;width:4587240;" filled="f" stroked="f" coordsize="21600,21600" o:gfxdata="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hkDM0NcAAAAFAQAADwAAAAAAAAABACAAAAAiAAAAZHJzL2Rvd25yZXYueG1sUEsBAhQAFAAAAAgA&#10;h07iQGEDQ2RhBgAAhTsAAA4AAAAAAAAAAQAgAAAAJgEAAGRycy9lMm9Eb2MueG1sUEsFBgAAAAAG&#10;AAYAWQEAAPkJAAAAAA==&#10;">
                        <v:fill on="f" focussize="0,0"/>
                        <v:stroke on="f"/>
                        <v:imagedata o:title=""/>
                        <o:lock v:ext="edit" aspectratio="f"/>
                      </v:shape>
                      <v:shape id="文本框 276" o:spid="_x0000_s1026" o:spt="202" type="#_x0000_t202" style="position:absolute;left:697230;top:691515;height:266700;width:814705;" fillcolor="#FFFFFF" filled="t" stroked="t" coordsize="21600,21600" o:gfxdata="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r&#10;2SDXAAAABQEAAA8AAAAAAAAAAQAgAAAAIgAAAGRycy9kb3ducmV2LnhtbFBLAQIUABQAAAAIAIdO&#10;4kCUkMpBXQIAAL4EAAAOAAAAAAAAAAEAIAAAACYBAABkcnMvZTJvRG9jLnhtbFBLBQYAAAAABgAG&#10;AFkBAAD1BQAAAAA=&#10;">
                        <v:fill on="t" opacity="0f" focussize="0,0"/>
                        <v:stroke color="#000000" miterlimit="8" joinstyle="miter"/>
                        <v:imagedata o:title=""/>
                        <o:lock v:ext="edit" aspectratio="f"/>
                        <v:textbox inset="0.5mm,1.27mm,0.5mm,1.27mm">
                          <w:txbxContent>
                            <w:p>
                              <w:pPr>
                                <w:pStyle w:val="17"/>
                                <w:ind w:left="0" w:leftChars="0" w:firstLine="0" w:firstLineChars="0"/>
                                <w:jc w:val="center"/>
                              </w:pPr>
                              <w:r>
                                <w:rPr>
                                  <w:rFonts w:hint="eastAsia"/>
                                </w:rPr>
                                <w:t>废水收集罐</w:t>
                              </w:r>
                            </w:p>
                          </w:txbxContent>
                        </v:textbox>
                      </v:shape>
                      <v:shape id="文本框 276" o:spid="_x0000_s1026" o:spt="202" type="#_x0000_t202" style="position:absolute;left:36830;top:696595;height:267335;width:49276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JIA5NYAAAAFAQAADwAAAAAAAAABACAA&#10;AAAiAAAAZHJzL2Rvd25yZXYueG1sUEsBAhQAFAAAAAgAh07iQIYWzfRIAgAAdAQAAA4AAAAAAAAA&#10;AQAgAAAAJQEAAGRycy9lMm9Eb2MueG1sUEsFBgAAAAAGAAYAWQEAAN8FAAAAAA==&#10;">
                        <v:fill on="t" opacity="0f" focussize="0,0"/>
                        <v:stroke on="f"/>
                        <v:imagedata o:title=""/>
                        <o:lock v:ext="edit" aspectratio="f"/>
                        <v:textbox inset="0.5mm,1.27mm,0.5mm,1.27mm">
                          <w:txbxContent>
                            <w:p>
                              <w:pPr>
                                <w:pStyle w:val="17"/>
                                <w:ind w:left="0" w:leftChars="0" w:firstLine="0" w:firstLineChars="0"/>
                                <w:jc w:val="center"/>
                              </w:pPr>
                              <w:r>
                                <w:rPr>
                                  <w:rFonts w:hint="eastAsia"/>
                                </w:rPr>
                                <w:t>废水</w:t>
                              </w:r>
                            </w:p>
                          </w:txbxContent>
                        </v:textbox>
                      </v:shape>
                      <v:line id="直线 185" o:spid="_x0000_s1026" o:spt="20" style="position:absolute;left:414655;top:832485;height:635;width:285750;"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swUc/XAAAABQEAAA8AAAAAAAAAAQAgAAAAIgAAAGRycy9kb3ducmV2LnhtbFBLAQIUABQAAAAI&#10;AIdO4kBdrarM7gEAALkDAAAOAAAAAAAAAAEAIAAAACYBAABkcnMvZTJvRG9jLnhtbFBLBQYAAAAA&#10;BgAGAFkBAACGBQAAAAA=&#10;">
                        <v:fill on="f" focussize="0,0"/>
                        <v:stroke color="#000000" joinstyle="round" endarrow="block"/>
                        <v:imagedata o:title=""/>
                        <o:lock v:ext="edit" aspectratio="f"/>
                      </v:line>
                      <v:line id="直线 186" o:spid="_x0000_s1026" o:spt="20" style="position:absolute;left:1514475;top:833755;height:0;width:279400;"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MFHP1wAAAAUBAAAPAAAAAAAAAAEAIAAAACIAAABkcnMvZG93bnJldi54bWxQSwECFAAUAAAACACH&#10;TuJAU/TcfewBAAC4AwAADgAAAAAAAAABACAAAAAmAQAAZHJzL2Uyb0RvYy54bWxQSwUGAAAAAAYA&#10;BgBZAQAAhAUAAAAA&#10;">
                        <v:fill on="f" focussize="0,0"/>
                        <v:stroke color="#000000" joinstyle="round" endarrow="block"/>
                        <v:imagedata o:title=""/>
                        <o:lock v:ext="edit" aspectratio="f"/>
                      </v:line>
                      <v:line id="直线 187" o:spid="_x0000_s1026" o:spt="20" style="position:absolute;left:2580005;top:833755;height:0;width:460796;"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zBRz9cAAAAFAQAADwAAAAAAAAABACAAAAAiAAAAZHJzL2Rvd25yZXYueG1sUEsBAhQAFAAAAAgA&#10;h07iQL0/wgHtAQAAuAMAAA4AAAAAAAAAAQAgAAAAJgEAAGRycy9lMm9Eb2MueG1sUEsFBgAAAAAG&#10;AAYAWQEAAIUFAAAAAA==&#10;">
                        <v:fill on="f" focussize="0,0"/>
                        <v:stroke color="#000000" joinstyle="round" endarrow="block"/>
                        <v:imagedata o:title=""/>
                        <o:lock v:ext="edit" aspectratio="f"/>
                      </v:line>
                      <v:shape id="文本框 276" o:spid="_x0000_s1026" o:spt="202" type="#_x0000_t202" style="position:absolute;left:1718310;top:7620;height:266700;width:913130;" fillcolor="#FFFFFF" filled="t" stroked="t" coordsize="21600,21600" o:gfxdata="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K9kg&#10;1wAAAAUBAAAPAAAAAAAAAAEAIAAAACIAAABkcnMvZG93bnJldi54bWxQSwECFAAUAAAACACHTuJA&#10;iYZZWlsCAAC9BAAADgAAAAAAAAABACAAAAAmAQAAZHJzL2Uyb0RvYy54bWxQSwUGAAAAAAYABgBZ&#10;AQAA8wUAAAAA&#10;">
                        <v:fill on="t" opacity="0f" focussize="0,0"/>
                        <v:stroke color="#000000" miterlimit="8" joinstyle="miter"/>
                        <v:imagedata o:title=""/>
                        <o:lock v:ext="edit" aspectratio="f"/>
                        <v:textbox inset="0.5mm,1.27mm,0.5mm,1.27mm">
                          <w:txbxContent>
                            <w:p>
                              <w:pPr>
                                <w:pStyle w:val="17"/>
                                <w:ind w:left="0" w:leftChars="0" w:firstLine="0" w:firstLineChars="0"/>
                                <w:jc w:val="center"/>
                              </w:pPr>
                              <w:r>
                                <w:rPr>
                                  <w:rFonts w:hint="eastAsia"/>
                                </w:rPr>
                                <w:t>配备泥浆</w:t>
                              </w:r>
                            </w:p>
                          </w:txbxContent>
                        </v:textbox>
                      </v:shape>
                      <v:line id="直线 189" o:spid="_x0000_s1026" o:spt="20" style="position:absolute;left:1117600;top:153035;height:539750;width:8255;"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LMFHP1wAAAAUBAAAPAAAAAAAAAAEAIAAAACIAAABkcnMvZG93bnJldi54bWxQSwECFAAUAAAA&#10;CACHTuJAaza9N+8BAAC7AwAADgAAAAAAAAABACAAAAAmAQAAZHJzL2Uyb0RvYy54bWxQSwUGAAAA&#10;AAYABgBZAQAAhwUAAAAA&#10;">
                        <v:fill on="f" focussize="0,0"/>
                        <v:stroke color="#000000" joinstyle="round" endarrow="block"/>
                        <v:imagedata o:title=""/>
                        <o:lock v:ext="edit" aspectratio="f"/>
                      </v:line>
                      <v:shape id="文本框 276" o:spid="_x0000_s1026" o:spt="202" type="#_x0000_t202" style="position:absolute;left:2978150;top:29845;height:266700;width:1546225;" fillcolor="#FFFFFF" filled="t" stroked="t" coordsize="21600,21600" o:gfxdata="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r2SDX&#10;AAAABQEAAA8AAAAAAAAAAQAgAAAAIgAAAGRycy9kb3ducmV2LnhtbFBLAQIUABQAAAAIAIdO4kA9&#10;+LWBWgIAAL8EAAAOAAAAAAAAAAEAIAAAACYBAABkcnMvZTJvRG9jLnhtbFBLBQYAAAAABgAGAFkB&#10;AADyBQAAAAA=&#10;">
                        <v:fill on="t" opacity="0f" focussize="0,0"/>
                        <v:stroke color="#000000" miterlimit="8" joinstyle="miter"/>
                        <v:imagedata o:title=""/>
                        <o:lock v:ext="edit" aspectratio="f"/>
                        <v:textbox inset="0.5mm,1.27mm,0.5mm,1.27mm">
                          <w:txbxContent>
                            <w:p>
                              <w:pPr>
                                <w:pStyle w:val="17"/>
                                <w:ind w:left="0" w:leftChars="0" w:firstLine="0" w:firstLineChars="0"/>
                                <w:jc w:val="center"/>
                              </w:pPr>
                              <w:r>
                                <w:rPr>
                                  <w:rFonts w:hint="eastAsia"/>
                                </w:rPr>
                                <w:t>高架水罐（罐内为清水）</w:t>
                              </w:r>
                            </w:p>
                          </w:txbxContent>
                        </v:textbox>
                      </v:shape>
                      <v:shape id="文本框 276" o:spid="_x0000_s1026" o:spt="202" type="#_x0000_t202" style="position:absolute;left:3024505;top:692150;height:266700;width:572770;" fillcolor="#FFFFFF" filled="t" stroked="t" coordsize="21600,21600" o:gfxdata="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r&#10;2SDXAAAABQEAAA8AAAAAAAAAAQAgAAAAIgAAAGRycy9kb3ducmV2LnhtbFBLAQIUABQAAAAIAIdO&#10;4kDgdvqRXQIAAL8EAAAOAAAAAAAAAAEAIAAAACYBAABkcnMvZTJvRG9jLnhtbFBLBQYAAAAABgAG&#10;AFkBAAD1BQAAAAA=&#10;">
                        <v:fill on="t" opacity="0f" focussize="0,0"/>
                        <v:stroke color="#000000" miterlimit="8" joinstyle="miter"/>
                        <v:imagedata o:title=""/>
                        <o:lock v:ext="edit" aspectratio="f"/>
                        <v:textbox inset="0.5mm,1.27mm,0.5mm,1.27mm">
                          <w:txbxContent>
                            <w:p>
                              <w:pPr>
                                <w:pStyle w:val="17"/>
                                <w:ind w:left="0" w:leftChars="0" w:firstLine="0" w:firstLineChars="0"/>
                                <w:jc w:val="center"/>
                              </w:pPr>
                              <w:r>
                                <w:rPr>
                                  <w:rFonts w:hint="eastAsia"/>
                                </w:rPr>
                                <w:t>废水罐</w:t>
                              </w:r>
                            </w:p>
                          </w:txbxContent>
                        </v:textbox>
                      </v:shape>
                      <v:line id="直线 193" o:spid="_x0000_s1026" o:spt="20" style="position:absolute;left:2626360;top:161925;flip:x;height:0;width:355600;" filled="f" stroked="t" coordsize="21600,21600" o:gfxdata="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WMSc1wAAAAUBAAAPAAAAAAAAAAEAIAAAACIAAABkcnMvZG93bnJldi54bWxQSwECFAAU&#10;AAAACACHTuJA67AGOvIBAADCAwAADgAAAAAAAAABACAAAAAmAQAAZHJzL2Uyb0RvYy54bWxQSwUG&#10;AAAAAAYABgBZAQAAigUAAAAA&#10;">
                        <v:fill on="f" focussize="0,0"/>
                        <v:stroke color="#000000" joinstyle="round" endarrow="block"/>
                        <v:imagedata o:title=""/>
                        <o:lock v:ext="edit" aspectratio="f"/>
                      </v:line>
                      <v:shape id="文本框 276" o:spid="_x0000_s1026" o:spt="202" type="#_x0000_t202" style="position:absolute;left:396875;top:1155065;height:266700;width:355600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JIA5NYAAAAFAQAADwAAAAAAAAABACAAAAAi&#10;AAAAZHJzL2Rvd25yZXYueG1sUEsBAhQAFAAAAAgAh07iQNGLjCdFAgAAdwQAAA4AAAAAAAAAAQAg&#10;AAAAJQEAAGRycy9lMm9Eb2MueG1sUEsFBgAAAAAGAAYAWQEAANwFAAAAAA==&#10;">
                        <v:fill on="t" opacity="0f" focussize="0,0"/>
                        <v:stroke on="f"/>
                        <v:imagedata o:title=""/>
                        <o:lock v:ext="edit" aspectratio="f"/>
                        <v:textbox inset="0.5mm,1.27mm,0.5mm,1.27mm">
                          <w:txbxContent>
                            <w:p>
                              <w:pPr>
                                <w:pStyle w:val="17"/>
                                <w:ind w:left="0" w:leftChars="0" w:firstLine="0" w:firstLineChars="0"/>
                                <w:jc w:val="center"/>
                              </w:pPr>
                              <w:r>
                                <w:rPr>
                                  <w:rFonts w:hint="eastAsia"/>
                                </w:rPr>
                                <w:t>外运</w:t>
                              </w:r>
                              <w:r>
                                <w:rPr>
                                  <w:rFonts w:hint="eastAsia"/>
                                  <w:color w:val="000000"/>
                                  <w:szCs w:val="21"/>
                                </w:rPr>
                                <w:t>泸县秀水冠柱建材厂或其他</w:t>
                              </w:r>
                              <w:r>
                                <w:rPr>
                                  <w:rFonts w:hint="eastAsia"/>
                                </w:rPr>
                                <w:t>有资质单位进行资源化利用</w:t>
                              </w:r>
                            </w:p>
                          </w:txbxContent>
                        </v:textbox>
                      </v:shape>
                      <v:shape id="文本框 276" o:spid="_x0000_s1026" o:spt="202" type="#_x0000_t202" style="position:absolute;left:1783715;top:695325;height:266700;width:785495;" fillcolor="#FFFFFF" filled="t" stroked="t" coordsize="21600,21600" o:gfxdata="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K9kg1wAAAAUBAAAPAAAAAAAAAAEAIAAAACIAAABkcnMvZG93bnJldi54bWxQSwECFAAUAAAACACH&#10;TuJAMF2Oa14CAAC/BAAADgAAAAAAAAABACAAAAAmAQAAZHJzL2Uyb0RvYy54bWxQSwUGAAAAAAYA&#10;BgBZAQAA9gUAAAAA&#10;">
                        <v:fill on="t" opacity="0f" focussize="0,0"/>
                        <v:stroke color="#000000" miterlimit="8" joinstyle="miter"/>
                        <v:imagedata o:title=""/>
                        <o:lock v:ext="edit" aspectratio="f"/>
                        <v:textbox inset="0.5mm,1.27mm,0.5mm,1.27mm">
                          <w:txbxContent>
                            <w:p>
                              <w:pPr>
                                <w:pStyle w:val="17"/>
                                <w:ind w:left="0" w:leftChars="0" w:firstLine="0" w:firstLineChars="0"/>
                                <w:jc w:val="center"/>
                              </w:pPr>
                              <w:r>
                                <w:rPr>
                                  <w:rFonts w:hint="eastAsia"/>
                                </w:rPr>
                                <w:t>废水处理罐</w:t>
                              </w:r>
                            </w:p>
                          </w:txbxContent>
                        </v:textbox>
                      </v:shape>
                      <v:shape id="文本框 276" o:spid="_x0000_s1026" o:spt="202" type="#_x0000_t202" style="position:absolute;left:1943100;top:254000;height:266700;width:45466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SAOTWAAAABQEAAA8AAAAAAAAAAQAgAAAA&#10;IgAAAGRycy9kb3ducmV2LnhtbFBLAQIUABQAAAAIAIdO4kBaruzcRgIAAHYEAAAOAAAAAAAAAAEA&#10;IAAAACUBAABkcnMvZTJvRG9jLnhtbFBLBQYAAAAABgAGAFkBAADdBQAAAAA=&#10;">
                        <v:fill on="t" opacity="0f" focussize="0,0"/>
                        <v:stroke on="f"/>
                        <v:imagedata o:title=""/>
                        <o:lock v:ext="edit" aspectratio="f"/>
                        <v:textbox inset="0.5mm,1.27mm,0.5mm,1.27mm">
                          <w:txbxContent>
                            <w:p>
                              <w:pPr>
                                <w:pStyle w:val="17"/>
                                <w:ind w:left="0" w:leftChars="0" w:firstLine="0" w:firstLineChars="0"/>
                                <w:jc w:val="center"/>
                              </w:pPr>
                              <w:r>
                                <w:rPr>
                                  <w:rFonts w:hint="eastAsia"/>
                                </w:rPr>
                                <w:t>药剂</w:t>
                              </w:r>
                            </w:p>
                          </w:txbxContent>
                        </v:textbox>
                      </v:shape>
                      <v:shape id="文本框 276" o:spid="_x0000_s1026" o:spt="202" type="#_x0000_t202" style="position:absolute;left:702945;top:256540;height:266700;width:47244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JIA5NYAAAAFAQAADwAAAAAAAAABACAAAAAi&#10;AAAAZHJzL2Rvd25yZXYueG1sUEsBAhQAFAAAAAgAh07iQOGxUPNFAgAAdQQAAA4AAAAAAAAAAQAg&#10;AAAAJQEAAGRycy9lMm9Eb2MueG1sUEsFBgAAAAAGAAYAWQEAANwFAAAAAA==&#10;">
                        <v:fill on="t" opacity="0f" focussize="0,0"/>
                        <v:stroke on="f"/>
                        <v:imagedata o:title=""/>
                        <o:lock v:ext="edit" aspectratio="f"/>
                        <v:textbox inset="0.5mm,1.27mm,0.5mm,1.27mm">
                          <w:txbxContent>
                            <w:p>
                              <w:pPr>
                                <w:pStyle w:val="17"/>
                                <w:ind w:left="0" w:leftChars="0" w:firstLine="0" w:firstLineChars="0"/>
                                <w:jc w:val="center"/>
                              </w:pPr>
                              <w:r>
                                <w:rPr>
                                  <w:rFonts w:hint="eastAsia"/>
                                </w:rPr>
                                <w:t>废水</w:t>
                              </w:r>
                            </w:p>
                          </w:txbxContent>
                        </v:textbox>
                      </v:shape>
                      <v:line id="直线 205" o:spid="_x0000_s1026" o:spt="20" style="position:absolute;left:2524760;top:281940;flip:x y;height:248398;width:6985;" filled="f" stroked="t" coordsize="21600,21600" o:gfxdata="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j71q1gAAAAUBAAAPAAAAAAAAAAEAIAAAACIAAABkcnMvZG93bnJldi54bWxQ&#10;SwECFAAUAAAACACHTuJAf6OaxfkBAADPAwAADgAAAAAAAAABACAAAAAlAQAAZHJzL2Uyb0RvYy54&#10;bWxQSwUGAAAAAAYABgBZAQAAkAUAAAAA&#10;">
                        <v:fill on="f" focussize="0,0"/>
                        <v:stroke color="#000000" joinstyle="round" endarrow="block"/>
                        <v:imagedata o:title=""/>
                        <o:lock v:ext="edit" aspectratio="f"/>
                      </v:line>
                      <v:line id="直线 206" o:spid="_x0000_s1026" o:spt="20" style="position:absolute;left:2176145;top:477520;height:228600;width:635;"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swUc/XAAAABQEAAA8AAAAAAAAAAQAgAAAAIgAAAGRycy9kb3ducmV2LnhtbFBLAQIUABQAAAAI&#10;AIdO4kByyWrg7gEAALoDAAAOAAAAAAAAAAEAIAAAACYBAABkcnMvZTJvRG9jLnhtbFBLBQYAAAAA&#10;BgAGAFkBAACGBQAAAAA=&#10;">
                        <v:fill on="f" focussize="0,0"/>
                        <v:stroke color="#000000" joinstyle="round" endarrow="block"/>
                        <v:imagedata o:title=""/>
                        <o:lock v:ext="edit" aspectratio="f"/>
                      </v:line>
                      <v:line id="直线 207" o:spid="_x0000_s1026" o:spt="20" style="position:absolute;left:1110615;top:139065;height:635;width:593995;" filled="f" stroked="t" coordsize="21600,21600" o:gfxdata="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ETyr9UAAAAFAQAADwAAAAAAAAABACAAAAAiAAAA&#10;ZHJzL2Rvd25yZXYueG1sUEsBAhQAFAAAAAgAh07iQFsgrgvRAQAAjAMAAA4AAAAAAAAAAQAgAAAA&#10;JAEAAGRycy9lMm9Eb2MueG1sUEsFBgAAAAAGAAYAWQEAAGcFAAAAAA==&#10;">
                        <v:fill on="f" focussize="0,0"/>
                        <v:stroke color="#000000" joinstyle="round"/>
                        <v:imagedata o:title=""/>
                        <o:lock v:ext="edit" aspectratio="f"/>
                      </v:line>
                      <v:shape id="文本框 276" o:spid="_x0000_s1026" o:spt="202" type="#_x0000_t202" style="position:absolute;left:2550795;top:622300;height:266700;width:46990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JIA5NYAAAAFAQAADwAAAAAAAAABACAA&#10;AAAiAAAAZHJzL2Rvd25yZXYueG1sUEsBAhQAFAAAAAgAh07iQLTFzItIAgAAdgQAAA4AAAAAAAAA&#10;AQAgAAAAJQEAAGRycy9lMm9Eb2MueG1sUEsFBgAAAAAGAAYAWQEAAN8FAAAAAA==&#10;">
                        <v:fill on="t" opacity="0f" focussize="0,0"/>
                        <v:stroke on="f"/>
                        <v:imagedata o:title=""/>
                        <o:lock v:ext="edit" aspectratio="f"/>
                        <v:textbox inset="0.5mm,1.27mm,0.5mm,1.27mm">
                          <w:txbxContent>
                            <w:p>
                              <w:pPr>
                                <w:pStyle w:val="17"/>
                                <w:ind w:left="0" w:leftChars="0" w:firstLine="0" w:firstLineChars="0"/>
                                <w:jc w:val="center"/>
                              </w:pPr>
                              <w:r>
                                <w:rPr>
                                  <w:rFonts w:hint="eastAsia"/>
                                </w:rPr>
                                <w:t>上清液</w:t>
                              </w:r>
                            </w:p>
                          </w:txbxContent>
                        </v:textbox>
                      </v:shape>
                      <v:line id="直线 209" o:spid="_x0000_s1026" o:spt="20" style="position:absolute;left:3300730;top:527685;height:161925;width:635;" filled="f" stroked="t" coordsize="21600,21600" o:gfxdata="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4RPKv1QAAAAUBAAAPAAAAAAAAAAEAIAAAACIA&#10;AABkcnMvZG93bnJldi54bWxQSwECFAAUAAAACACHTuJAWem909MBAACMAwAADgAAAAAAAAABACAA&#10;AAAkAQAAZHJzL2Uyb0RvYy54bWxQSwUGAAAAAAYABgBZAQAAaQUAAAAA&#10;">
                        <v:fill on="f" focussize="0,0"/>
                        <v:stroke color="#000000" joinstyle="round"/>
                        <v:imagedata o:title=""/>
                        <o:lock v:ext="edit" aspectratio="f"/>
                      </v:line>
                      <v:line id="直线 210" o:spid="_x0000_s1026" o:spt="20" style="position:absolute;left:2529205;top:528955;height:0;width:767080;" filled="f" stroked="t" coordsize="21600,21600" o:gfxdata="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ETyr9UAAAAFAQAADwAAAAAAAAABACAAAAAiAAAA&#10;ZHJzL2Rvd25yZXYueG1sUEsBAhQAFAAAAAgAh07iQAt2nlnRAQAAigMAAA4AAAAAAAAAAQAgAAAA&#10;JAEAAGRycy9lMm9Eb2MueG1sUEsFBgAAAAAGAAYAWQEAAGcFAAAAAA==&#10;">
                        <v:fill on="f" focussize="0,0"/>
                        <v:stroke color="#000000" joinstyle="round"/>
                        <v:imagedata o:title=""/>
                        <o:lock v:ext="edit" aspectratio="f"/>
                      </v:line>
                      <v:shape id="文本框 276" o:spid="_x0000_s1026" o:spt="202" type="#_x0000_t202" style="position:absolute;left:2633980;top:314960;height:266700;width:62865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JIA5NYAAAAFAQAADwAAAAAAAAABACAA&#10;AAAiAAAAZHJzL2Rvd25yZXYueG1sUEsBAhQAFAAAAAgAh07iQMkC6F9IAgAAdgQAAA4AAAAAAAAA&#10;AQAgAAAAJQEAAGRycy9lMm9Eb2MueG1sUEsFBgAAAAAGAAYAWQEAAN8FAAAAAA==&#10;">
                        <v:fill on="t" opacity="0f" focussize="0,0"/>
                        <v:stroke on="f"/>
                        <v:imagedata o:title=""/>
                        <o:lock v:ext="edit" aspectratio="f"/>
                        <v:textbox inset="0.5mm,1.27mm,0.5mm,1.27mm">
                          <w:txbxContent>
                            <w:p>
                              <w:pPr>
                                <w:pStyle w:val="17"/>
                                <w:ind w:left="0" w:leftChars="0" w:firstLine="0" w:firstLineChars="0"/>
                                <w:jc w:val="center"/>
                              </w:pPr>
                              <w:r>
                                <w:rPr>
                                  <w:rFonts w:hint="eastAsia"/>
                                </w:rPr>
                                <w:t>回用水</w:t>
                              </w:r>
                            </w:p>
                          </w:txbxContent>
                        </v:textbox>
                      </v:shape>
                      <v:line id="直线 212" o:spid="_x0000_s1026" o:spt="20" style="position:absolute;left:2179955;top:967740;height:228600;width:0;"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MFHP1wAAAAUBAAAPAAAAAAAAAAEAIAAAACIAAABkcnMvZG93bnJldi54bWxQSwECFAAUAAAACACH&#10;TuJAajNR7OwBAAC4AwAADgAAAAAAAAABACAAAAAmAQAAZHJzL2Uyb0RvYy54bWxQSwUGAAAAAAYA&#10;BgBZAQAAhAUAAAAA&#10;">
                        <v:fill on="f" focussize="0,0"/>
                        <v:stroke color="#000000" joinstyle="round" endarrow="block"/>
                        <v:imagedata o:title=""/>
                        <o:lock v:ext="edit" aspectratio="f"/>
                      </v:line>
                      <v:shape id="文本框 276" o:spid="_x0000_s1026" o:spt="202" type="#_x0000_t202" style="position:absolute;left:1772285;top:918210;height:266700;width:46990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kgDk1gAAAAUBAAAPAAAAAAAAAAEAIAAAACIA&#10;AABkcnMvZG93bnJldi54bWxQSwECFAAUAAAACACHTuJATMnQ+kQCAAB2BAAADgAAAAAAAAABACAA&#10;AAAlAQAAZHJzL2Uyb0RvYy54bWxQSwUGAAAAAAYABgBZAQAA2wUAAAAA&#10;">
                        <v:fill on="t" opacity="0f" focussize="0,0"/>
                        <v:stroke on="f"/>
                        <v:imagedata o:title=""/>
                        <o:lock v:ext="edit" aspectratio="f"/>
                        <v:textbox inset="0.5mm,1.27mm,0.5mm,1.27mm">
                          <w:txbxContent>
                            <w:p>
                              <w:pPr>
                                <w:pStyle w:val="10"/>
                                <w:jc w:val="center"/>
                              </w:pPr>
                              <w:r>
                                <w:rPr>
                                  <w:rFonts w:hint="eastAsia"/>
                                </w:rPr>
                                <w:t>污回用水</w:t>
                              </w:r>
                            </w:p>
                            <w:p>
                              <w:pPr>
                                <w:pStyle w:val="10"/>
                                <w:jc w:val="center"/>
                              </w:pPr>
                              <w:r>
                                <w:rPr>
                                  <w:rFonts w:hint="eastAsia"/>
                                </w:rPr>
                                <w:t>泥</w:t>
                              </w:r>
                            </w:p>
                          </w:txbxContent>
                        </v:textbox>
                      </v:shape>
                      <v:line id="直线 214" o:spid="_x0000_s1026" o:spt="20" style="position:absolute;left:3608705;top:834390;height:0;width:279400;" filled="f" stroked="t" coordsize="21600,21600" o:gfxdata="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MFHP1wAAAAUBAAAPAAAAAAAAAAEAIAAAACIAAABkcnMvZG93bnJldi54bWxQSwECFAAUAAAACACH&#10;TuJAcHEcb+wBAAC4AwAADgAAAAAAAAABACAAAAAmAQAAZHJzL2Uyb0RvYy54bWxQSwUGAAAAAAYA&#10;BgBZAQAAhAUAAAAA&#10;">
                        <v:fill on="f" focussize="0,0"/>
                        <v:stroke color="#000000" joinstyle="round" endarrow="block"/>
                        <v:imagedata o:title=""/>
                        <o:lock v:ext="edit" aspectratio="f"/>
                      </v:line>
                      <v:shape id="文本框 276" o:spid="_x0000_s1026" o:spt="202" type="#_x0000_t202" style="position:absolute;left:3512185;top:596265;height:266700;width:469900;" fillcolor="#FFFFFF" filled="t" stroked="f" coordsize="21600,21600" o:gfxdata="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iSAOTWAAAABQEAAA8AAAAAAAAAAQAgAAAA&#10;IgAAAGRycy9kb3ducmV2LnhtbFBLAQIUABQAAAAIAIdO4kDUBRAPRgIAAHYEAAAOAAAAAAAAAAEA&#10;IAAAACUBAABkcnMvZTJvRG9jLnhtbFBLBQYAAAAABgAGAFkBAADdBQAAAAA=&#10;">
                        <v:fill on="t" opacity="0f" focussize="0,0"/>
                        <v:stroke on="f"/>
                        <v:imagedata o:title=""/>
                        <o:lock v:ext="edit" aspectratio="f"/>
                        <v:textbox inset="0.5mm,1.27mm,0.5mm,1.27mm">
                          <w:txbxContent>
                            <w:p>
                              <w:pPr>
                                <w:pStyle w:val="10"/>
                                <w:jc w:val="center"/>
                              </w:pPr>
                              <w:r>
                                <w:rPr>
                                  <w:rFonts w:hint="eastAsia"/>
                                </w:rPr>
                                <w:t>外运</w:t>
                              </w:r>
                            </w:p>
                          </w:txbxContent>
                        </v:textbox>
                      </v:shape>
                      <w10:wrap type="none"/>
                      <w10:anchorlock/>
                    </v:group>
                  </w:pict>
                </mc:Fallback>
              </mc:AlternateContent>
            </w:r>
          </w:p>
          <w:p>
            <w:pPr>
              <w:ind w:firstLine="482" w:firstLineChars="200"/>
              <w:jc w:val="center"/>
              <w:rPr>
                <w:color w:val="000000" w:themeColor="text1"/>
                <w14:textFill>
                  <w14:solidFill>
                    <w14:schemeClr w14:val="tx1"/>
                  </w14:solidFill>
                </w14:textFill>
              </w:rPr>
            </w:pPr>
            <w:r>
              <w:rPr>
                <w:b/>
                <w:bCs/>
                <w:color w:val="000000" w:themeColor="text1"/>
                <w:szCs w:val="24"/>
                <w14:textFill>
                  <w14:solidFill>
                    <w14:schemeClr w14:val="tx1"/>
                  </w14:solidFill>
                </w14:textFill>
              </w:rPr>
              <w:t>图5-</w:t>
            </w:r>
            <w:r>
              <w:rPr>
                <w:rFonts w:hint="eastAsia"/>
                <w:b/>
                <w:bCs/>
                <w:color w:val="000000" w:themeColor="text1"/>
                <w:szCs w:val="24"/>
                <w14:textFill>
                  <w14:solidFill>
                    <w14:schemeClr w14:val="tx1"/>
                  </w14:solidFill>
                </w14:textFill>
              </w:rPr>
              <w:t>2</w:t>
            </w:r>
            <w:r>
              <w:rPr>
                <w:b/>
                <w:bCs/>
                <w:color w:val="000000" w:themeColor="text1"/>
                <w:szCs w:val="24"/>
                <w14:textFill>
                  <w14:solidFill>
                    <w14:schemeClr w14:val="tx1"/>
                  </w14:solidFill>
                </w14:textFill>
              </w:rPr>
              <w:t xml:space="preserve">  钻井</w:t>
            </w:r>
            <w:r>
              <w:rPr>
                <w:rFonts w:hint="eastAsia"/>
                <w:b/>
                <w:bCs/>
                <w:color w:val="000000" w:themeColor="text1"/>
                <w:szCs w:val="24"/>
                <w14:textFill>
                  <w14:solidFill>
                    <w14:schemeClr w14:val="tx1"/>
                  </w14:solidFill>
                </w14:textFill>
              </w:rPr>
              <w:t>产生的</w:t>
            </w:r>
            <w:r>
              <w:rPr>
                <w:b/>
                <w:bCs/>
                <w:color w:val="000000" w:themeColor="text1"/>
                <w:szCs w:val="24"/>
                <w14:textFill>
                  <w14:solidFill>
                    <w14:schemeClr w14:val="tx1"/>
                  </w14:solidFill>
                </w14:textFill>
              </w:rPr>
              <w:t>废水井场</w:t>
            </w:r>
            <w:r>
              <w:rPr>
                <w:rFonts w:hint="eastAsia"/>
                <w:b/>
                <w:bCs/>
                <w:color w:val="000000" w:themeColor="text1"/>
                <w:szCs w:val="24"/>
                <w14:textFill>
                  <w14:solidFill>
                    <w14:schemeClr w14:val="tx1"/>
                  </w14:solidFill>
                </w14:textFill>
              </w:rPr>
              <w:t>内</w:t>
            </w:r>
            <w:r>
              <w:rPr>
                <w:b/>
                <w:bCs/>
                <w:color w:val="000000" w:themeColor="text1"/>
                <w:szCs w:val="24"/>
                <w14:textFill>
                  <w14:solidFill>
                    <w14:schemeClr w14:val="tx1"/>
                  </w14:solidFill>
                </w14:textFill>
              </w:rPr>
              <w:t>预处理流程</w:t>
            </w:r>
            <w:r>
              <w:rPr>
                <w:rFonts w:hint="eastAsia"/>
                <w:b/>
                <w:bCs/>
                <w:color w:val="000000" w:themeColor="text1"/>
                <w:szCs w:val="24"/>
                <w14:textFill>
                  <w14:solidFill>
                    <w14:schemeClr w14:val="tx1"/>
                  </w14:solidFill>
                </w14:textFill>
              </w:rPr>
              <w:t>示意</w:t>
            </w:r>
            <w:r>
              <w:rPr>
                <w:b/>
                <w:bCs/>
                <w:color w:val="000000" w:themeColor="text1"/>
                <w:szCs w:val="24"/>
                <w14:textFill>
                  <w14:solidFill>
                    <w14:schemeClr w14:val="tx1"/>
                  </w14:solidFill>
                </w14:textFill>
              </w:rPr>
              <w:t>图</w:t>
            </w:r>
          </w:p>
          <w:p>
            <w:pPr>
              <w:autoSpaceDE w:val="0"/>
              <w:autoSpaceDN w:val="0"/>
              <w:spacing w:line="440" w:lineRule="exact"/>
              <w:ind w:firstLine="482" w:firstLineChars="200"/>
              <w:jc w:val="left"/>
              <w:rPr>
                <w:color w:val="000000" w:themeColor="text1"/>
                <w14:textFill>
                  <w14:solidFill>
                    <w14:schemeClr w14:val="tx1"/>
                  </w14:solidFill>
                </w14:textFill>
              </w:rPr>
            </w:pPr>
            <w:r>
              <w:rPr>
                <w:b/>
                <w:bCs/>
                <w:color w:val="000000" w:themeColor="text1"/>
                <w14:textFill>
                  <w14:solidFill>
                    <w14:schemeClr w14:val="tx1"/>
                  </w14:solidFill>
                </w14:textFill>
              </w:rPr>
              <w:t>絮凝沉淀工艺</w:t>
            </w:r>
            <w:r>
              <w:rPr>
                <w:color w:val="000000" w:themeColor="text1"/>
                <w14:textFill>
                  <w14:solidFill>
                    <w14:schemeClr w14:val="tx1"/>
                  </w14:solidFill>
                </w14:textFill>
              </w:rPr>
              <w:t>：加入的药剂包括无机盐混凝剂、助剂、高效脱色剂、高分子有机絮凝剂等，对钻井废水中的</w:t>
            </w:r>
            <w:r>
              <w:rPr>
                <w:rFonts w:hint="eastAsia"/>
                <w:color w:val="000000" w:themeColor="text1"/>
                <w14:textFill>
                  <w14:solidFill>
                    <w14:schemeClr w14:val="tx1"/>
                  </w14:solidFill>
                </w14:textFill>
              </w:rPr>
              <w:t>主要污染物SS、</w:t>
            </w:r>
            <w:r>
              <w:rPr>
                <w:color w:val="000000" w:themeColor="text1"/>
                <w14:textFill>
                  <w14:solidFill>
                    <w14:schemeClr w14:val="tx1"/>
                  </w14:solidFill>
                </w14:textFill>
              </w:rPr>
              <w:t>COD、BOD</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、石油类</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进行混凝沉降，结成絮凝体、矾花。待絮凝体</w:t>
            </w:r>
            <w:r>
              <w:rPr>
                <w:rFonts w:hint="eastAsia"/>
                <w:color w:val="000000" w:themeColor="text1"/>
                <w14:textFill>
                  <w14:solidFill>
                    <w14:schemeClr w14:val="tx1"/>
                  </w14:solidFill>
                </w14:textFill>
              </w:rPr>
              <w:t>达到</w:t>
            </w:r>
            <w:r>
              <w:rPr>
                <w:color w:val="000000" w:themeColor="text1"/>
                <w14:textFill>
                  <w14:solidFill>
                    <w14:schemeClr w14:val="tx1"/>
                  </w14:solidFill>
                </w14:textFill>
              </w:rPr>
              <w:t>一定体积后即在重力作用下脱离水相沉淀，进而从污水中析出凝聚状浓缩性污泥，实现泥水分离。</w:t>
            </w:r>
          </w:p>
          <w:p>
            <w:pPr>
              <w:pStyle w:val="52"/>
              <w:spacing w:line="440" w:lineRule="exact"/>
              <w:rPr>
                <w:b/>
                <w:bCs/>
                <w:color w:val="000000" w:themeColor="text1"/>
                <w:szCs w:val="20"/>
                <w14:textFill>
                  <w14:solidFill>
                    <w14:schemeClr w14:val="tx1"/>
                  </w14:solidFill>
                </w14:textFill>
              </w:rPr>
            </w:pPr>
            <w:r>
              <w:rPr>
                <w:color w:val="000000" w:themeColor="text1"/>
                <w:szCs w:val="20"/>
                <w14:textFill>
                  <w14:solidFill>
                    <w14:schemeClr w14:val="tx1"/>
                  </w14:solidFill>
                </w14:textFill>
              </w:rPr>
              <w:t>类比同类型废水预处理工艺，</w:t>
            </w:r>
            <w:r>
              <w:rPr>
                <w:rFonts w:hint="eastAsia"/>
                <w:color w:val="000000" w:themeColor="text1"/>
                <w:szCs w:val="20"/>
                <w14:textFill>
                  <w14:solidFill>
                    <w14:schemeClr w14:val="tx1"/>
                  </w14:solidFill>
                </w14:textFill>
              </w:rPr>
              <w:t>本项目</w:t>
            </w:r>
            <w:r>
              <w:rPr>
                <w:color w:val="000000" w:themeColor="text1"/>
                <w:szCs w:val="20"/>
                <w14:textFill>
                  <w14:solidFill>
                    <w14:schemeClr w14:val="tx1"/>
                  </w14:solidFill>
                </w14:textFill>
              </w:rPr>
              <w:t>废水预处理后水质与</w:t>
            </w:r>
            <w:r>
              <w:rPr>
                <w:rFonts w:hint="eastAsia"/>
                <w:color w:val="000000" w:themeColor="text1"/>
                <w:szCs w:val="20"/>
                <w14:textFill>
                  <w14:solidFill>
                    <w14:schemeClr w14:val="tx1"/>
                  </w14:solidFill>
                </w14:textFill>
              </w:rPr>
              <w:t>四川瑞利生物科技有限公司废水处置的</w:t>
            </w:r>
            <w:r>
              <w:rPr>
                <w:color w:val="000000" w:themeColor="text1"/>
                <w:szCs w:val="20"/>
                <w14:textFill>
                  <w14:solidFill>
                    <w14:schemeClr w14:val="tx1"/>
                  </w14:solidFill>
                </w14:textFill>
              </w:rPr>
              <w:t>接水水质对比表如下：</w:t>
            </w:r>
          </w:p>
          <w:p>
            <w:pPr>
              <w:pStyle w:val="52"/>
              <w:spacing w:line="440" w:lineRule="exact"/>
              <w:ind w:firstLine="482"/>
              <w:jc w:val="center"/>
              <w:rPr>
                <w:b/>
                <w:bCs/>
                <w:color w:val="000000" w:themeColor="text1"/>
                <w:szCs w:val="20"/>
                <w14:textFill>
                  <w14:solidFill>
                    <w14:schemeClr w14:val="tx1"/>
                  </w14:solidFill>
                </w14:textFill>
              </w:rPr>
            </w:pPr>
            <w:r>
              <w:rPr>
                <w:b/>
                <w:bCs/>
                <w:color w:val="000000" w:themeColor="text1"/>
                <w:szCs w:val="20"/>
                <w14:textFill>
                  <w14:solidFill>
                    <w14:schemeClr w14:val="tx1"/>
                  </w14:solidFill>
                </w14:textFill>
              </w:rPr>
              <w:t>表5</w:t>
            </w:r>
            <w:r>
              <w:rPr>
                <w:rFonts w:hint="eastAsia"/>
                <w:b/>
                <w:bCs/>
                <w:color w:val="000000" w:themeColor="text1"/>
                <w:szCs w:val="20"/>
                <w14:textFill>
                  <w14:solidFill>
                    <w14:schemeClr w14:val="tx1"/>
                  </w14:solidFill>
                </w14:textFill>
              </w:rPr>
              <w:t>.3</w:t>
            </w:r>
            <w:r>
              <w:rPr>
                <w:b/>
                <w:bCs/>
                <w:color w:val="000000" w:themeColor="text1"/>
                <w:szCs w:val="20"/>
                <w14:textFill>
                  <w14:solidFill>
                    <w14:schemeClr w14:val="tx1"/>
                  </w14:solidFill>
                </w14:textFill>
              </w:rPr>
              <w:t>-1   废水预处理后水质与污水处理厂</w:t>
            </w:r>
            <w:r>
              <w:rPr>
                <w:rFonts w:hint="eastAsia"/>
                <w:b/>
                <w:bCs/>
                <w:color w:val="000000" w:themeColor="text1"/>
                <w:szCs w:val="20"/>
                <w14:textFill>
                  <w14:solidFill>
                    <w14:schemeClr w14:val="tx1"/>
                  </w14:solidFill>
                </w14:textFill>
              </w:rPr>
              <w:t>进水</w:t>
            </w:r>
            <w:r>
              <w:rPr>
                <w:b/>
                <w:bCs/>
                <w:color w:val="000000" w:themeColor="text1"/>
                <w:szCs w:val="20"/>
                <w14:textFill>
                  <w14:solidFill>
                    <w14:schemeClr w14:val="tx1"/>
                  </w14:solidFill>
                </w14:textFill>
              </w:rPr>
              <w:t>水质对比表</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36"/>
              <w:gridCol w:w="2389"/>
              <w:gridCol w:w="1869"/>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接水指标</w:t>
                  </w:r>
                </w:p>
              </w:tc>
              <w:tc>
                <w:tcPr>
                  <w:tcW w:w="2389" w:type="dxa"/>
                  <w:vAlign w:val="center"/>
                </w:tcPr>
                <w:p>
                  <w:pPr>
                    <w:pStyle w:val="30"/>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四川瑞利生物科技有限公司废水处置</w:t>
                  </w:r>
                  <w:r>
                    <w:rPr>
                      <w:color w:val="000000" w:themeColor="text1"/>
                      <w14:textFill>
                        <w14:solidFill>
                          <w14:schemeClr w14:val="tx1"/>
                        </w14:solidFill>
                      </w14:textFill>
                    </w:rPr>
                    <w:t>进水水质要求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井场废水处理后浓度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1568"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238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≤5000</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4000</w:t>
                  </w:r>
                </w:p>
              </w:tc>
              <w:tc>
                <w:tcPr>
                  <w:tcW w:w="1568"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可满足四川瑞利生物科技有限公司</w:t>
                  </w:r>
                  <w:r>
                    <w:rPr>
                      <w:rFonts w:hint="eastAsia"/>
                      <w:color w:val="000000" w:themeColor="text1"/>
                      <w14:textFill>
                        <w14:solidFill>
                          <w14:schemeClr w14:val="tx1"/>
                        </w14:solidFill>
                      </w14:textFill>
                    </w:rPr>
                    <w:t>废水处理接纳要求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SS</w:t>
                  </w:r>
                </w:p>
              </w:tc>
              <w:tc>
                <w:tcPr>
                  <w:tcW w:w="238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00</w:t>
                  </w:r>
                </w:p>
              </w:tc>
              <w:tc>
                <w:tcPr>
                  <w:tcW w:w="156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pH</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238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156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36"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238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0</w:t>
                  </w:r>
                </w:p>
              </w:tc>
              <w:tc>
                <w:tcPr>
                  <w:tcW w:w="156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3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Cl</w:t>
                  </w:r>
                  <w:r>
                    <w:rPr>
                      <w:rFonts w:hint="eastAsia"/>
                      <w:color w:val="000000" w:themeColor="text1"/>
                      <w:vertAlign w:val="superscript"/>
                      <w14:textFill>
                        <w14:solidFill>
                          <w14:schemeClr w14:val="tx1"/>
                        </w14:solidFill>
                      </w14:textFill>
                    </w:rPr>
                    <w:t>-</w:t>
                  </w:r>
                </w:p>
              </w:tc>
              <w:tc>
                <w:tcPr>
                  <w:tcW w:w="238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20000</w:t>
                  </w:r>
                </w:p>
              </w:tc>
              <w:tc>
                <w:tcPr>
                  <w:tcW w:w="1869"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5341</w:t>
                  </w:r>
                </w:p>
              </w:tc>
              <w:tc>
                <w:tcPr>
                  <w:tcW w:w="1568" w:type="dxa"/>
                  <w:vMerge w:val="continue"/>
                  <w:vAlign w:val="center"/>
                </w:tcPr>
                <w:p>
                  <w:pPr>
                    <w:pStyle w:val="30"/>
                    <w:rPr>
                      <w:color w:val="000000" w:themeColor="text1"/>
                      <w14:textFill>
                        <w14:solidFill>
                          <w14:schemeClr w14:val="tx1"/>
                        </w14:solidFill>
                      </w14:textFill>
                    </w:rPr>
                  </w:pPr>
                </w:p>
              </w:tc>
            </w:tr>
          </w:tbl>
          <w:p>
            <w:pPr>
              <w:pStyle w:val="55"/>
              <w:spacing w:line="440" w:lineRule="exact"/>
              <w:ind w:firstLine="480"/>
              <w:rPr>
                <w:rFonts w:ascii="宋体" w:hAnsi="宋体" w:cs="宋体"/>
                <w:b w:val="0"/>
                <w:bCs w:val="0"/>
                <w:color w:val="000000" w:themeColor="text1"/>
                <w:szCs w:val="24"/>
                <w14:textFill>
                  <w14:solidFill>
                    <w14:schemeClr w14:val="tx1"/>
                  </w14:solidFill>
                </w14:textFill>
              </w:rPr>
            </w:pPr>
            <w:r>
              <w:rPr>
                <w:rFonts w:ascii="Times New Roman" w:hAnsi="Times New Roman"/>
                <w:b w:val="0"/>
                <w:bCs w:val="0"/>
                <w:color w:val="000000" w:themeColor="text1"/>
                <w14:textFill>
                  <w14:solidFill>
                    <w14:schemeClr w14:val="tx1"/>
                  </w14:solidFill>
                </w14:textFill>
              </w:rPr>
              <w:t>据上述分析，</w:t>
            </w:r>
            <w:r>
              <w:rPr>
                <w:rFonts w:hint="eastAsia" w:ascii="Times New Roman" w:hAnsi="Times New Roman"/>
                <w:b w:val="0"/>
                <w:bCs w:val="0"/>
                <w:color w:val="000000" w:themeColor="text1"/>
                <w14:textFill>
                  <w14:solidFill>
                    <w14:schemeClr w14:val="tx1"/>
                  </w14:solidFill>
                </w14:textFill>
              </w:rPr>
              <w:t>本项目</w:t>
            </w:r>
            <w:r>
              <w:rPr>
                <w:rFonts w:ascii="Times New Roman" w:hAnsi="Times New Roman"/>
                <w:b w:val="0"/>
                <w:bCs w:val="0"/>
                <w:color w:val="000000" w:themeColor="text1"/>
                <w14:textFill>
                  <w14:solidFill>
                    <w14:schemeClr w14:val="tx1"/>
                  </w14:solidFill>
                </w14:textFill>
              </w:rPr>
              <w:t>废水经预处理后满足四川瑞利生物科技有限公司</w:t>
            </w:r>
            <w:r>
              <w:rPr>
                <w:rFonts w:hint="eastAsia" w:ascii="Times New Roman" w:hAnsi="Times New Roman"/>
                <w:b w:val="0"/>
                <w:bCs w:val="0"/>
                <w:color w:val="000000" w:themeColor="text1"/>
                <w14:textFill>
                  <w14:solidFill>
                    <w14:schemeClr w14:val="tx1"/>
                  </w14:solidFill>
                </w14:textFill>
              </w:rPr>
              <w:t>污水处理接水水质</w:t>
            </w:r>
            <w:r>
              <w:rPr>
                <w:rFonts w:ascii="Times New Roman" w:hAnsi="Times New Roman"/>
                <w:b w:val="0"/>
                <w:bCs w:val="0"/>
                <w:color w:val="000000" w:themeColor="text1"/>
                <w14:textFill>
                  <w14:solidFill>
                    <w14:schemeClr w14:val="tx1"/>
                  </w14:solidFill>
                </w14:textFill>
              </w:rPr>
              <w:t>要求，废水</w:t>
            </w:r>
            <w:r>
              <w:rPr>
                <w:rFonts w:hint="eastAsia" w:ascii="Times New Roman" w:hAnsi="Times New Roman"/>
                <w:b w:val="0"/>
                <w:bCs w:val="0"/>
                <w:color w:val="000000" w:themeColor="text1"/>
                <w14:textFill>
                  <w14:solidFill>
                    <w14:schemeClr w14:val="tx1"/>
                  </w14:solidFill>
                </w14:textFill>
              </w:rPr>
              <w:t>在井场内预处理后</w:t>
            </w:r>
            <w:r>
              <w:rPr>
                <w:rFonts w:ascii="Times New Roman" w:hAnsi="Times New Roman"/>
                <w:b w:val="0"/>
                <w:bCs w:val="0"/>
                <w:color w:val="000000" w:themeColor="text1"/>
                <w14:textFill>
                  <w14:solidFill>
                    <w14:schemeClr w14:val="tx1"/>
                  </w14:solidFill>
                </w14:textFill>
              </w:rPr>
              <w:t>罐车</w:t>
            </w:r>
            <w:r>
              <w:rPr>
                <w:rFonts w:hint="eastAsia" w:ascii="Times New Roman" w:hAnsi="Times New Roman"/>
                <w:b w:val="0"/>
                <w:bCs w:val="0"/>
                <w:color w:val="000000" w:themeColor="text1"/>
                <w14:textFill>
                  <w14:solidFill>
                    <w14:schemeClr w14:val="tx1"/>
                  </w14:solidFill>
                </w14:textFill>
              </w:rPr>
              <w:t>外</w:t>
            </w:r>
            <w:r>
              <w:rPr>
                <w:rFonts w:ascii="Times New Roman" w:hAnsi="Times New Roman"/>
                <w:b w:val="0"/>
                <w:bCs w:val="0"/>
                <w:color w:val="000000" w:themeColor="text1"/>
                <w14:textFill>
                  <w14:solidFill>
                    <w14:schemeClr w14:val="tx1"/>
                  </w14:solidFill>
                </w14:textFill>
              </w:rPr>
              <w:t>运至四川瑞利生物科技有限公司进行处理</w:t>
            </w:r>
            <w:r>
              <w:rPr>
                <w:rFonts w:hint="eastAsia" w:ascii="Times New Roman" w:hAnsi="Times New Roman"/>
                <w:b w:val="0"/>
                <w:bCs w:val="0"/>
                <w:color w:val="000000" w:themeColor="text1"/>
                <w14:textFill>
                  <w14:solidFill>
                    <w14:schemeClr w14:val="tx1"/>
                  </w14:solidFill>
                </w14:textFill>
              </w:rPr>
              <w:t>可行。</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通过上述措施后本项目做到</w:t>
            </w:r>
            <w:r>
              <w:rPr>
                <w:rFonts w:hint="eastAsia"/>
                <w:color w:val="000000" w:themeColor="text1"/>
                <w14:textFill>
                  <w14:solidFill>
                    <w14:schemeClr w14:val="tx1"/>
                  </w14:solidFill>
                </w14:textFill>
              </w:rPr>
              <w:t>作业废水</w:t>
            </w:r>
            <w:r>
              <w:rPr>
                <w:color w:val="000000" w:themeColor="text1"/>
                <w14:textFill>
                  <w14:solidFill>
                    <w14:schemeClr w14:val="tx1"/>
                  </w14:solidFill>
                </w14:textFill>
              </w:rPr>
              <w:t>不外排，</w:t>
            </w:r>
            <w:r>
              <w:rPr>
                <w:rFonts w:hint="eastAsia"/>
                <w:color w:val="000000" w:themeColor="text1"/>
                <w14:textFill>
                  <w14:solidFill>
                    <w14:schemeClr w14:val="tx1"/>
                  </w14:solidFill>
                </w14:textFill>
              </w:rPr>
              <w:t>作业废水</w:t>
            </w:r>
            <w:r>
              <w:rPr>
                <w:color w:val="000000" w:themeColor="text1"/>
                <w14:textFill>
                  <w14:solidFill>
                    <w14:schemeClr w14:val="tx1"/>
                  </w14:solidFill>
                </w14:textFill>
              </w:rPr>
              <w:t>处理措施从经济和环保角度分析是合理可行的。</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反馈建议：</w:t>
            </w:r>
            <w:r>
              <w:rPr>
                <w:rFonts w:hint="eastAsia"/>
                <w:color w:val="000000" w:themeColor="text1"/>
                <w14:textFill>
                  <w14:solidFill>
                    <w14:schemeClr w14:val="tx1"/>
                  </w14:solidFill>
                </w14:textFill>
              </w:rPr>
              <w:t>若建设单位后期调整委托处置计划，需调整钻井废水转运、处置单位，在进行委托之前应先确定被委托单位是否具备相应的处置资质、处置能力，同时要求被委托单位具备相应的合法的环保手续。在各项手续完善的前提下，方可进行委托。</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5.4地下水污染防治措施</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（1）源头控制</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项目井位选址避开了滑坡、地裂缝、暗河、溶洞、落水洞等复杂地质区，从源头上有效保护地下水环境。钻探过程中采取污染物“不落地”随钻处理系统，各污染物均妥善收集储存及处理处置。</w:t>
            </w:r>
          </w:p>
          <w:p>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导管段采用膨润土钻井液钻井，一开~四开段采用水基钻井液钻井</w:t>
            </w:r>
            <w:r>
              <w:rPr>
                <w:color w:val="000000" w:themeColor="text1"/>
                <w14:textFill>
                  <w14:solidFill>
                    <w14:schemeClr w14:val="tx1"/>
                  </w14:solidFill>
                </w14:textFill>
              </w:rPr>
              <w:t>，钻井现场全时段储备重泥浆和井下堵漏剂，随时做好堵漏准备，防止钻井泥浆流失进入地下水。且钻井全井段下套管保护，有效防止钻井液进入含水层，保护地下水环境。</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（2）分区防渗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本项目各建设工程单元可能泄漏污染物的地面进行防渗处理，可有效防治污染物渗入地下，并及时地将泄漏、渗漏的污染物收集并进行集中处理。本项目通过将加强井场防渗等级，避免污染物入渗，采取了分区防渗措施。根据工程各功能单元可能产生污染的地区，划分为重点污染防治区、一般污染防治区。重点防渗区为对地下水环境有污染的物料或污染物泄漏后，不能及时发现和处理的区域或部位：包括钻井基础区域、放喷池（含集液收集池）、柴油罐区、应急池、发电机房基础、危废暂存点、隔油池和岩屑暂存区等区域，防渗等效黏土防渗层Mb≧6.0m，K≤1×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cm/s。一般防渗区为除钻井井口区域以外的井场平台、泥浆循环系统等，防渗应满足等效黏土防渗层Mb≧1.5m，K≤1×10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cm/s；其他区域为非防渗区。</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参照《危险废物贮存污染控制标准》（GB 18597-2001）“危险废物的堆放基础必须防渗，防渗层为至少1米厚粘土层（渗透系数≤10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cm/s），或2毫米厚高密度聚乙烯，或至少2毫米厚的其它人工材料，渗透系数≤10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本工程应在危险废物产生、装卸及存储区域加强防渗措施，即在钻井基础区域（含井口）、泥浆设备场地（含泥浆循环系统）、油基岩屑收集罐区域及柴油罐区在已设计的砼防渗层之上刷两遍水泥基渗透结晶型防渗涂料，渗透系数≤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cm/s，可有效防止污染物入渗。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以上防渗措施均按相关要求和规定执行。池体建设完毕后，用清水进行试漏，在无渗漏的前提下方可投入使用。工程采取以上措施后，在一定程度上可以切断地下水的污染途径，措施有效可行</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本项目分区防渗情况见表5</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-1。</w:t>
            </w:r>
          </w:p>
          <w:p>
            <w:pPr>
              <w:pStyle w:val="26"/>
              <w:rPr>
                <w:color w:val="000000" w:themeColor="text1"/>
                <w14:textFill>
                  <w14:solidFill>
                    <w14:schemeClr w14:val="tx1"/>
                  </w14:solidFill>
                </w14:textFill>
              </w:rPr>
            </w:pPr>
            <w:r>
              <w:rPr>
                <w:color w:val="000000" w:themeColor="text1"/>
                <w14:textFill>
                  <w14:solidFill>
                    <w14:schemeClr w14:val="tx1"/>
                  </w14:solidFill>
                </w14:textFill>
              </w:rPr>
              <w:t>表5</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项目分区防渗划分及防渗措施要求一览表</w:t>
            </w:r>
          </w:p>
          <w:tbl>
            <w:tblPr>
              <w:tblStyle w:val="19"/>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693"/>
              <w:gridCol w:w="198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分区防渗</w:t>
                  </w: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装置、单元名称</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防渗区或部位</w:t>
                  </w:r>
                </w:p>
              </w:tc>
              <w:tc>
                <w:tcPr>
                  <w:tcW w:w="2418"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restart"/>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重点防渗区</w:t>
                  </w:r>
                </w:p>
              </w:tc>
              <w:tc>
                <w:tcPr>
                  <w:tcW w:w="2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井架基础区域</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地面</w:t>
                  </w:r>
                </w:p>
              </w:tc>
              <w:tc>
                <w:tcPr>
                  <w:tcW w:w="2418"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等效防渗性能应不低于黏土层6.0m厚、渗透系数为1.0×10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cm/s的防渗性能或参照GB18597执行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柴油罐区</w:t>
                  </w:r>
                </w:p>
              </w:tc>
              <w:tc>
                <w:tcPr>
                  <w:tcW w:w="1984" w:type="dxa"/>
                  <w:vMerge w:val="restart"/>
                  <w:vAlign w:val="center"/>
                </w:tcPr>
                <w:p>
                  <w:pPr>
                    <w:pStyle w:val="30"/>
                    <w:rPr>
                      <w:rFonts w:ascii="宋体" w:cs="宋体"/>
                      <w:color w:val="000000" w:themeColor="text1"/>
                      <w:kern w:val="0"/>
                      <w14:textFill>
                        <w14:solidFill>
                          <w14:schemeClr w14:val="tx1"/>
                        </w14:solidFill>
                      </w14:textFill>
                    </w:rPr>
                  </w:pPr>
                  <w:r>
                    <w:rPr>
                      <w:rFonts w:hint="eastAsia" w:ascii="宋体" w:cs="宋体"/>
                      <w:color w:val="000000" w:themeColor="text1"/>
                      <w:kern w:val="0"/>
                      <w14:textFill>
                        <w14:solidFill>
                          <w14:schemeClr w14:val="tx1"/>
                        </w14:solidFill>
                      </w14:textFill>
                    </w:rPr>
                    <w:t>装置区的地面、围堰四周及底部</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发电</w:t>
                  </w:r>
                  <w:r>
                    <w:rPr>
                      <w:color w:val="000000" w:themeColor="text1"/>
                      <w14:textFill>
                        <w14:solidFill>
                          <w14:schemeClr w14:val="tx1"/>
                        </w14:solidFill>
                      </w14:textFill>
                    </w:rPr>
                    <w:t>机房基础</w:t>
                  </w:r>
                </w:p>
              </w:tc>
              <w:tc>
                <w:tcPr>
                  <w:tcW w:w="1984" w:type="dxa"/>
                  <w:vMerge w:val="continue"/>
                  <w:vAlign w:val="center"/>
                </w:tcPr>
                <w:p>
                  <w:pPr>
                    <w:pStyle w:val="30"/>
                    <w:rPr>
                      <w:rFonts w:ascii="宋体" w:cs="宋体"/>
                      <w:color w:val="000000" w:themeColor="text1"/>
                      <w:kern w:val="0"/>
                      <w14:textFill>
                        <w14:solidFill>
                          <w14:schemeClr w14:val="tx1"/>
                        </w14:solidFill>
                      </w14:textFill>
                    </w:rPr>
                  </w:pP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后期临时储酸罐区</w:t>
                  </w:r>
                </w:p>
              </w:tc>
              <w:tc>
                <w:tcPr>
                  <w:tcW w:w="1984" w:type="dxa"/>
                  <w:vMerge w:val="continue"/>
                  <w:vAlign w:val="center"/>
                </w:tcPr>
                <w:p>
                  <w:pPr>
                    <w:pStyle w:val="30"/>
                    <w:rPr>
                      <w:rFonts w:ascii="宋体" w:cs="宋体"/>
                      <w:color w:val="000000" w:themeColor="text1"/>
                      <w:kern w:val="0"/>
                      <w14:textFill>
                        <w14:solidFill>
                          <w14:schemeClr w14:val="tx1"/>
                        </w14:solidFill>
                      </w14:textFill>
                    </w:rPr>
                  </w:pP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方井集水坑、基础区集水坑</w:t>
                  </w:r>
                </w:p>
              </w:tc>
              <w:tc>
                <w:tcPr>
                  <w:tcW w:w="1984" w:type="dxa"/>
                  <w:vAlign w:val="center"/>
                </w:tcPr>
                <w:p>
                  <w:pPr>
                    <w:pStyle w:val="30"/>
                    <w:rPr>
                      <w:rFonts w:ascii="宋体" w:cs="宋体"/>
                      <w:color w:val="000000" w:themeColor="text1"/>
                      <w:kern w:val="0"/>
                      <w14:textFill>
                        <w14:solidFill>
                          <w14:schemeClr w14:val="tx1"/>
                        </w14:solidFill>
                      </w14:textFill>
                    </w:rPr>
                  </w:pPr>
                  <w:r>
                    <w:rPr>
                      <w:rFonts w:hint="eastAsia" w:ascii="宋体" w:cs="宋体"/>
                      <w:color w:val="000000" w:themeColor="text1"/>
                      <w:kern w:val="0"/>
                      <w14:textFill>
                        <w14:solidFill>
                          <w14:schemeClr w14:val="tx1"/>
                        </w14:solidFill>
                      </w14:textFill>
                    </w:rPr>
                    <w:t>池底及池壁</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隔油池</w:t>
                  </w:r>
                </w:p>
              </w:tc>
              <w:tc>
                <w:tcPr>
                  <w:tcW w:w="1984"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池底及池壁</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应急</w:t>
                  </w:r>
                  <w:r>
                    <w:rPr>
                      <w:color w:val="000000" w:themeColor="text1"/>
                      <w14:textFill>
                        <w14:solidFill>
                          <w14:schemeClr w14:val="tx1"/>
                        </w14:solidFill>
                      </w14:textFill>
                    </w:rPr>
                    <w:t>池</w:t>
                  </w:r>
                </w:p>
              </w:tc>
              <w:tc>
                <w:tcPr>
                  <w:tcW w:w="1984"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池底及池壁</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岩屑堆放区</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地面</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燃烧</w:t>
                  </w:r>
                  <w:r>
                    <w:rPr>
                      <w:color w:val="000000" w:themeColor="text1"/>
                      <w14:textFill>
                        <w14:solidFill>
                          <w14:schemeClr w14:val="tx1"/>
                        </w14:solidFill>
                      </w14:textFill>
                    </w:rPr>
                    <w:t>池</w:t>
                  </w:r>
                  <w:r>
                    <w:rPr>
                      <w:rFonts w:hint="eastAsia"/>
                      <w:color w:val="000000" w:themeColor="text1"/>
                      <w14:textFill>
                        <w14:solidFill>
                          <w14:schemeClr w14:val="tx1"/>
                        </w14:solidFill>
                      </w14:textFill>
                    </w:rPr>
                    <w:t>、排酸沟、集酸池</w:t>
                  </w:r>
                </w:p>
              </w:tc>
              <w:tc>
                <w:tcPr>
                  <w:tcW w:w="1984"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池底及池壁</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一般防渗区</w:t>
                  </w: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泥浆</w:t>
                  </w:r>
                  <w:r>
                    <w:rPr>
                      <w:color w:val="000000" w:themeColor="text1"/>
                      <w14:textFill>
                        <w14:solidFill>
                          <w14:schemeClr w14:val="tx1"/>
                        </w14:solidFill>
                      </w14:textFill>
                    </w:rPr>
                    <w:t>储备罐区</w:t>
                  </w:r>
                </w:p>
              </w:tc>
              <w:tc>
                <w:tcPr>
                  <w:tcW w:w="1984"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装置区的地面、围堰四周及底部</w:t>
                  </w:r>
                </w:p>
              </w:tc>
              <w:tc>
                <w:tcPr>
                  <w:tcW w:w="2418" w:type="dxa"/>
                  <w:vMerge w:val="restart"/>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等效防渗性能应不低于黏土层1.5m厚、渗透系数为1.0×10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color w:val="000000" w:themeColor="text1"/>
                      <w14:textFill>
                        <w14:solidFill>
                          <w14:schemeClr w14:val="tx1"/>
                        </w14:solidFill>
                      </w14:textFill>
                    </w:rPr>
                    <w:t>清洁生产操作平台</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地面，材料堆放棚除外</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泥浆循环系统</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地面</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井场平台区</w:t>
                  </w:r>
                </w:p>
              </w:tc>
              <w:tc>
                <w:tcPr>
                  <w:tcW w:w="1984"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除钻井井口区域外</w:t>
                  </w:r>
                </w:p>
              </w:tc>
              <w:tc>
                <w:tcPr>
                  <w:tcW w:w="2418" w:type="dxa"/>
                  <w:vMerge w:val="continue"/>
                  <w:vAlign w:val="center"/>
                </w:tcPr>
                <w:p>
                  <w:pPr>
                    <w:pStyle w:val="3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Merge w:val="continue"/>
                  <w:vAlign w:val="center"/>
                </w:tcPr>
                <w:p>
                  <w:pPr>
                    <w:pStyle w:val="30"/>
                    <w:rPr>
                      <w:color w:val="000000" w:themeColor="text1"/>
                      <w14:textFill>
                        <w14:solidFill>
                          <w14:schemeClr w14:val="tx1"/>
                        </w14:solidFill>
                      </w14:textFill>
                    </w:rPr>
                  </w:pPr>
                </w:p>
              </w:tc>
              <w:tc>
                <w:tcPr>
                  <w:tcW w:w="2693"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厕所、旱厕、排水沟</w:t>
                  </w:r>
                </w:p>
              </w:tc>
              <w:tc>
                <w:tcPr>
                  <w:tcW w:w="1984" w:type="dxa"/>
                  <w:vAlign w:val="center"/>
                </w:tcPr>
                <w:p>
                  <w:pPr>
                    <w:pStyle w:val="30"/>
                    <w:rPr>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池底及池壁</w:t>
                  </w:r>
                </w:p>
              </w:tc>
              <w:tc>
                <w:tcPr>
                  <w:tcW w:w="2418" w:type="dxa"/>
                  <w:vMerge w:val="continue"/>
                  <w:vAlign w:val="center"/>
                </w:tcPr>
                <w:p>
                  <w:pPr>
                    <w:pStyle w:val="30"/>
                    <w:rPr>
                      <w:color w:val="000000" w:themeColor="text1"/>
                      <w14:textFill>
                        <w14:solidFill>
                          <w14:schemeClr w14:val="tx1"/>
                        </w14:solidFill>
                      </w14:textFill>
                    </w:rPr>
                  </w:pP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（3）钻井过程中井漏风险防范措施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一开导管段采用清水钻井，一开以下井段采用水基泥浆钻井，从钻井工艺上优化尽可能的减少井漏事故对当地地下水环境的影响，在钻遇地下溶洞等不良地质时，漏失仅引起地下水浊度等物理指标变化，且工程上会采取快速钻进快速下管的施工工艺，因此对地下水尤其是对地下水饮用水源或水井影响不大。同时本工程采用清水环保钻井液钻穿浅层可饮用含水层，井场与河坝水库之间有连续丘顶分水岭存在，</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尽管如此，还应该提出如下预防和应急措施：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项目在施工建设前应充分研究地质设计资料和钻井等，有必要时应采取钻探等方法进行调查分析，查明项目所在地的地下水分布情况、埋藏深度情况等，并在此基础上优化钻井施工工艺、泥浆体系等，对钻井过程中可能发生的泥浆漏失的情况，应有所预见，建议采用清水钻钻穿浅层可饮用含水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采用强钻方式快速钻穿漏失层达到固井层位，针对这种情况应选用合理泥浆密度，实现近平衡压力钻井，降低泥浆环空压耗，降低泥浆激动压力，从而降低井筒中泥浆动压力，减小泥浆漏失量。工程导管段利用清水泥浆迅速钻进，在套管的保护下能有效地保护浅层地下水。</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3）对钻井体系（清水、泥浆等）进行实时监控，并配备足够的堵漏材料，一旦发现井漏，立即采取堵漏措施，在压裂过程亦需监控压裂液的漏失情况，以防止压裂液的扩散污染。</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若发现地下水受到污染，立即告知村民，停止饮用地下水源，启动地下水紧急监测方案，并采取临时供水措施(配送桶装水等)以保障居民的饮水安全，并给受影响的农户另觅水源，直至污染影响消失，保证居民的正常生活。</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）应急响应</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应编制相应的应急方案，并将地下水风险纳入建设单位环境风险事故评估中，防止对周围地下水环境造成污染。同时要制定应急监测方案，密切关注污染动向，及时向协调领导小组通报监测结果，作为应急处理决策的直接支持。地下水污染事故发生后，迅速成立由建设单位及当地生态环境局牵头，公安、交通、消防、安全等部门参与的协调领导小组，启动应急预案，组织有关技术人员赴现场勘查、分析情况、开展监测，制定解决消除污染方案并予以落实。</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综上所述，上述地下水防治措施可有效保护项目所在地地下水环境，将环境影响控制在地下水环境可接受范围内，措施可行。</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声环境</w:t>
            </w:r>
            <w:r>
              <w:rPr>
                <w:color w:val="000000" w:themeColor="text1"/>
                <w14:textFill>
                  <w14:solidFill>
                    <w14:schemeClr w14:val="tx1"/>
                  </w14:solidFill>
                </w14:textFill>
              </w:rPr>
              <w:t>污染防治措施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.5.1钻前工程</w:t>
            </w:r>
          </w:p>
          <w:p>
            <w:pPr>
              <w:spacing w:line="44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钻前工程施工噪声主要为施工设备噪声，如挖掘机、推土机、运输汽车等突发性噪声，声源强度为80~100dB(A)。钻前施工期较短、施工机械设备使用较少，且仅白天施工，严禁夜间施工，拟采取的主要措施如下：</w:t>
            </w:r>
          </w:p>
          <w:p>
            <w:pPr>
              <w:ind w:firstLine="480" w:firstLineChars="200"/>
              <w:rPr>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t>运输设备等车辆沿固定路线</w:t>
            </w:r>
            <w:r>
              <w:rPr>
                <w:rFonts w:hint="eastAsia"/>
                <w:bCs/>
                <w:color w:val="000000" w:themeColor="text1"/>
                <w14:textFill>
                  <w14:solidFill>
                    <w14:schemeClr w14:val="tx1"/>
                  </w14:solidFill>
                </w14:textFill>
              </w:rPr>
              <w:t>行驶</w:t>
            </w:r>
            <w:r>
              <w:rPr>
                <w:bCs/>
                <w:color w:val="000000" w:themeColor="text1"/>
                <w14:textFill>
                  <w14:solidFill>
                    <w14:schemeClr w14:val="tx1"/>
                  </w14:solidFill>
                </w14:textFill>
              </w:rPr>
              <w:t>，尽量减少鸣笛</w:t>
            </w:r>
            <w:r>
              <w:rPr>
                <w:rFonts w:hint="eastAsia"/>
                <w:bCs/>
                <w:color w:val="000000" w:themeColor="text1"/>
                <w14:textFill>
                  <w14:solidFill>
                    <w14:schemeClr w14:val="tx1"/>
                  </w14:solidFill>
                </w14:textFill>
              </w:rPr>
              <w:t>；</w:t>
            </w:r>
          </w:p>
          <w:p>
            <w:pPr>
              <w:ind w:firstLine="480" w:firstLineChars="200"/>
              <w:rPr>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t>钻前工程建设时合理安排施工时间，在靠近民居点避免午休期间施工</w:t>
            </w:r>
            <w:r>
              <w:rPr>
                <w:rFonts w:hint="eastAsia"/>
                <w:bCs/>
                <w:color w:val="000000" w:themeColor="text1"/>
                <w14:textFill>
                  <w14:solidFill>
                    <w14:schemeClr w14:val="tx1"/>
                  </w14:solidFill>
                </w14:textFill>
              </w:rPr>
              <w:t>；</w:t>
            </w:r>
          </w:p>
          <w:p>
            <w:pPr>
              <w:ind w:firstLine="480" w:firstLineChars="200"/>
              <w:rPr>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t>加强施工设备的维护，合理布局施工设备的摆放位置，高噪声设备远离</w:t>
            </w:r>
            <w:r>
              <w:rPr>
                <w:rFonts w:hint="eastAsia"/>
                <w:bCs/>
                <w:color w:val="000000" w:themeColor="text1"/>
                <w14:textFill>
                  <w14:solidFill>
                    <w14:schemeClr w14:val="tx1"/>
                  </w14:solidFill>
                </w14:textFill>
              </w:rPr>
              <w:t>声环境保护目标</w:t>
            </w:r>
            <w:r>
              <w:rPr>
                <w:bCs/>
                <w:color w:val="000000" w:themeColor="text1"/>
                <w14:textFill>
                  <w14:solidFill>
                    <w14:schemeClr w14:val="tx1"/>
                  </w14:solidFill>
                </w14:textFill>
              </w:rPr>
              <w:t>布设</w:t>
            </w:r>
            <w:r>
              <w:rPr>
                <w:rFonts w:hint="eastAsia"/>
                <w:bCs/>
                <w:color w:val="000000" w:themeColor="text1"/>
                <w14:textFill>
                  <w14:solidFill>
                    <w14:schemeClr w14:val="tx1"/>
                  </w14:solidFill>
                </w14:textFill>
              </w:rPr>
              <w:t>；</w:t>
            </w:r>
          </w:p>
          <w:p>
            <w:pPr>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④施工前积极沟通取得当地居民的同意和谅解后施工。</w:t>
            </w:r>
          </w:p>
          <w:p>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由于项目钻前施工期较短，施工噪声影响是暂时的，不会造成长期环境影响，因此</w:t>
            </w:r>
            <w:r>
              <w:rPr>
                <w:rFonts w:hint="eastAsia"/>
                <w:bCs/>
                <w:color w:val="000000" w:themeColor="text1"/>
                <w14:textFill>
                  <w14:solidFill>
                    <w14:schemeClr w14:val="tx1"/>
                  </w14:solidFill>
                </w14:textFill>
              </w:rPr>
              <w:t>，钻前施工</w:t>
            </w:r>
            <w:r>
              <w:rPr>
                <w:bCs/>
                <w:color w:val="000000" w:themeColor="text1"/>
                <w14:textFill>
                  <w14:solidFill>
                    <w14:schemeClr w14:val="tx1"/>
                  </w14:solidFill>
                </w14:textFill>
              </w:rPr>
              <w:t>对当地声环境影响属可接受范围。</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.5.2钻</w:t>
            </w:r>
            <w:r>
              <w:rPr>
                <w:rFonts w:hint="eastAsia"/>
                <w:color w:val="000000" w:themeColor="text1"/>
                <w14:textFill>
                  <w14:solidFill>
                    <w14:schemeClr w14:val="tx1"/>
                  </w14:solidFill>
                </w14:textFill>
              </w:rPr>
              <w:t>井</w:t>
            </w:r>
            <w:r>
              <w:rPr>
                <w:color w:val="000000" w:themeColor="text1"/>
                <w14:textFill>
                  <w14:solidFill>
                    <w14:schemeClr w14:val="tx1"/>
                  </w14:solidFill>
                </w14:textFill>
              </w:rPr>
              <w:t>工程</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钻井工程噪声是在钻井作业期间和测试放喷期间产生的，虽然钻井周期短，并且只在作业时产生，但对居民的影响是客观存在的，故本环评建议建设单位采取以下措施：</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①尽量选取同等功率的低噪声设备，井场内的高噪设备远离农户布置，施工方在施工期间应加强施工管理，泥浆泵、振动筛、电动化机组等采用弹性垫料；</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②在钻井过程中平稳操作，避免产生非正常的噪声；</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③项目采用电网供电，使用柴油机作为备用电源，柴油机和发电机自带铁皮设备机房，发电机安装隔振垫，排气筒加消声罩等隔音降噪措施；</w:t>
            </w:r>
          </w:p>
          <w:p>
            <w:pPr>
              <w:spacing w:line="44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④施工方在钻井工作期间对噪声影响超标的农户通过临时租用房屋、临时撤离等方式减轻噪声影响，同时加强沟通协调或通过经济补偿等方式取得居民谅解，避免环保纠纷及环保投诉。</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测试放喷时产生的气流噪声通过放喷池的三面墙阻隔可起到一定的降噪作用。在测试放喷前，通知井场周边居民，在测试放喷期间对放喷口附近居民实施临时撤离，并对距放喷池300m范围内的居民进行临时警戒，严禁居民靠近，并且测试放喷时间较短。因此，测试放喷噪声对周围居民影响较小。事故放喷时，本工程将采用将气体通过放喷管线引至放喷池内点火，通过放喷池的屏蔽作用，有效减轻了放喷噪声和热辐射的影响。</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以上措施，拟建项目钻井工程噪声对区域声环境的影响是可以接受的。同时由于钻井噪声属于施工噪声，钻井时间较短，随着钻井工程的结束，本项目对周边环境造成的影响也会随之消失。施工周期短，不涉及房屋拆迁安置。施工噪声对周边居民点处声环境的影响是可以接受的。</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固体废物</w:t>
            </w:r>
            <w:r>
              <w:rPr>
                <w:color w:val="000000" w:themeColor="text1"/>
                <w14:textFill>
                  <w14:solidFill>
                    <w14:schemeClr w14:val="tx1"/>
                  </w14:solidFill>
                </w14:textFill>
              </w:rPr>
              <w:t>污染防治措施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.6.1钻前工程</w:t>
            </w:r>
          </w:p>
          <w:p>
            <w:pPr>
              <w:ind w:firstLine="480" w:firstLineChars="200"/>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钻前工程施工人员产生的生活垃圾在井场内定点收集后，</w:t>
            </w:r>
            <w:r>
              <w:rPr>
                <w:rFonts w:hint="eastAsia"/>
                <w:color w:val="000000" w:themeColor="text1"/>
                <w14:textFill>
                  <w14:solidFill>
                    <w14:schemeClr w14:val="tx1"/>
                  </w14:solidFill>
                </w14:textFill>
              </w:rPr>
              <w:t>定期</w:t>
            </w:r>
            <w:r>
              <w:rPr>
                <w:color w:val="000000" w:themeColor="text1"/>
                <w14:textFill>
                  <w14:solidFill>
                    <w14:schemeClr w14:val="tx1"/>
                  </w14:solidFill>
                </w14:textFill>
              </w:rPr>
              <w:t>外运</w:t>
            </w:r>
            <w:r>
              <w:rPr>
                <w:rFonts w:hint="eastAsia"/>
                <w:color w:val="000000" w:themeColor="text1"/>
                <w14:textFill>
                  <w14:solidFill>
                    <w14:schemeClr w14:val="tx1"/>
                  </w14:solidFill>
                </w14:textFill>
              </w:rPr>
              <w:t>当地乡镇环卫部门统一清运处置。</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.6.2钻</w:t>
            </w:r>
            <w:r>
              <w:rPr>
                <w:rFonts w:hint="eastAsia"/>
                <w:color w:val="000000" w:themeColor="text1"/>
                <w14:textFill>
                  <w14:solidFill>
                    <w14:schemeClr w14:val="tx1"/>
                  </w14:solidFill>
                </w14:textFill>
              </w:rPr>
              <w:t>井</w:t>
            </w:r>
            <w:r>
              <w:rPr>
                <w:color w:val="000000" w:themeColor="text1"/>
                <w14:textFill>
                  <w14:solidFill>
                    <w14:schemeClr w14:val="tx1"/>
                  </w14:solidFill>
                </w14:textFill>
              </w:rPr>
              <w:t>工程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产生的固体废物主要包括一般工业固废、危险废物和生活垃圾，其中一般工业固废包括废弃水基钻井岩屑及泥浆和废水罐污泥、废包装材料、废弃设备零件；危险废物包括废油、废弃的含油抹布及劳保用品；生活垃圾为钻井人员产生的垃圾。</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（1）一般工业固体废物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①废弃水基钻井岩屑、泥浆及污泥</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防治措施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钻井期间一般工业固体废物主要包括废弃水基钻井岩屑、废弃水基钻井泥浆和废水罐污泥，废弃水基钻井岩屑及泥浆由“不落地”工艺处理后（振动冲洗分离），与废水罐污泥在清洁生产操作平台内岩屑堆放区暂存后一并定期外运泸县秀水冠柱建材厂或其他有资质单位进行资源化利用，制烧结砖。</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查阅资料，四川蜀渝石油建筑安装工程有限责任公司通过大量室内试验及现场试验，分析测定其成分，利用其专利技术（专利号：ZL200610021077.2）对四川地区废弃的水基钻井岩屑及泥浆固化体加入一定量无毒的激活剂后，利用装载机进行多次的均匀搅拌反应，每次搅拌时间不少于45min，保证激活反应时间。固化体的化学成分和烧失量满足烧结砖原料成分要求， 可以作为烧结砖的生产原料。其化学成分分析结果见下表。</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表5.6-1   废弃固化物样品激活处理后的化学成分检测数据表</w:t>
            </w:r>
          </w:p>
          <w:tbl>
            <w:tblPr>
              <w:tblStyle w:val="18"/>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4"/>
              <w:gridCol w:w="967"/>
              <w:gridCol w:w="770"/>
              <w:gridCol w:w="821"/>
              <w:gridCol w:w="811"/>
              <w:gridCol w:w="744"/>
              <w:gridCol w:w="748"/>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分析项目样品名称</w:t>
                  </w:r>
                </w:p>
              </w:tc>
              <w:tc>
                <w:tcPr>
                  <w:tcW w:w="967"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烧失量%</w:t>
                  </w:r>
                </w:p>
              </w:tc>
              <w:tc>
                <w:tcPr>
                  <w:tcW w:w="770"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
                      <w:szCs w:val="21"/>
                      <w14:textFill>
                        <w14:solidFill>
                          <w14:schemeClr w14:val="tx1"/>
                        </w14:solidFill>
                      </w14:textFill>
                    </w:rPr>
                    <w:t>SiO</w:t>
                  </w:r>
                  <w:r>
                    <w:rPr>
                      <w:rFonts w:ascii="Times New Roman" w:hAnsi="Times New Roman" w:cs="Times New Roman"/>
                      <w:color w:val="000000" w:themeColor="text1"/>
                      <w:position w:val="2"/>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p>
              </w:tc>
              <w:tc>
                <w:tcPr>
                  <w:tcW w:w="82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
                      <w:szCs w:val="21"/>
                      <w14:textFill>
                        <w14:solidFill>
                          <w14:schemeClr w14:val="tx1"/>
                        </w14:solidFill>
                      </w14:textFill>
                    </w:rPr>
                    <w:t>Fe</w:t>
                  </w:r>
                  <w:r>
                    <w:rPr>
                      <w:rFonts w:ascii="Times New Roman" w:hAnsi="Times New Roman" w:cs="Times New Roman"/>
                      <w:color w:val="000000" w:themeColor="text1"/>
                      <w:position w:val="2"/>
                      <w:szCs w:val="21"/>
                      <w:vertAlign w:val="subscript"/>
                      <w14:textFill>
                        <w14:solidFill>
                          <w14:schemeClr w14:val="tx1"/>
                        </w14:solidFill>
                      </w14:textFill>
                    </w:rPr>
                    <w:t>2</w:t>
                  </w:r>
                  <w:r>
                    <w:rPr>
                      <w:rFonts w:ascii="Times New Roman" w:hAnsi="Times New Roman" w:cs="Times New Roman"/>
                      <w:color w:val="000000" w:themeColor="text1"/>
                      <w:position w:val="2"/>
                      <w:szCs w:val="21"/>
                      <w14:textFill>
                        <w14:solidFill>
                          <w14:schemeClr w14:val="tx1"/>
                        </w14:solidFill>
                      </w14:textFill>
                    </w:rPr>
                    <w:t>O</w:t>
                  </w:r>
                  <w:r>
                    <w:rPr>
                      <w:rFonts w:ascii="Times New Roman" w:hAnsi="Times New Roman" w:cs="Times New Roman"/>
                      <w:color w:val="000000" w:themeColor="text1"/>
                      <w:position w:val="2"/>
                      <w:szCs w:val="21"/>
                      <w:vertAlign w:val="subscript"/>
                      <w14:textFill>
                        <w14:solidFill>
                          <w14:schemeClr w14:val="tx1"/>
                        </w14:solidFill>
                      </w14:textFill>
                    </w:rPr>
                    <w:t>3</w:t>
                  </w:r>
                  <w:r>
                    <w:rPr>
                      <w:rFonts w:ascii="Times New Roman" w:hAnsi="Times New Roman" w:cs="Times New Roman"/>
                      <w:color w:val="000000" w:themeColor="text1"/>
                      <w:position w:val="2"/>
                      <w:szCs w:val="21"/>
                      <w14:textFill>
                        <w14:solidFill>
                          <w14:schemeClr w14:val="tx1"/>
                        </w14:solidFill>
                      </w14:textFill>
                    </w:rPr>
                    <w:t xml:space="preserve"> %</w:t>
                  </w:r>
                </w:p>
              </w:tc>
              <w:tc>
                <w:tcPr>
                  <w:tcW w:w="81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
                      <w:szCs w:val="21"/>
                      <w14:textFill>
                        <w14:solidFill>
                          <w14:schemeClr w14:val="tx1"/>
                        </w14:solidFill>
                      </w14:textFill>
                    </w:rPr>
                    <w:t>Al</w:t>
                  </w:r>
                  <w:r>
                    <w:rPr>
                      <w:rFonts w:ascii="Times New Roman" w:hAnsi="Times New Roman" w:cs="Times New Roman"/>
                      <w:color w:val="000000" w:themeColor="text1"/>
                      <w:position w:val="2"/>
                      <w:szCs w:val="21"/>
                      <w:vertAlign w:val="subscript"/>
                      <w14:textFill>
                        <w14:solidFill>
                          <w14:schemeClr w14:val="tx1"/>
                        </w14:solidFill>
                      </w14:textFill>
                    </w:rPr>
                    <w:t>2</w:t>
                  </w:r>
                  <w:r>
                    <w:rPr>
                      <w:rFonts w:ascii="Times New Roman" w:hAnsi="Times New Roman" w:cs="Times New Roman"/>
                      <w:color w:val="000000" w:themeColor="text1"/>
                      <w:position w:val="2"/>
                      <w:szCs w:val="21"/>
                      <w14:textFill>
                        <w14:solidFill>
                          <w14:schemeClr w14:val="tx1"/>
                        </w14:solidFill>
                      </w14:textFill>
                    </w:rPr>
                    <w:t>O</w:t>
                  </w:r>
                  <w:r>
                    <w:rPr>
                      <w:rFonts w:ascii="Times New Roman" w:hAnsi="Times New Roman" w:cs="Times New Roman"/>
                      <w:color w:val="000000" w:themeColor="text1"/>
                      <w:position w:val="2"/>
                      <w:szCs w:val="21"/>
                      <w:vertAlign w:val="subscript"/>
                      <w14:textFill>
                        <w14:solidFill>
                          <w14:schemeClr w14:val="tx1"/>
                        </w14:solidFill>
                      </w14:textFill>
                    </w:rPr>
                    <w:t>3</w:t>
                  </w:r>
                  <w:r>
                    <w:rPr>
                      <w:rFonts w:ascii="Times New Roman" w:hAnsi="Times New Roman" w:cs="Times New Roman"/>
                      <w:color w:val="000000" w:themeColor="text1"/>
                      <w:position w:val="2"/>
                      <w:szCs w:val="21"/>
                      <w14:textFill>
                        <w14:solidFill>
                          <w14:schemeClr w14:val="tx1"/>
                        </w14:solidFill>
                      </w14:textFill>
                    </w:rPr>
                    <w:t xml:space="preserve"> %</w:t>
                  </w:r>
                </w:p>
              </w:tc>
              <w:tc>
                <w:tcPr>
                  <w:tcW w:w="7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position w:val="2"/>
                      <w:szCs w:val="21"/>
                      <w14:textFill>
                        <w14:solidFill>
                          <w14:schemeClr w14:val="tx1"/>
                        </w14:solidFill>
                      </w14:textFill>
                    </w:rPr>
                    <w:t>TiO</w:t>
                  </w:r>
                  <w:r>
                    <w:rPr>
                      <w:rFonts w:ascii="Times New Roman" w:hAnsi="Times New Roman" w:cs="Times New Roman"/>
                      <w:color w:val="000000" w:themeColor="text1"/>
                      <w:position w:val="2"/>
                      <w:szCs w:val="21"/>
                      <w:vertAlign w:val="subscript"/>
                      <w14:textFill>
                        <w14:solidFill>
                          <w14:schemeClr w14:val="tx1"/>
                        </w14:solidFill>
                      </w14:textFill>
                    </w:rPr>
                    <w:t>2</w:t>
                  </w:r>
                  <w:r>
                    <w:rPr>
                      <w:rFonts w:ascii="Times New Roman" w:hAnsi="Times New Roman" w:cs="Times New Roman"/>
                      <w:color w:val="000000" w:themeColor="text1"/>
                      <w:position w:val="2"/>
                      <w:szCs w:val="21"/>
                      <w14:textFill>
                        <w14:solidFill>
                          <w14:schemeClr w14:val="tx1"/>
                        </w14:solidFill>
                      </w14:textFill>
                    </w:rPr>
                    <w:t xml:space="preserve"> %</w:t>
                  </w:r>
                </w:p>
              </w:tc>
              <w:tc>
                <w:tcPr>
                  <w:tcW w:w="748"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CaO %</w:t>
                  </w:r>
                </w:p>
              </w:tc>
              <w:tc>
                <w:tcPr>
                  <w:tcW w:w="789"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烧结砖原料成分要求</w:t>
                  </w:r>
                </w:p>
              </w:tc>
              <w:tc>
                <w:tcPr>
                  <w:tcW w:w="967"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3～15</w:t>
                  </w:r>
                </w:p>
              </w:tc>
              <w:tc>
                <w:tcPr>
                  <w:tcW w:w="770"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55～70</w:t>
                  </w:r>
                </w:p>
              </w:tc>
              <w:tc>
                <w:tcPr>
                  <w:tcW w:w="82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3～10</w:t>
                  </w:r>
                </w:p>
              </w:tc>
              <w:tc>
                <w:tcPr>
                  <w:tcW w:w="81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10～20</w:t>
                  </w:r>
                </w:p>
              </w:tc>
              <w:tc>
                <w:tcPr>
                  <w:tcW w:w="7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0～8</w:t>
                  </w:r>
                </w:p>
              </w:tc>
              <w:tc>
                <w:tcPr>
                  <w:tcW w:w="748"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0～10</w:t>
                  </w:r>
                </w:p>
              </w:tc>
              <w:tc>
                <w:tcPr>
                  <w:tcW w:w="789"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激活处理后的废弃固化物</w:t>
                  </w:r>
                </w:p>
              </w:tc>
              <w:tc>
                <w:tcPr>
                  <w:tcW w:w="967"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9.26</w:t>
                  </w:r>
                </w:p>
              </w:tc>
              <w:tc>
                <w:tcPr>
                  <w:tcW w:w="770"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65.35</w:t>
                  </w:r>
                </w:p>
              </w:tc>
              <w:tc>
                <w:tcPr>
                  <w:tcW w:w="82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8.22</w:t>
                  </w:r>
                </w:p>
              </w:tc>
              <w:tc>
                <w:tcPr>
                  <w:tcW w:w="811"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11.67</w:t>
                  </w:r>
                </w:p>
              </w:tc>
              <w:tc>
                <w:tcPr>
                  <w:tcW w:w="744"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7.48</w:t>
                  </w:r>
                </w:p>
              </w:tc>
              <w:tc>
                <w:tcPr>
                  <w:tcW w:w="748"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6.32</w:t>
                  </w:r>
                </w:p>
              </w:tc>
              <w:tc>
                <w:tcPr>
                  <w:tcW w:w="789" w:type="dxa"/>
                  <w:vAlign w:val="center"/>
                </w:tcPr>
                <w:p>
                  <w:pPr>
                    <w:pStyle w:val="45"/>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1.78</w:t>
                  </w:r>
                </w:p>
              </w:tc>
            </w:tr>
          </w:tbl>
          <w:p>
            <w:pPr>
              <w:pStyle w:val="52"/>
              <w:spacing w:line="440" w:lineRule="exact"/>
              <w:ind w:firstLine="482"/>
              <w:rPr>
                <w:bCs/>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制砖工艺</w:t>
            </w:r>
            <w:r>
              <w:rPr>
                <w:rFonts w:hint="eastAsia"/>
                <w:bCs/>
                <w:color w:val="000000" w:themeColor="text1"/>
                <w:szCs w:val="20"/>
                <w14:textFill>
                  <w14:solidFill>
                    <w14:schemeClr w14:val="tx1"/>
                  </w14:solidFill>
                </w14:textFill>
              </w:rPr>
              <w:t>：废弃水基</w:t>
            </w:r>
            <w:r>
              <w:rPr>
                <w:rFonts w:hint="eastAsia"/>
                <w:color w:val="000000" w:themeColor="text1"/>
                <w:szCs w:val="24"/>
                <w14:textFill>
                  <w14:solidFill>
                    <w14:schemeClr w14:val="tx1"/>
                  </w14:solidFill>
                </w14:textFill>
              </w:rPr>
              <w:t>钻井</w:t>
            </w:r>
            <w:r>
              <w:rPr>
                <w:rFonts w:hint="eastAsia"/>
                <w:bCs/>
                <w:color w:val="000000" w:themeColor="text1"/>
                <w:szCs w:val="20"/>
                <w14:textFill>
                  <w14:solidFill>
                    <w14:schemeClr w14:val="tx1"/>
                  </w14:solidFill>
                </w14:textFill>
              </w:rPr>
              <w:t>泥浆及岩屑固化体</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激活（加入激活剂）</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破碎</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搅拌</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挤压成型</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散胚</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干燥</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烧结</w:t>
            </w:r>
            <w:r>
              <w:rPr>
                <w:rFonts w:ascii="Arial" w:hAnsi="Arial" w:cs="Arial"/>
                <w:bCs/>
                <w:color w:val="000000" w:themeColor="text1"/>
                <w:szCs w:val="20"/>
                <w14:textFill>
                  <w14:solidFill>
                    <w14:schemeClr w14:val="tx1"/>
                  </w14:solidFill>
                </w14:textFill>
              </w:rPr>
              <w:t>→</w:t>
            </w:r>
            <w:r>
              <w:rPr>
                <w:rFonts w:hint="eastAsia" w:ascii="Arial" w:hAnsi="Arial" w:cs="Arial"/>
                <w:bCs/>
                <w:color w:val="000000" w:themeColor="text1"/>
                <w:szCs w:val="20"/>
                <w14:textFill>
                  <w14:solidFill>
                    <w14:schemeClr w14:val="tx1"/>
                  </w14:solidFill>
                </w14:textFill>
              </w:rPr>
              <w:t>成砖。</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内井场预处理后的水基岩屑及废水基泥浆转运至泸县秀水冠柱建材厂或其他有资质单位后，在分析其化学成分的基础上，加入一定量无毒的激活剂进行激活处理，用装载机将激活处理后的页岩和内燃煤混合均匀，混合物用皮带输送到双齿辊式破碎机和球磨机中进行破碎，破碎后的原料经皮带输送到练泥机中，加水进行搅拌、捏和、均匀后用皮带输送到螺旋挤压机中成型，生胚砖转运到干燥室进行干燥，干燥后的胚砖转运到砖窑中进行焙烧。砖烧结成品合格冷却至室温后出窑形成产品砖。</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调查了解，该工艺为传统熟悉的工艺，在使用废弃水基钻井岩屑及泥浆为原料进行生产时，采取的污染防治措施符合环保要求，未出现污染环境事故。因此，拟建项目钻井过程中产生的废弃水基钻井岩屑及泥浆在经井场内预处理后交由泸县秀水冠柱建材厂或其他具有相关环保手续的砖厂资源化利用，在工艺上是可行的，且符合《陆上石油天然气开采水基钻井废弃物处理处置及资源化利用技术规范》中固相资源化利用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清洁化操作工艺（清洁生产操作平台）、固体预处理收集、临时储存</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泥浆循环系统分离产生的废泥浆（失效泥浆）按照清洁化生产方案，通过清洁化生产方案配备的螺旋输送装置输送进收集罐，收集后叉车转运井场外清洁生产操作平台再次进行脱水处理，脱水产生的废水经清洁生产操作平台内的废水处理罐混凝沉淀处理后。下部沉淀污泥和脱水后的泥浆板框压滤机压实后，在岩屑堆放区临时储存。分离产生的岩屑由螺旋输送装置输送进岩屑收集罐暂存，岩屑堆放区临时储存。通过清洁生产操作平台，做到固体废物有效收集处理回用采用随钻不落地，有利于减轻对环境的影响。措施可行，纳入工程投资，技术经济可行。岩屑堆放区进行了防渗漏、防雨淋、防扬尘处置，符合一般工业固废贮存过程中的环境保护要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C.水基固废处置、转运责任单位简介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的资料（钻井废弃物处置利用合同），目前大庆油田有限责任公司勘探事业部委托珙县易洁环保科技有限公司（以下简称“珙县易洁公司”）对水基钻井废弃物进行转运、处置。珙县易洁公司与宜宾途安运输有限公司（以下简称“途安运输公司”）签订“运输合同”，由途安运输公司负责水基钻井废弃物的运输，同时与泸县秀水冠柱建材厂签订“合作协议”，由泸县秀水冠柱建材厂对水基钻井废弃物进行烧砖资源化利用。</w:t>
            </w:r>
          </w:p>
          <w:p>
            <w:pPr>
              <w:ind w:firstLine="48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转运单位：</w:t>
            </w:r>
            <w:r>
              <w:rPr>
                <w:rFonts w:hint="eastAsia"/>
                <w:color w:val="000000" w:themeColor="text1"/>
                <w14:textFill>
                  <w14:solidFill>
                    <w14:schemeClr w14:val="tx1"/>
                  </w14:solidFill>
                </w14:textFill>
              </w:rPr>
              <w:t>根据途安运输公司营业执照可知：普通货物道路运输；货物专用运输（自卸运输）；货物专用运输（搬家运输)﹔罐式运输；普通货车整车道路运输服务；罐车道路运输服务；货物专用运输（大件运输）；货物专用运输（冷藏保鲜）；货物专用运输（集装箱）；普通货物仓储服务（不含危化品）﹔货物运输代理；为建筑工程、市政设施及大型机械设备等提供的专业装卸、起重活动；地质勘查技术服务；石油和天然气开采专业及辅助性活动；天然气地质勘查服务等。具备运输水基钻井废弃物的资质。</w:t>
            </w:r>
          </w:p>
          <w:p>
            <w:pPr>
              <w:ind w:firstLine="48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处置单位：</w:t>
            </w:r>
            <w:r>
              <w:rPr>
                <w:rFonts w:hint="eastAsia"/>
                <w:color w:val="000000" w:themeColor="text1"/>
                <w14:textFill>
                  <w14:solidFill>
                    <w14:schemeClr w14:val="tx1"/>
                  </w14:solidFill>
                </w14:textFill>
              </w:rPr>
              <w:t>泸县秀水冠柱建材厂（有资质的砖厂），有完善的环保手续（环评批准书--泸市环泸县建函〔2022〕19号），并取得排污许可证（证书编码91510521584224859J001V），具备处置水基钻井废弃物的资质。</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反馈建议：</w:t>
            </w:r>
            <w:r>
              <w:rPr>
                <w:rFonts w:hint="eastAsia"/>
                <w:color w:val="000000" w:themeColor="text1"/>
                <w14:textFill>
                  <w14:solidFill>
                    <w14:schemeClr w14:val="tx1"/>
                  </w14:solidFill>
                </w14:textFill>
              </w:rPr>
              <w:t>若建设单位后期调整委托处置计划，需调整水基固废处置和转运责任单位，在进行委托之前应先确定被委托单位是否具备相应的处置资质、处置能力，同时要求被委托单位具备相应的合法的环保手续。在各项手续完善的前提下，方可进行委托。</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②废包装材料</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拟建项目原辅材料使用后产生少量的废包装材料，主要为塑料袋、尼龙包装袋，经收集后回用或外售废品回收站。</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③废弃设备零件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钻井期间，钻井设备故障时进行设备维修和更换零部件，更换下来不可再使用的废弃设备零部件，经收集后外售废品回收站。</w:t>
            </w:r>
          </w:p>
          <w:p>
            <w:pPr>
              <w:pStyle w:val="52"/>
              <w:spacing w:line="440" w:lineRule="exact"/>
              <w:ind w:firstLine="482"/>
              <w:rPr>
                <w:b/>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2）危险废物</w:t>
            </w:r>
          </w:p>
          <w:p>
            <w:pPr>
              <w:pStyle w:val="52"/>
              <w:spacing w:line="440" w:lineRule="exact"/>
              <w:rPr>
                <w:bCs/>
                <w:color w:val="000000" w:themeColor="text1"/>
                <w:szCs w:val="20"/>
                <w14:textFill>
                  <w14:solidFill>
                    <w14:schemeClr w14:val="tx1"/>
                  </w14:solidFill>
                </w14:textFill>
              </w:rPr>
            </w:pPr>
            <w:r>
              <w:rPr>
                <w:rFonts w:hint="eastAsia"/>
                <w:bCs/>
                <w:color w:val="000000" w:themeColor="text1"/>
                <w:szCs w:val="20"/>
                <w14:textFill>
                  <w14:solidFill>
                    <w14:schemeClr w14:val="tx1"/>
                  </w14:solidFill>
                </w14:textFill>
              </w:rPr>
              <w:t>①废油</w:t>
            </w:r>
          </w:p>
          <w:p>
            <w:pPr>
              <w:pStyle w:val="52"/>
              <w:spacing w:line="440" w:lineRule="exact"/>
              <w:rPr>
                <w:bCs/>
                <w:color w:val="000000" w:themeColor="text1"/>
                <w:szCs w:val="20"/>
                <w14:textFill>
                  <w14:solidFill>
                    <w14:schemeClr w14:val="tx1"/>
                  </w14:solidFill>
                </w14:textFill>
              </w:rPr>
            </w:pPr>
            <w:r>
              <w:rPr>
                <w:rFonts w:hint="eastAsia"/>
                <w:bCs/>
                <w:color w:val="000000" w:themeColor="text1"/>
                <w:szCs w:val="20"/>
                <w14:textFill>
                  <w14:solidFill>
                    <w14:schemeClr w14:val="tx1"/>
                  </w14:solidFill>
                </w14:textFill>
              </w:rPr>
              <w:t>钻井过程中危险废物主要为废油，其主要来源是：机械（泥浆泵、转盘、链条等）润滑废油；清洗、保养产生的废油，如更换柴油机、发电机零部件和清洗钻具、套管时产生的废油。本次钻井工程产生废油量约0.5t，用油桶集中收集暂存于危废暂存间，</w:t>
            </w:r>
            <w:r>
              <w:rPr>
                <w:rFonts w:hint="eastAsia"/>
                <w:color w:val="000000" w:themeColor="text1"/>
                <w14:textFill>
                  <w14:solidFill>
                    <w14:schemeClr w14:val="tx1"/>
                  </w14:solidFill>
                </w14:textFill>
              </w:rPr>
              <w:t>由建设单位</w:t>
            </w:r>
            <w:r>
              <w:rPr>
                <w:rFonts w:hint="eastAsia"/>
                <w:bCs/>
                <w:color w:val="000000" w:themeColor="text1"/>
                <w:szCs w:val="20"/>
                <w14:textFill>
                  <w14:solidFill>
                    <w14:schemeClr w14:val="tx1"/>
                  </w14:solidFill>
                </w14:textFill>
              </w:rPr>
              <w:t>委托有资质的危废处置单位清运处置。</w:t>
            </w:r>
          </w:p>
          <w:p>
            <w:pPr>
              <w:pStyle w:val="52"/>
              <w:spacing w:line="440" w:lineRule="exact"/>
              <w:rPr>
                <w:bCs/>
                <w:color w:val="000000" w:themeColor="text1"/>
                <w:szCs w:val="20"/>
                <w14:textFill>
                  <w14:solidFill>
                    <w14:schemeClr w14:val="tx1"/>
                  </w14:solidFill>
                </w14:textFill>
              </w:rPr>
            </w:pPr>
            <w:r>
              <w:rPr>
                <w:rFonts w:hint="eastAsia"/>
                <w:bCs/>
                <w:color w:val="000000" w:themeColor="text1"/>
                <w:szCs w:val="20"/>
                <w14:textFill>
                  <w14:solidFill>
                    <w14:schemeClr w14:val="tx1"/>
                  </w14:solidFill>
                </w14:textFill>
              </w:rPr>
              <w:t>②</w:t>
            </w:r>
            <w:r>
              <w:rPr>
                <w:rFonts w:hint="eastAsia"/>
                <w:bCs/>
                <w:color w:val="000000" w:themeColor="text1"/>
                <w14:textFill>
                  <w14:solidFill>
                    <w14:schemeClr w14:val="tx1"/>
                  </w14:solidFill>
                </w14:textFill>
              </w:rPr>
              <w:t>废弃的含油抹布及劳保用品</w:t>
            </w:r>
          </w:p>
          <w:p>
            <w:pPr>
              <w:pStyle w:val="52"/>
              <w:spacing w:line="440" w:lineRule="exact"/>
              <w:rPr>
                <w:bCs/>
                <w:color w:val="000000" w:themeColor="text1"/>
                <w:szCs w:val="20"/>
                <w14:textFill>
                  <w14:solidFill>
                    <w14:schemeClr w14:val="tx1"/>
                  </w14:solidFill>
                </w14:textFill>
              </w:rPr>
            </w:pPr>
            <w:r>
              <w:rPr>
                <w:rFonts w:hint="eastAsia"/>
                <w:color w:val="000000" w:themeColor="text1"/>
                <w14:textFill>
                  <w14:solidFill>
                    <w14:schemeClr w14:val="tx1"/>
                  </w14:solidFill>
                </w14:textFill>
              </w:rPr>
              <w:t>钻井期间，钻井设备维修时，应在地面设防渗漏托盘，维修全过程应在托盘内进行，避免漏油现象，设备维修过程中产生废弃的含油抹布及劳保用品，经桶装收集后暂存于危废暂存间内，由建设单位</w:t>
            </w:r>
            <w:r>
              <w:rPr>
                <w:color w:val="000000" w:themeColor="text1"/>
                <w14:textFill>
                  <w14:solidFill>
                    <w14:schemeClr w14:val="tx1"/>
                  </w14:solidFill>
                </w14:textFill>
              </w:rPr>
              <w:t>交由有资质的单位处置</w:t>
            </w:r>
            <w:r>
              <w:rPr>
                <w:rFonts w:hint="eastAsia"/>
                <w:bCs/>
                <w:color w:val="000000" w:themeColor="text1"/>
                <w:szCs w:val="20"/>
                <w14:textFill>
                  <w14:solidFill>
                    <w14:schemeClr w14:val="tx1"/>
                  </w14:solidFill>
                </w14:textFill>
              </w:rPr>
              <w:t>。</w:t>
            </w:r>
          </w:p>
          <w:p>
            <w:pPr>
              <w:pStyle w:val="52"/>
              <w:spacing w:line="440" w:lineRule="exact"/>
              <w:rPr>
                <w:bCs/>
                <w:color w:val="000000" w:themeColor="text1"/>
                <w:szCs w:val="20"/>
                <w14:textFill>
                  <w14:solidFill>
                    <w14:schemeClr w14:val="tx1"/>
                  </w14:solidFill>
                </w14:textFill>
              </w:rPr>
            </w:pPr>
            <w:r>
              <w:rPr>
                <w:rFonts w:hint="eastAsia"/>
                <w:bCs/>
                <w:color w:val="000000" w:themeColor="text1"/>
                <w:szCs w:val="20"/>
                <w14:textFill>
                  <w14:solidFill>
                    <w14:schemeClr w14:val="tx1"/>
                  </w14:solidFill>
                </w14:textFill>
              </w:rPr>
              <w:t>③危险废物暂存及管理措施</w:t>
            </w:r>
          </w:p>
          <w:p>
            <w:pPr>
              <w:ind w:firstLine="480" w:firstLineChars="200"/>
              <w:rPr>
                <w:color w:val="000000" w:themeColor="text1"/>
                <w14:textFill>
                  <w14:solidFill>
                    <w14:schemeClr w14:val="tx1"/>
                  </w14:solidFill>
                </w14:textFill>
              </w:rPr>
            </w:pPr>
            <w:r>
              <w:rPr>
                <w:rFonts w:hint="eastAsia"/>
                <w:bCs/>
                <w:color w:val="000000" w:themeColor="text1"/>
                <w:szCs w:val="20"/>
                <w14:textFill>
                  <w14:solidFill>
                    <w14:schemeClr w14:val="tx1"/>
                  </w14:solidFill>
                </w14:textFill>
              </w:rPr>
              <w:t>拟建项目在清洁生产操作平台内设1间5m</w:t>
            </w:r>
            <w:r>
              <w:rPr>
                <w:rFonts w:hint="eastAsia"/>
                <w:bCs/>
                <w:color w:val="000000" w:themeColor="text1"/>
                <w:szCs w:val="20"/>
                <w:vertAlign w:val="superscript"/>
                <w14:textFill>
                  <w14:solidFill>
                    <w14:schemeClr w14:val="tx1"/>
                  </w14:solidFill>
                </w14:textFill>
              </w:rPr>
              <w:t>2</w:t>
            </w:r>
            <w:r>
              <w:rPr>
                <w:rFonts w:hint="eastAsia"/>
                <w:bCs/>
                <w:color w:val="000000" w:themeColor="text1"/>
                <w:szCs w:val="20"/>
                <w14:textFill>
                  <w14:solidFill>
                    <w14:schemeClr w14:val="tx1"/>
                  </w14:solidFill>
                </w14:textFill>
              </w:rPr>
              <w:t>的危废暂存间，分类暂存废油和</w:t>
            </w:r>
            <w:r>
              <w:rPr>
                <w:rFonts w:hint="eastAsia"/>
                <w:color w:val="000000" w:themeColor="text1"/>
                <w14:textFill>
                  <w14:solidFill>
                    <w14:schemeClr w14:val="tx1"/>
                  </w14:solidFill>
                </w14:textFill>
              </w:rPr>
              <w:t>废弃的含油抹布及劳保用品，危废暂存间应满足“四防”（防风、防雨、防晒、防渗漏）要求，并设置警示标识。对危险废物的收集、贮存和运输应满足《危险废物收集、贮存、运输技术规范》（HJ2025-2012）、《危险废物贮存污染控制标准》（GB18597-2001）及其2</w:t>
            </w:r>
            <w:r>
              <w:rPr>
                <w:color w:val="000000" w:themeColor="text1"/>
                <w14:textFill>
                  <w14:solidFill>
                    <w14:schemeClr w14:val="tx1"/>
                  </w14:solidFill>
                </w14:textFill>
              </w:rPr>
              <w:t>013</w:t>
            </w:r>
            <w:r>
              <w:rPr>
                <w:rFonts w:hint="eastAsia"/>
                <w:color w:val="000000" w:themeColor="text1"/>
                <w14:textFill>
                  <w14:solidFill>
                    <w14:schemeClr w14:val="tx1"/>
                  </w14:solidFill>
                </w14:textFill>
              </w:rPr>
              <w:t>年修改单和《废矿物油回收利用污染控制技术规范》（HJ607-2011）的相关规定；完钻后危险废物委托有资质的单位清运处置，</w:t>
            </w:r>
            <w:r>
              <w:rPr>
                <w:rFonts w:hint="eastAsia"/>
                <w:bCs/>
                <w:color w:val="000000" w:themeColor="text1"/>
                <w:szCs w:val="20"/>
                <w14:textFill>
                  <w14:solidFill>
                    <w14:schemeClr w14:val="tx1"/>
                  </w14:solidFill>
                </w14:textFill>
              </w:rPr>
              <w:t>危险废物运输应由持有危险废物经营许可证的单位按照其许可证的经营范围组织实施，承担危险废物运输的单位应获得交通运输部门颁发的危险货物运输资质；</w:t>
            </w:r>
            <w:r>
              <w:rPr>
                <w:color w:val="000000" w:themeColor="text1"/>
                <w14:textFill>
                  <w14:solidFill>
                    <w14:schemeClr w14:val="tx1"/>
                  </w14:solidFill>
                </w14:textFill>
              </w:rPr>
              <w:t>危险废物转移执行《危险废物转移管理办法》（生态环境部</w:t>
            </w:r>
            <w:r>
              <w:rPr>
                <w:rFonts w:hint="eastAsia"/>
                <w:color w:val="000000" w:themeColor="text1"/>
                <w14:textFill>
                  <w14:solidFill>
                    <w14:schemeClr w14:val="tx1"/>
                  </w14:solidFill>
                </w14:textFill>
              </w:rPr>
              <w:t>、公安部、交通运输部 部</w:t>
            </w:r>
            <w:r>
              <w:rPr>
                <w:color w:val="000000" w:themeColor="text1"/>
                <w14:textFill>
                  <w14:solidFill>
                    <w14:schemeClr w14:val="tx1"/>
                  </w14:solidFill>
                </w14:textFill>
              </w:rPr>
              <w:t>令第23号）中相关要求</w:t>
            </w:r>
            <w:r>
              <w:rPr>
                <w:rFonts w:hint="eastAsia"/>
                <w:color w:val="000000" w:themeColor="text1"/>
                <w14:textFill>
                  <w14:solidFill>
                    <w14:schemeClr w14:val="tx1"/>
                  </w14:solidFill>
                </w14:textFill>
              </w:rPr>
              <w:t>。</w:t>
            </w:r>
          </w:p>
          <w:p>
            <w:pPr>
              <w:numPr>
                <w:ilvl w:val="0"/>
                <w:numId w:val="4"/>
              </w:num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危险废物的收集作业</w:t>
            </w:r>
          </w:p>
          <w:p>
            <w:pPr>
              <w:numPr>
                <w:ilvl w:val="0"/>
                <w:numId w:val="5"/>
              </w:num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应根据收集设备、转运车辆以及现场人员等实际情况确定相应作业区域，同时要设置作业界限标志和警示牌；</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作业区域内应设置危险废物收集专用通道和人员避险通道；</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危险废物进行登记，并将记录表作为危险废物管理的重要档案妥善保存；</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收集结束后应清理和恢复收集作业区域，确保作业区域环境整洁安全；</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e. 收集过危险废物的容器、设备、设施、场所及其它物品转作它用时，应消除污染，确保其使用安全。</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危险废物贮存</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危险废物贮存设施应配备通讯设备、照明设施和消防设施。</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贮存危险废物时应按危险废物的种类和特性进行分区贮存，每个贮存区域之间设置挡墙间隔，并应设置防雨、防火、防雷、防扬尘装置。</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危险废物转移运输</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a. 危险废物转移应按照《危险废物转移管理》（生态环境部 公安部 交通运输部 部令第23号）执行。</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b. 危险废物公路运输应按照《道路危险货物运输管理规定》（交通部令</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2005年</w:t>
            </w:r>
            <w:r>
              <w:rPr>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第9号）、JT617以及JT618执行。</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c. 运输单位承运危险废物时，应在危险废物包装上按照GB18597设置标志。</w:t>
            </w:r>
          </w:p>
          <w:p>
            <w:pPr>
              <w:spacing w:line="460" w:lineRule="atLeas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d. 危险废物公路运输时，运输车辆应按GB13392设置车辆标志。</w:t>
            </w:r>
          </w:p>
          <w:p>
            <w:pPr>
              <w:pStyle w:val="52"/>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④危废处置责任单位简介</w:t>
            </w:r>
          </w:p>
          <w:p>
            <w:pPr>
              <w:pStyle w:val="52"/>
              <w:spacing w:line="440" w:lineRule="exact"/>
              <w:rPr>
                <w:color w:val="000000" w:themeColor="text1"/>
                <w14:textFill>
                  <w14:solidFill>
                    <w14:schemeClr w14:val="tx1"/>
                  </w14:solidFill>
                </w14:textFill>
              </w:rPr>
            </w:pPr>
            <w:r>
              <w:rPr>
                <w:rFonts w:hint="eastAsia"/>
                <w:bCs/>
                <w:color w:val="000000" w:themeColor="text1"/>
                <w:szCs w:val="20"/>
                <w14:textFill>
                  <w14:solidFill>
                    <w14:schemeClr w14:val="tx1"/>
                  </w14:solidFill>
                </w14:textFill>
              </w:rPr>
              <w:t>危险废物（废油、</w:t>
            </w:r>
            <w:r>
              <w:rPr>
                <w:rFonts w:hint="eastAsia"/>
                <w:bCs/>
                <w:color w:val="000000" w:themeColor="text1"/>
                <w14:textFill>
                  <w14:solidFill>
                    <w14:schemeClr w14:val="tx1"/>
                  </w14:solidFill>
                </w14:textFill>
              </w:rPr>
              <w:t>废弃的含油抹布及劳保用品</w:t>
            </w:r>
            <w:r>
              <w:rPr>
                <w:rFonts w:hint="eastAsia"/>
                <w:bCs/>
                <w:color w:val="000000" w:themeColor="text1"/>
                <w:szCs w:val="20"/>
                <w14:textFill>
                  <w14:solidFill>
                    <w14:schemeClr w14:val="tx1"/>
                  </w14:solidFill>
                </w14:textFill>
              </w:rPr>
              <w:t>）意向处置单位为珙县华洁危险废物治理有限责任公司，该公司已取得“危险废物经营许可证”，具备危废收集、处置资质。评价建议建设单位应在开工前明确废弃水基</w:t>
            </w:r>
            <w:r>
              <w:rPr>
                <w:rFonts w:hint="eastAsia"/>
                <w:color w:val="000000" w:themeColor="text1"/>
                <w:szCs w:val="24"/>
                <w14:textFill>
                  <w14:solidFill>
                    <w14:schemeClr w14:val="tx1"/>
                  </w14:solidFill>
                </w14:textFill>
              </w:rPr>
              <w:t>钻井</w:t>
            </w:r>
            <w:r>
              <w:rPr>
                <w:rFonts w:hint="eastAsia"/>
                <w:bCs/>
                <w:color w:val="000000" w:themeColor="text1"/>
                <w:szCs w:val="20"/>
                <w14:textFill>
                  <w14:solidFill>
                    <w14:schemeClr w14:val="tx1"/>
                  </w14:solidFill>
                </w14:textFill>
              </w:rPr>
              <w:t>岩屑及泥浆和污泥、危险废物处置单位，并签订相关运转及处置协议，运输及处置单位均应具备运输及处置资质，且环保手续完善。</w:t>
            </w:r>
          </w:p>
          <w:p>
            <w:pPr>
              <w:pStyle w:val="52"/>
              <w:spacing w:line="440" w:lineRule="exact"/>
              <w:rPr>
                <w:color w:val="000000" w:themeColor="text1"/>
                <w14:textFill>
                  <w14:solidFill>
                    <w14:schemeClr w14:val="tx1"/>
                  </w14:solidFill>
                </w14:textFill>
              </w:rPr>
            </w:pPr>
            <w:r>
              <w:rPr>
                <w:rFonts w:hint="eastAsia"/>
                <w:bCs/>
                <w:color w:val="000000" w:themeColor="text1"/>
                <w:szCs w:val="20"/>
                <w14:textFill>
                  <w14:solidFill>
                    <w14:schemeClr w14:val="tx1"/>
                  </w14:solidFill>
                </w14:textFill>
              </w:rPr>
              <w:t>本项目后期实施过程中，建设单位应监督运输及管理单位按照相关要求进行转运和处置，并建立转运台账，做好相关信息记录</w:t>
            </w:r>
            <w:r>
              <w:rPr>
                <w:rFonts w:hint="eastAsia"/>
                <w:color w:val="000000" w:themeColor="text1"/>
                <w14:textFill>
                  <w14:solidFill>
                    <w14:schemeClr w14:val="tx1"/>
                  </w14:solidFill>
                </w14:textFill>
              </w:rPr>
              <w:t>。</w:t>
            </w:r>
          </w:p>
          <w:p>
            <w:pPr>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反馈建议：</w:t>
            </w:r>
            <w:r>
              <w:rPr>
                <w:rFonts w:hint="eastAsia"/>
                <w:color w:val="000000" w:themeColor="text1"/>
                <w14:textFill>
                  <w14:solidFill>
                    <w14:schemeClr w14:val="tx1"/>
                  </w14:solidFill>
                </w14:textFill>
              </w:rPr>
              <w:t>若建设单位后期调整委托处置计划，需调整危废转运、处置单位，在进行委托之前应先确定被委托单位是否具备相应的危废处置资质、处置能力，同时要求被委托单位具备相应的合法的环保手续。在各项手续完善的前提下，方可进行委托。</w:t>
            </w:r>
          </w:p>
          <w:p>
            <w:pPr>
              <w:pStyle w:val="52"/>
              <w:spacing w:line="440" w:lineRule="exact"/>
              <w:ind w:firstLine="482"/>
              <w:rPr>
                <w:b/>
                <w:color w:val="000000" w:themeColor="text1"/>
                <w:szCs w:val="20"/>
                <w14:textFill>
                  <w14:solidFill>
                    <w14:schemeClr w14:val="tx1"/>
                  </w14:solidFill>
                </w14:textFill>
              </w:rPr>
            </w:pPr>
            <w:r>
              <w:rPr>
                <w:rFonts w:hint="eastAsia"/>
                <w:b/>
                <w:color w:val="000000" w:themeColor="text1"/>
                <w:szCs w:val="20"/>
                <w14:textFill>
                  <w14:solidFill>
                    <w14:schemeClr w14:val="tx1"/>
                  </w14:solidFill>
                </w14:textFill>
              </w:rPr>
              <w:t>3）生活垃圾</w:t>
            </w:r>
          </w:p>
          <w:p>
            <w:pPr>
              <w:pStyle w:val="52"/>
              <w:spacing w:line="440" w:lineRule="exact"/>
              <w:rPr>
                <w:bCs/>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钻井工程施工人员产生的生活垃圾定点收集后，</w:t>
            </w:r>
            <w:r>
              <w:rPr>
                <w:rFonts w:hint="eastAsia"/>
                <w:color w:val="000000" w:themeColor="text1"/>
                <w14:textFill>
                  <w14:solidFill>
                    <w14:schemeClr w14:val="tx1"/>
                  </w14:solidFill>
                </w14:textFill>
              </w:rPr>
              <w:t>定期</w:t>
            </w:r>
            <w:r>
              <w:rPr>
                <w:color w:val="000000" w:themeColor="text1"/>
                <w14:textFill>
                  <w14:solidFill>
                    <w14:schemeClr w14:val="tx1"/>
                  </w14:solidFill>
                </w14:textFill>
              </w:rPr>
              <w:t>外运</w:t>
            </w:r>
            <w:r>
              <w:rPr>
                <w:rFonts w:hint="eastAsia"/>
                <w:color w:val="000000" w:themeColor="text1"/>
                <w14:textFill>
                  <w14:solidFill>
                    <w14:schemeClr w14:val="tx1"/>
                  </w14:solidFill>
                </w14:textFill>
              </w:rPr>
              <w:t>当地乡镇</w:t>
            </w:r>
            <w:r>
              <w:rPr>
                <w:color w:val="000000" w:themeColor="text1"/>
                <w14:textFill>
                  <w14:solidFill>
                    <w14:schemeClr w14:val="tx1"/>
                  </w14:solidFill>
                </w14:textFill>
              </w:rPr>
              <w:t>环卫</w:t>
            </w:r>
            <w:r>
              <w:rPr>
                <w:rFonts w:hint="eastAsia"/>
                <w:color w:val="000000" w:themeColor="text1"/>
                <w14:textFill>
                  <w14:solidFill>
                    <w14:schemeClr w14:val="tx1"/>
                  </w14:solidFill>
                </w14:textFill>
              </w:rPr>
              <w:t>部门</w:t>
            </w:r>
            <w:r>
              <w:rPr>
                <w:color w:val="000000" w:themeColor="text1"/>
                <w14:textFill>
                  <w14:solidFill>
                    <w14:schemeClr w14:val="tx1"/>
                  </w14:solidFill>
                </w14:textFill>
              </w:rPr>
              <w:t>集中收集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卫生填埋处置</w:t>
            </w:r>
            <w:r>
              <w:rPr>
                <w:rFonts w:hint="eastAsia"/>
                <w:color w:val="000000" w:themeColor="text1"/>
                <w:szCs w:val="20"/>
                <w14:textFill>
                  <w14:solidFill>
                    <w14:schemeClr w14:val="tx1"/>
                  </w14:solidFill>
                </w14:textFill>
              </w:rPr>
              <w:t>。</w:t>
            </w:r>
          </w:p>
          <w:p>
            <w:pPr>
              <w:pStyle w:val="52"/>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另外，若项目实施过程中废水、固废处置单位发生变化，应选择环保手续完善且具有处置资质的单位处置。</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综上所述，拟建项目采取的固体废物处置措施可行。</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环境风险防范</w:t>
            </w:r>
            <w:r>
              <w:rPr>
                <w:color w:val="000000" w:themeColor="text1"/>
                <w14:textFill>
                  <w14:solidFill>
                    <w14:schemeClr w14:val="tx1"/>
                  </w14:solidFill>
                </w14:textFill>
              </w:rPr>
              <w:t>措施</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.7.1</w:t>
            </w:r>
            <w:r>
              <w:rPr>
                <w:rFonts w:hint="eastAsia"/>
                <w:color w:val="000000" w:themeColor="text1"/>
                <w14:textFill>
                  <w14:solidFill>
                    <w14:schemeClr w14:val="tx1"/>
                  </w14:solidFill>
                </w14:textFill>
              </w:rPr>
              <w:t>井喷风险防范措施</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（1）配备应急点火系统及点火时间、点火管理</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根据《钻井井控技术规程》（Q/SY02552-2018）、《硫化氢环境钻井场所作业安全规 范》（SY/T5087-2017），钻井现场配备自动、手动和高压高能电子点火三套独立点火系统，确保100%的点火成功率。钻井队在现场条件不能实施井控作业而决定放喷点火时，点火人员应佩戴防护器具，并在上风方向，离火口距离不得少于10m，用点火枪点火。</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同时井喷失控井口点火时间应执行《含硫化氢天然气井失控井口点火时间规定》（AQ2016-2008）的规定；天然气井出现井喷事故征兆时，现场作业人员应立即进行点火准备工作。应按要求在井喷失控后15min内实施井口点火。因此井场应按行业相关规范，井控放喷管、测试放喷管都应设置点火系统来控制井喷，同时要配备井喷失控后的应急点火系统（点火枪等设施）和专业执行人员和负责人，并进行专门培训和演练，在不能实施井控作业时应在15min内进行决策并实施点火。</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（2）钻井进入含硫气层和中途测试对居民进行告知</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鉴于</w:t>
            </w:r>
            <w:r>
              <w:rPr>
                <w:rFonts w:hint="eastAsia"/>
                <w:color w:val="000000" w:themeColor="text1"/>
                <w14:textFill>
                  <w14:solidFill>
                    <w14:schemeClr w14:val="tx1"/>
                  </w14:solidFill>
                </w14:textFill>
              </w:rPr>
              <w:t>合</w:t>
            </w:r>
            <w:r>
              <w:rPr>
                <w:color w:val="000000" w:themeColor="text1"/>
                <w14:textFill>
                  <w14:solidFill>
                    <w14:schemeClr w14:val="tx1"/>
                  </w14:solidFill>
                </w14:textFill>
              </w:rPr>
              <w:t>深</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井为含硫气井，考虑井下气层的不确定性和预测的局限性，钻井作业在 格落实《钻井井控技术规程》（Q/SY02552-2018）、《硫化氢环境钻井场所作业安全规范》（SY/T5087-2017）、《石油天然气安全规程》（AQ2012-2007）、《石油天然气钻井健康、安全与环境管理体系指南》（SY/T6283-1997）和《石油天然气钻井作业健康、安全与环境管理导则》（Q-CNPC53-2001）等相关钻井和井控规范要求的前提下，根据拟建项目钻进 设计、安全要求和环评要求，做好在钻开各气层前告知周围500m范围内居民，并组织疏散撤离的应急演练。</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（3）钻井风险监控、报警措施 </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应严格按照《硫化氢环境钻井场所作业安全规范》（SY/T5087-2017）、《石油天然气安全规程》（AQ2012-2007）、《含硫油气田H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 监测与人身安全防护规定规程》（SY6277-2005）中的相关规定落实。钻井队应按规定配备H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S安全防护设施及装置；其中带探头四通道硫化氢监测报警系统探头触点安放在钻台井口，钻井泥浆出口及司钻旁边三处，主机安装在值班房。 </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含H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S气层钻进时，加强对钻井泥浆中H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S浓度的测量；在可能产生H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S的场所工作的员工每人应配备H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S监测仪、防毒面具或空气呼吸器，并保证有效使用；在含硫气层取心起钻，当取心工具距井口还有10柱时应监测H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S浓度，钻台作业人员应戴上空气呼吸器，直到取出岩心，且H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S浓度降到安全范围内。同时井场应配备高音喇叭，以便及时报警和通知疏散周边居民。井场钻开气层前通知</w:t>
            </w:r>
            <w:r>
              <w:rPr>
                <w:rFonts w:hint="eastAsia"/>
                <w:color w:val="000000" w:themeColor="text1"/>
                <w14:textFill>
                  <w14:solidFill>
                    <w14:schemeClr w14:val="tx1"/>
                  </w14:solidFill>
                </w14:textFill>
              </w:rPr>
              <w:t>铜梁</w:t>
            </w:r>
            <w:r>
              <w:rPr>
                <w:color w:val="000000" w:themeColor="text1"/>
                <w14:textFill>
                  <w14:solidFill>
                    <w14:schemeClr w14:val="tx1"/>
                  </w14:solidFill>
                </w14:textFill>
              </w:rPr>
              <w:t>区医院、</w:t>
            </w:r>
            <w:r>
              <w:rPr>
                <w:rFonts w:hint="eastAsia"/>
                <w:color w:val="000000" w:themeColor="text1"/>
                <w14:textFill>
                  <w14:solidFill>
                    <w14:schemeClr w14:val="tx1"/>
                  </w14:solidFill>
                </w14:textFill>
              </w:rPr>
              <w:t>铜梁</w:t>
            </w:r>
            <w:r>
              <w:rPr>
                <w:color w:val="000000" w:themeColor="text1"/>
                <w14:textFill>
                  <w14:solidFill>
                    <w14:schemeClr w14:val="tx1"/>
                  </w14:solidFill>
                </w14:textFill>
              </w:rPr>
              <w:t>区消防队和</w:t>
            </w:r>
            <w:r>
              <w:rPr>
                <w:rFonts w:hint="eastAsia"/>
                <w:color w:val="000000" w:themeColor="text1"/>
                <w14:textFill>
                  <w14:solidFill>
                    <w14:schemeClr w14:val="tx1"/>
                  </w14:solidFill>
                </w14:textFill>
              </w:rPr>
              <w:t>铜梁</w:t>
            </w:r>
            <w:r>
              <w:rPr>
                <w:color w:val="000000" w:themeColor="text1"/>
                <w14:textFill>
                  <w14:solidFill>
                    <w14:schemeClr w14:val="tx1"/>
                  </w14:solidFill>
                </w14:textFill>
              </w:rPr>
              <w:t>区安监等各部门各方面救援保障力量以及钻井队主管部门、应急救援单位。一旦发生井涌、井喷，出现H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S溢出井口的危险情况以便及时报警。与各单位、部门的报警联系主要采用值班专用通信电话和手机。</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.7.2</w:t>
            </w:r>
            <w:r>
              <w:rPr>
                <w:rFonts w:hint="eastAsia"/>
                <w:color w:val="000000" w:themeColor="text1"/>
                <w14:textFill>
                  <w14:solidFill>
                    <w14:schemeClr w14:val="tx1"/>
                  </w14:solidFill>
                </w14:textFill>
              </w:rPr>
              <w:t>井漏防范措施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在钻井过程中对井漏应坚持预防为主的原则，主要包括避开复杂地质环境、选用和维持较低的井筒内钻井介质压力、提高地层承压能力等防范措施：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（1）通过地质勘探合理选址</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川中古隆中斜构造地表条件复杂，山沟纵横，根据对川中东南斜坡构造已开钻井地质资料分析，业主单位结合区域水文地质资料，合理选择井眼位置，确保导管段（0~30m）避开溶洞和暗河等复杂地质，从井位选择上降低钻井工程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（2）降低井下环空压耗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在保证钻井介质（钻井泥浆）能携带钻屑的前提下，尽可能降低钻井介质粘度，提高泥饼质量，防止因井壁泥饼较厚起环空间隙较小，导致环空压耗增大。</w:t>
            </w:r>
          </w:p>
          <w:p>
            <w:pPr>
              <w:ind w:firstLine="48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（3）提高地层承压能力地层的漏失主要取决于地层的特性，通过人为的方法提高地层的承压能力，封堵漏失孔道，从而达到防漏的目的。</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t>废水泄漏及外溢防范措施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（1）废水泄漏防范措施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①为防止废水罐、应急池泄漏，定期对罐体、应急进行检查，废水罐地面进行防渗措施，并设置围堰。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②按《石油化工工程防渗技术规范》（GB/T50934-2013）等相关要求规定对罐区基础、应急池进行防渗处理。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③加强员工操作规范管理，尽量避免废水装车失误。装车过程若遇到废水泄漏，立即停止装车作业，减少废水泄漏量，并利用井场内的污水沟将泄漏废水收集至废水罐内，不外流。</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（2）废水外溢防范措施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①确保井场清洁生产处理系统连续稳定运行，减小废水现场贮存，同时确保应急池正常情况下空置，以便于应急使用。</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②井场采用清污分流系统，防止雨水进入应急池，并定期进行排水沟、应急池维护，从而有效控制因暴雨而导致废水外溢。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③为了防止污水罐渗漏或外溢污染地表水及浅层地下水，要求建设方对污水罐内废水及时回用或外运处置；在暴雨季节，加强对应急池的巡查，降低废水外溢的环境风险。</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④建立事故应急预案和联动机制，明确钻井过程中一旦出现环境风险事故的应急处置方式，以及钻井施工单位、大庆油田勘探事业部、铜梁区生态环境局、地方政府及其他相关部门的联系人及联系方式。</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⑤设置地表水三级防控机制。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地表水三级防控措施布置如下：</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第一级防控措施是通过修建拦水沟和及时转运等措施，将废水罐所在平台沿地表加高20-50cm，并保持废水罐空高为20-50cm，防止废水外溢；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第二级防控措施是在井场周围、废水罐周围设截水沟，将从井场、废水罐溢出的污水截留下来，截留的废水收集至废水罐中；</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第三级防控措施是在发生废水外溢事故时，在废水罐周围的低洼区域和废水罐外溢口处采用沙包、装土编织袋等拦截措施阻拦外溢废水，避免废水流入外环境之中。</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.7.4</w:t>
            </w:r>
            <w:r>
              <w:rPr>
                <w:rFonts w:hint="eastAsia"/>
                <w:color w:val="000000" w:themeColor="text1"/>
                <w14:textFill>
                  <w14:solidFill>
                    <w14:schemeClr w14:val="tx1"/>
                  </w14:solidFill>
                </w14:textFill>
              </w:rPr>
              <w:t>废水转运过程的保护措施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为降低废水转运对地表水的污染风险，确保本工程废水得到妥善处理，本着切实保护环境的原则，废水转运过程中，采取如下措施：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①建立建设单位与当地政府、环保局等相关部门的联络机制，若有险情发生，应及时与作业区值班人员取得联系，若确认发生废水外溢事故，应及时上报当地政府、环保局等相关部门。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②对承包废水转运的承包商实施车辆登记制度，为每台车安装GPS，并纳入建设方的GPS监控系统平台。</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③转运过程做好转运台账，严格实施交接清单制度，建立废水转运五联单制度；加强罐车装载量管理，严禁超载。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⑤转运罐车行驶至河流（含河沟、塘堰等）较近位置或者穿越河流（含河沟等）的道路时，应放慢行驶速度。</w:t>
            </w:r>
          </w:p>
          <w:p>
            <w:pPr>
              <w:ind w:firstLine="48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⑥废水转运尽量避开暴雨时节。</w:t>
            </w:r>
            <w:r>
              <w:rPr>
                <w:rFonts w:hint="eastAsia" w:ascii="宋体" w:hAnsi="宋体" w:cs="宋体"/>
                <w:color w:val="000000" w:themeColor="text1"/>
                <w14:textFill>
                  <w14:solidFill>
                    <w14:schemeClr w14:val="tx1"/>
                  </w14:solidFill>
                </w14:textFill>
              </w:rPr>
              <w:t xml:space="preserve"> </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油类外溢防范措施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①加强柴油储罐、废油桶的维护保养，避免油类泄漏事件的发生。</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②加强油类运输车辆的维护，确保车辆和连接管道处于良好状态。</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③加强员工风险防范意识教育，严格按操作规程操作。在油类转运时，应对油罐及连接管道等进行严格检查，确保不存在隐患的情况下方可进行油类转运。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④在油罐区周围设围堰，围堰高0.3m，同时设置事故池（集油池代替），正常情况下应保证事故池有足够的容积，确保事故时能将泄漏的油类导流至事故池。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⑤在泥浆储罐、泥浆循环系统周围设置围堰，围堰高0.3m。</w:t>
            </w:r>
          </w:p>
          <w:p>
            <w:pPr>
              <w:ind w:firstLine="48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⑥柴油罐区围堰内地坪、泥浆储罐区地盘采用混凝土地坪，并进行防渗漏处理</w:t>
            </w:r>
            <w:r>
              <w:rPr>
                <w:rFonts w:hint="eastAsia" w:ascii="宋体" w:hAnsi="宋体" w:cs="宋体"/>
                <w:color w:val="000000" w:themeColor="text1"/>
                <w14:textFill>
                  <w14:solidFill>
                    <w14:schemeClr w14:val="tx1"/>
                  </w14:solidFill>
                </w14:textFill>
              </w:rPr>
              <w:t>。</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.7.6</w:t>
            </w:r>
            <w:r>
              <w:rPr>
                <w:rFonts w:hint="eastAsia"/>
                <w:color w:val="000000" w:themeColor="text1"/>
                <w14:textFill>
                  <w14:solidFill>
                    <w14:schemeClr w14:val="tx1"/>
                  </w14:solidFill>
                </w14:textFill>
              </w:rPr>
              <w:t>油类转运过程中环境风险防范措施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针对拟建项目油类运输过程中的风险防范应采取以下措施：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油类在转运前三日内报告转出地环境保护行政主管部门，并同时将预期到达时间报告接收地环境保护行政主管部门，并同时以书面形式向建设方报备。</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①运输按照《道路危险货物运输管理规定》、《汽车运输危险货物规则》、《汽车运 输装卸危险货物作业流程》执行；采用具有 GPS 的车辆，并按照规定的路线行驶；运输车辆按照《道路运输危险货物车辆标志》设置车辆标志，危险废物包装上设置标志。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②转运过程做好转运台账，严格实施转运联单制；</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③加强罐车装载量管理，严禁超载，采取防渗措施，同时覆盖防雨篷布，应采用货箱完好的车辆，保证运输过程中无抛洒；</w:t>
            </w:r>
          </w:p>
          <w:p>
            <w:pPr>
              <w:ind w:firstLine="48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④加强对罐车司机的安全教育，定期对罐车进行安全检查，严格遵守交通规则，避免交通事故发生。加强对除驾驶员外的其他拉运工作人员管理，要求运输人员技术过硬、经验丰富、工作认真负责。</w:t>
            </w:r>
            <w:r>
              <w:rPr>
                <w:rFonts w:hint="eastAsia" w:ascii="宋体" w:hAnsi="宋体" w:cs="宋体"/>
                <w:color w:val="000000" w:themeColor="text1"/>
                <w14:textFill>
                  <w14:solidFill>
                    <w14:schemeClr w14:val="tx1"/>
                  </w14:solidFill>
                </w14:textFill>
              </w:rPr>
              <w:t xml:space="preserve"> </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.7.7</w:t>
            </w:r>
            <w:r>
              <w:rPr>
                <w:rFonts w:hint="eastAsia"/>
                <w:color w:val="000000" w:themeColor="text1"/>
                <w14:textFill>
                  <w14:solidFill>
                    <w14:schemeClr w14:val="tx1"/>
                  </w14:solidFill>
                </w14:textFill>
              </w:rPr>
              <w:t>地下水环境风险防范措施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分区防渗：根据《石油化工工程防渗技术规范》（GB/T50934-2013），拟建项目通过采取分区防渗措施，加强井场防渗等级，避免钻井过程污染物入渗土壤及地下水环境。按照《石油化工工程防渗技术规范》（GB/T50934-2013）标准中典型污染防治分区表，井场分为硬化地区域和非硬化区域，并在井场前场布置清洁化操作平台。井场场区设计清污分流系统，可及时对雨水进行导流。</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通过将加强井场防渗等级，避免污染物入渗，拟采取分区防渗措施。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①井场防渗措施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井场设备硬化区域：200mm砂砾石压实基层+200mm厚C25碎石砼面层简单防渗。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钻机基础区：采用强风化泥岩为持力层+片石混凝土层+30cm厚C25混凝土层；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基础区域集水坑：100mm厚C25 混凝土+刷2遍水泥基结晶型防渗涂料；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方井集水坑：200mm厚C25 混凝土+刷2遍水泥基结晶型防渗涂料。</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②应急池防渗措施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应急池池墙：采用C30钢筋砼（防渗等级P8）+2cm厚1:3水泥砂浆抹面+聚乙烯（丙纶）防水卷材；应急池底采用强风化泥岩为持力层+10cm厚C15混凝土垫层+40cm厚C30防渗钢筋混凝土（防渗等级P8）+2cm厚1:3水泥砂浆抹面+聚乙烯（丙纶）防水卷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③燃烧池防渗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燃烧池坑底开挖整平后，基础底部先浇筑10cm厚C20混凝土作垫层，上方为5cm厚分层抹新型耐火砂浆抹面，最后刷两遍水泥基渗透结晶型防水材料；燃烧池墙身采用耐火砖与标砖相结合砌筑，内墙下部2m为耐火砖砌37墙，上部为耐火砖砌24墙，砌筑采用新型耐火水泥砂浆，外墙采用Mu10标砖砌筑，表面分层抹2cm厚新型耐火砂浆。燃烧池前墙高度为600mm，宽240mm，待放喷管线安装完毕后用Mu10标砖封堵。</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④排酸沟及集酸池</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排酸沟底部采用C25碎石砼浇筑，沟壁采用标砖砌筑；排酸沟成型后，采用M5水泥砂浆抹面，然后采用刷两遍水泥基结晶型防渗涂料作防渗处理。集酸池底部采用10cm厚C20碎石混凝土浇筑，池壁采用标砖砌筑；池体成型后，采用1:5水泥砂浆抹面，然后采用刷两遍水泥基结晶型防渗涂料作防渗处理。集酸池墙顶应按设计修建安全围栏。</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⑤清洁生产操作平台、油罐区、泥浆储备罐区防渗 </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清洁化生产操作平台：除岩屑堆放区外，底部采用20cm厚砂砾石基层+20cm厚C25混凝土层，外围挡污墙采用M7.5水泥砂浆砌筑页岩砖+20mm厚1:3水泥砂浆抹面；岩屑堆放区底部及墙体采用10cm厚砂砾石基层+10cm厚C15混凝土垫层+30cm厚C25钢筋混凝土+聚乙烯（丙纶）层；</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油罐区：垫层为100mm厚C15混凝土层+筏板采用400mm厚 C25钢筋砼，上部基墩和拦水墙采用M7.5水泥砂浆砌MU10页岩砖，基础区域内拦水墙、基墩和筏板能见表面分层抹1∶3水泥砂浆面20mm 厚。然后做水泥基渗透结晶性防渗涂料两遍。基础周边修建围堰，采用M5水泥砂浆砖砌，内表面抹 1：3水泥砂浆厚度20mm。</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泥浆储备罐区：基础采用20cm厚砂砾石层+20cm厚C25混凝土层，外围挡污墙采用M7.5水泥砂浆砌筑页岩砖+20mm厚1:3水泥砂浆抹面。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⑥生活区</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厕所采用10cm厚C15混凝土土层防渗+素土夯实；垃圾坑采用C15混凝土土层10cm防渗+水泥基渗透结构防水材料刷2层防渗+雨棚。隔油池采用C25混凝土土层10cm防渗，隔油池内、池底均采用1:3水泥砂浆抹面20mm 厚，然后再在上面刷两遍水泥基渗透结晶型防水材料进行处理。</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⑦危废暂存点</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本项目钻井过程中不涉及使用油基泥浆，主要危废为设备保养、维修等产生的废油，经收集桶收集后暂存于危废暂存点，暂存点采取防渗、防雨、设置铁托盘保护措施。</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5.8土壤环境污染防治措施</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应严格落实源头控制、过程防控和跟踪监测等各项污染物防治措施以及发生环境风险事故后的应急处置措施，在严格落实本评价所提的各污染物的收集、处理及处置措施后，项目勘探施工对土壤环境影响小。另外，本项目部分临时占地为基本农田，建设单位应严格按照《基本农田保护条例》和相关法律法规及政策要求完善用地相关手续，开工前进一步优化施工场地布置，尽量减少基本农田占地；施工过程中做好基本农田，尤其是表层土的剥离、堆存和水土保持工作；在施工结束后，立即按照基本农田的复垦要求对临时占用的基本农田实施土地复垦，恢复其使用功能，确保其功能不降低。</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5.9完井污染防治措施</w:t>
            </w:r>
          </w:p>
          <w:p>
            <w:pPr>
              <w:adjustRightInd w:val="0"/>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探任务完成后若作为生产井，后续生产井地面建设则另行设计和开展环评。若废弃，完井后将对钻井设备、基础进行拆除、搬迁，封井口作业。本项目应结合工程土地占用情况，按照项目土地复垦方案进行复垦及生态恢复。</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5.10环境管理与监测计划</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环境管理</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建设单位积极推进HSE管理体系建设，建立了HSE管理体系并设置了质量安全环保科负责环境管理，管理体系较完善。</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为加强本项目的环境保护管理工作，项目实施过程中应配兼职管理干部和技术人员各1人，负责监督施工单位在施工过程中的环境保护工作，同时监督施工单位落实环境保护措施。</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地下水环境跟踪监测计划</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监测点位：设2个监测点，分别位于项目场地上游和场地下游。</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监测项目：pH、石油类、氨氮、铁、锰、氯化物、硫酸盐、耗氧量（COD</w:t>
            </w:r>
            <w:r>
              <w:rPr>
                <w:rFonts w:hint="eastAsia"/>
                <w:color w:val="000000" w:themeColor="text1"/>
                <w:vertAlign w:val="subscript"/>
                <w14:textFill>
                  <w14:solidFill>
                    <w14:schemeClr w14:val="tx1"/>
                  </w14:solidFill>
                </w14:textFill>
              </w:rPr>
              <w:t>Mn</w:t>
            </w:r>
            <w:r>
              <w:rPr>
                <w:rFonts w:hint="eastAsia"/>
                <w:color w:val="000000" w:themeColor="text1"/>
                <w14:textFill>
                  <w14:solidFill>
                    <w14:schemeClr w14:val="tx1"/>
                  </w14:solidFill>
                </w14:textFill>
              </w:rPr>
              <w:t>）、硝酸盐及亚硝酸盐；</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监测频次：完钻后监测一次。</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如遇到特殊情况或发生污染事故，可能影响地下水水质时，可根据实际情况增加监测项目及监测频次。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8" w:hRule="atLeast"/>
          <w:jc w:val="center"/>
        </w:trPr>
        <w:tc>
          <w:tcPr>
            <w:tcW w:w="753" w:type="dxa"/>
            <w:tcMar>
              <w:left w:w="28" w:type="dxa"/>
              <w:right w:w="28" w:type="dxa"/>
            </w:tcMar>
            <w:vAlign w:val="center"/>
          </w:tcPr>
          <w:p>
            <w:pPr>
              <w:adjustRightInd w:val="0"/>
              <w:snapToGrid w:val="0"/>
              <w:spacing w:line="240" w:lineRule="auto"/>
              <w:jc w:val="center"/>
              <w:rPr>
                <w:rFonts w:ascii="宋体" w:hAnsi="宋体" w:cs="宋体"/>
                <w:bCs/>
                <w:color w:val="000000" w:themeColor="text1"/>
                <w:spacing w:val="10"/>
                <w:szCs w:val="24"/>
                <w14:textFill>
                  <w14:solidFill>
                    <w14:schemeClr w14:val="tx1"/>
                  </w14:solidFill>
                </w14:textFill>
              </w:rPr>
            </w:pPr>
            <w:r>
              <w:rPr>
                <w:rFonts w:hint="eastAsia" w:cstheme="majorBidi"/>
                <w:bCs/>
                <w:color w:val="000000" w:themeColor="text1"/>
                <w:szCs w:val="24"/>
                <w14:textFill>
                  <w14:solidFill>
                    <w14:schemeClr w14:val="tx1"/>
                  </w14:solidFill>
                </w14:textFill>
              </w:rPr>
              <w:t>运营期生态环境保护措施</w:t>
            </w:r>
          </w:p>
        </w:tc>
        <w:tc>
          <w:tcPr>
            <w:tcW w:w="8457" w:type="dxa"/>
            <w:vAlign w:val="center"/>
          </w:tcPr>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天然气勘探井工程属典型“地下决定地上”型项目，井下确无开采价值时，则对井筒实施封井作业，井组实施生态恢复作业。封井作业后现场无“三废”、噪声排放。闭井后项目对生态环境影响因素将不再存在，无废气、废水、废渣等污染物产生和排放影响生态环境。若获得良好气流，则另行环评对营运期生态措施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753" w:type="dxa"/>
            <w:vAlign w:val="center"/>
          </w:tcPr>
          <w:p>
            <w:pPr>
              <w:adjustRightInd w:val="0"/>
              <w:snapToGrid w:val="0"/>
              <w:jc w:val="center"/>
              <w:rPr>
                <w:rFonts w:ascii="宋体" w:hAnsi="宋体" w:cs="宋体"/>
                <w:bCs/>
                <w:color w:val="000000" w:themeColor="text1"/>
                <w:spacing w:val="10"/>
                <w:szCs w:val="24"/>
                <w14:textFill>
                  <w14:solidFill>
                    <w14:schemeClr w14:val="tx1"/>
                  </w14:solidFill>
                </w14:textFill>
              </w:rPr>
            </w:pPr>
            <w:r>
              <w:rPr>
                <w:rFonts w:hint="eastAsia" w:cstheme="majorBidi"/>
                <w:bCs/>
                <w:color w:val="000000" w:themeColor="text1"/>
                <w:szCs w:val="24"/>
                <w14:textFill>
                  <w14:solidFill>
                    <w14:schemeClr w14:val="tx1"/>
                  </w14:solidFill>
                </w14:textFill>
              </w:rPr>
              <w:t>其他</w:t>
            </w:r>
          </w:p>
        </w:tc>
        <w:tc>
          <w:tcPr>
            <w:tcW w:w="8457" w:type="dxa"/>
            <w:vAlign w:val="center"/>
          </w:tcPr>
          <w:p>
            <w:pPr>
              <w:adjustRightInd w:val="0"/>
              <w:snapToGrid w:val="0"/>
              <w:ind w:firstLine="520"/>
              <w:jc w:val="center"/>
              <w:rPr>
                <w:rFonts w:ascii="宋体" w:hAnsi="宋体" w:cs="宋体"/>
                <w:bCs/>
                <w:color w:val="000000" w:themeColor="text1"/>
                <w:spacing w:val="10"/>
                <w14:textFill>
                  <w14:solidFill>
                    <w14:schemeClr w14:val="tx1"/>
                  </w14:solidFill>
                </w14:textFill>
              </w:rPr>
            </w:pPr>
            <w:r>
              <w:rPr>
                <w:rFonts w:hint="eastAsia" w:ascii="宋体" w:hAnsi="宋体" w:cs="宋体"/>
                <w:bCs/>
                <w:color w:val="000000" w:themeColor="text1"/>
                <w:spacing w:val="10"/>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54" w:hRule="atLeast"/>
          <w:jc w:val="center"/>
        </w:trPr>
        <w:tc>
          <w:tcPr>
            <w:tcW w:w="753" w:type="dxa"/>
            <w:vAlign w:val="center"/>
          </w:tcPr>
          <w:p>
            <w:pPr>
              <w:adjustRightInd w:val="0"/>
              <w:snapToGrid w:val="0"/>
              <w:jc w:val="center"/>
              <w:rPr>
                <w:rFonts w:ascii="宋体" w:hAnsi="宋体" w:cs="宋体"/>
                <w:bCs/>
                <w:color w:val="000000" w:themeColor="text1"/>
                <w:spacing w:val="10"/>
                <w:szCs w:val="24"/>
                <w14:textFill>
                  <w14:solidFill>
                    <w14:schemeClr w14:val="tx1"/>
                  </w14:solidFill>
                </w14:textFill>
              </w:rPr>
            </w:pPr>
            <w:r>
              <w:rPr>
                <w:rFonts w:hint="eastAsia" w:cstheme="majorBidi"/>
                <w:bCs/>
                <w:color w:val="000000" w:themeColor="text1"/>
                <w:szCs w:val="24"/>
                <w14:textFill>
                  <w14:solidFill>
                    <w14:schemeClr w14:val="tx1"/>
                  </w14:solidFill>
                </w14:textFill>
              </w:rPr>
              <w:t>环保投资</w:t>
            </w:r>
          </w:p>
        </w:tc>
        <w:tc>
          <w:tcPr>
            <w:tcW w:w="8457" w:type="dxa"/>
          </w:tcPr>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5.11环保工程投资估算</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项目总投资约7000万元，环保投资280万元，占总投资的4.0%。主要用于废水治理、固体废物处理、噪声污染防治，以及施工迹地生态恢复等。具体情况见表5.11-1。</w:t>
            </w:r>
          </w:p>
          <w:p>
            <w:pPr>
              <w:pStyle w:val="26"/>
              <w:rPr>
                <w:color w:val="000000" w:themeColor="text1"/>
                <w14:textFill>
                  <w14:solidFill>
                    <w14:schemeClr w14:val="tx1"/>
                  </w14:solidFill>
                </w14:textFill>
              </w:rPr>
            </w:pPr>
            <w:r>
              <w:rPr>
                <w:rFonts w:hint="eastAsia"/>
                <w:color w:val="000000" w:themeColor="text1"/>
                <w14:textFill>
                  <w14:solidFill>
                    <w14:schemeClr w14:val="tx1"/>
                  </w14:solidFill>
                </w14:textFill>
              </w:rPr>
              <w:t>表5.11-1    项目环保措施及总投资估算一览表</w:t>
            </w:r>
          </w:p>
          <w:tbl>
            <w:tblPr>
              <w:tblStyle w:val="19"/>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164"/>
              <w:gridCol w:w="4560"/>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拟采取的环保措施</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大气污染防治措施</w:t>
                  </w: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施工扬尘</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硬化进出口并采取冲洗、洒水等措施控制扬尘；设置车辆冲洗设施对驶出工地的车辆进行冲洗；对露天堆放河沙、石粉、水泥、灰浆、灰膏等易扬撒的物料予以覆盖；对开挖施工作业面（点）洒水降尘；临时表土堆场洒水、覆盖降尘；密闭运输渣土、砂石等易撒漏扬散物质</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（备用）柴油发电机</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现场使用轻质柴油为燃料，使用符合环保要求的柴油发电机、辅助发电机，使用设备自带的尾气处理系统后经过自带排气筒排放</w:t>
                  </w:r>
                </w:p>
              </w:tc>
              <w:tc>
                <w:tcPr>
                  <w:tcW w:w="1294" w:type="dxa"/>
                  <w:vMerge w:val="restart"/>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测试放喷废气</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测试、检修放喷废气引至燃烧池点火燃烧，测试放喷管口高为1m，采用对空短火焰灼烧器充分燃烧处理</w:t>
                  </w:r>
                </w:p>
              </w:tc>
              <w:tc>
                <w:tcPr>
                  <w:tcW w:w="1294" w:type="dxa"/>
                  <w:vMerge w:val="continue"/>
                  <w:vAlign w:val="center"/>
                </w:tcPr>
                <w:p>
                  <w:pPr>
                    <w:spacing w:line="240" w:lineRule="auto"/>
                    <w:jc w:val="center"/>
                    <w:rPr>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水污染防治措施</w:t>
                  </w: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井场清污分流</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实行清污分流，井场外雨水用截水沟导排至附近地表水体，井场内初期雨水收集至废水罐处理后回用</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钻井废水、洗井废水、酸化废水、方井雨水</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配备清洁生产操作系统收集处理建设过程中产生的污染物，实现污染物“不落地”，钻井过程中钻井废水循环利用，完井钻井废水收集至应急池暂存，预处理后运至附近污水处理厂处理</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生活污水</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厕所粪便废水用于旱地和林地施肥，不外排，完井后对厕所进行回填；生活污水经旱厕收集后用于旱地和林地施肥，在遇长期降雨天气无法作为农肥使用时，生活污水采用罐车运至附近污水处理厂处理</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restart"/>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固体废物</w:t>
                  </w: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水基钻井岩屑、废弃泥浆</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钻井泥浆采用清洁化生产工艺处理，钻井岩屑、废泥浆均由清洁化生产工艺处理后，水基岩屑及废泥浆脱水泥饼定期外运至可接收的具有相关环保手续的砖厂或水泥厂资源化利用</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危险废物</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危废暂存点设置回收桶暂存收集废油及其它危废，由建设单位交由有相关处理资质的单位妥善处置</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Merge w:val="continue"/>
                  <w:vAlign w:val="center"/>
                </w:tcPr>
                <w:p>
                  <w:pPr>
                    <w:spacing w:line="240" w:lineRule="auto"/>
                    <w:jc w:val="center"/>
                    <w:rPr>
                      <w:color w:val="000000" w:themeColor="text1"/>
                      <w:sz w:val="21"/>
                      <w14:textFill>
                        <w14:solidFill>
                          <w14:schemeClr w14:val="tx1"/>
                        </w14:solidFill>
                      </w14:textFill>
                    </w:rPr>
                  </w:pPr>
                </w:p>
              </w:tc>
              <w:tc>
                <w:tcPr>
                  <w:tcW w:w="116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生活垃圾</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井场区域和生活区设置垃圾收集箱，定期交当地环卫部门统一清运处置</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噪声污染防治</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发电机设置于专门的发电机房内，柴油机安装消声器和减振基础，合理安排施工时间，尽量缩短施工周期；认真做好周围居民的告知及协调和沟通工作，避免扰民</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地下水及土壤污染防治</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落实源头控制、分区防渗和应急响应措施。落实套管保护措施，加强管理，防止泥浆流失进入土壤和地下水；落实污染物“不落地”随钻处理措施。按要求对井场内主要产生污染物的环节、放喷池以及应急池等进行重点防渗区处理</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生态保护及恢复</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严格控制作业区域，严禁作业人员在施工范围外进行生态破坏和排放污染物；对占地范围内的表层土剥离并集中暂存于耕植土暂存区，用于施工结束后土地复垦及生态恢复表层覆土；施工结束并进行设备撤离后，对设备基础等进行拆除，对临时占用的土地进行生态恢复及土地复垦；对临时占用的耕地复垦时要求采用耕植土进行复垦恢复其耕种功能</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环境管理</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配备环境管理人员，建立环境管理台账制度</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7" w:type="dxa"/>
                  <w:gridSpan w:val="2"/>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环境风险防范及应急</w:t>
                  </w:r>
                </w:p>
              </w:tc>
              <w:tc>
                <w:tcPr>
                  <w:tcW w:w="4560"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采取风险防范措施，按规范要求落实井控措施，钻井过程中加强井漏防范措施，配备应急点火系统并设立管理系统，钻井进入气层前和测试放喷对居民的临时疏散，按要求设置钻井风险监控、报警措施，落实污废水以及稀盐酸防泄漏措施。编制环境风险应急预案并进行培训和演练</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7" w:type="dxa"/>
                  <w:gridSpan w:val="3"/>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合计</w:t>
                  </w:r>
                </w:p>
              </w:tc>
              <w:tc>
                <w:tcPr>
                  <w:tcW w:w="1294" w:type="dxa"/>
                  <w:vAlign w:val="center"/>
                </w:tcPr>
                <w:p>
                  <w:pPr>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280</w:t>
                  </w:r>
                </w:p>
              </w:tc>
            </w:tr>
          </w:tbl>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ind w:firstLine="480"/>
        <w:jc w:val="center"/>
        <w:rPr>
          <w:color w:val="000000" w:themeColor="text1"/>
          <w14:textFill>
            <w14:solidFill>
              <w14:schemeClr w14:val="tx1"/>
            </w14:solidFill>
          </w14:textFill>
        </w:rPr>
        <w:sectPr>
          <w:headerReference r:id="rId15" w:type="default"/>
          <w:pgSz w:w="11906" w:h="16838"/>
          <w:pgMar w:top="1440" w:right="1800" w:bottom="1440" w:left="1800" w:header="851" w:footer="992" w:gutter="0"/>
          <w:cols w:space="425" w:num="1"/>
          <w:docGrid w:type="lines"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3139"/>
        <w:gridCol w:w="2586"/>
        <w:gridCol w:w="863"/>
        <w:gridCol w:w="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restart"/>
            <w:tcBorders>
              <w:tl2br w:val="single" w:color="auto" w:sz="4" w:space="0"/>
            </w:tcBorders>
          </w:tcPr>
          <w:p>
            <w:pPr>
              <w:adjustRightInd w:val="0"/>
              <w:snapToGrid w:val="0"/>
              <w:spacing w:before="93" w:beforeLines="30" w:line="240" w:lineRule="auto"/>
              <w:jc w:val="right"/>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内容</w:t>
            </w:r>
          </w:p>
          <w:p>
            <w:pPr>
              <w:adjustRightInd w:val="0"/>
              <w:snapToGrid w:val="0"/>
              <w:spacing w:line="240" w:lineRule="auto"/>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要素</w:t>
            </w:r>
          </w:p>
        </w:tc>
        <w:tc>
          <w:tcPr>
            <w:tcW w:w="3358" w:type="pct"/>
            <w:gridSpan w:val="2"/>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施工期</w:t>
            </w:r>
          </w:p>
        </w:tc>
        <w:tc>
          <w:tcPr>
            <w:tcW w:w="914" w:type="pct"/>
            <w:gridSpan w:val="2"/>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tcPr>
          <w:p>
            <w:pPr>
              <w:adjustRightInd w:val="0"/>
              <w:snapToGrid w:val="0"/>
              <w:spacing w:line="240" w:lineRule="auto"/>
              <w:jc w:val="center"/>
              <w:outlineLvl w:val="0"/>
              <w:rPr>
                <w:rFonts w:cs="宋体"/>
                <w:color w:val="000000" w:themeColor="text1"/>
                <w:sz w:val="21"/>
                <w14:textFill>
                  <w14:solidFill>
                    <w14:schemeClr w14:val="tx1"/>
                  </w14:solidFill>
                </w14:textFill>
              </w:rPr>
            </w:pPr>
          </w:p>
        </w:tc>
        <w:tc>
          <w:tcPr>
            <w:tcW w:w="1841" w:type="pct"/>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环境保护措施</w:t>
            </w:r>
          </w:p>
        </w:tc>
        <w:tc>
          <w:tcPr>
            <w:tcW w:w="1517" w:type="pct"/>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验收要求</w:t>
            </w:r>
          </w:p>
        </w:tc>
        <w:tc>
          <w:tcPr>
            <w:tcW w:w="506" w:type="pct"/>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环境保护措施</w:t>
            </w:r>
          </w:p>
        </w:tc>
        <w:tc>
          <w:tcPr>
            <w:tcW w:w="408" w:type="pct"/>
            <w:vAlign w:val="center"/>
          </w:tcPr>
          <w:p>
            <w:pPr>
              <w:adjustRightInd w:val="0"/>
              <w:snapToGrid w:val="0"/>
              <w:spacing w:line="240" w:lineRule="auto"/>
              <w:jc w:val="center"/>
              <w:outlineLvl w:val="0"/>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陆生生态</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对占地范围内的表层土剥离并在临时堆场集中暂存，用于施工结束后土地复垦及生态恢复表层覆土；施工结束对临时占用的土地进行生态恢复及土地复垦，耕地恢复其耕种功能</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耕植土堆场设置规范，施工结束后全部按项目土地复垦方案进行复垦及生态恢复，耕地恢复耕种功能</w:t>
            </w:r>
          </w:p>
        </w:tc>
        <w:tc>
          <w:tcPr>
            <w:tcW w:w="50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408"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水生生态</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50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408"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restar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地表水环境</w:t>
            </w:r>
          </w:p>
        </w:tc>
        <w:tc>
          <w:tcPr>
            <w:tcW w:w="1841" w:type="pct"/>
            <w:vMerge w:val="restar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生活污水旱厕收集后用作农肥；（2）修建清洁化操作场地；钻井废水经预处理后大部分回用；洗井废水、酸化废水、方井雨水和剩余钻井废水经现场预处理后，及时外运至有处理能力的污水处理厂处理达标后排放</w:t>
            </w:r>
          </w:p>
        </w:tc>
        <w:tc>
          <w:tcPr>
            <w:tcW w:w="1517" w:type="pct"/>
            <w:vMerge w:val="restar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污废水全部按要求处理，转运及交接等联单手续齐全，现场无污废水遗留及排放</w:t>
            </w:r>
          </w:p>
        </w:tc>
        <w:tc>
          <w:tcPr>
            <w:tcW w:w="50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408"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841"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517"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841"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517"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26"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841"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1517" w:type="pct"/>
            <w:vMerge w:val="continue"/>
            <w:vAlign w:val="center"/>
          </w:tcPr>
          <w:p>
            <w:pPr>
              <w:adjustRightInd w:val="0"/>
              <w:snapToGrid w:val="0"/>
              <w:spacing w:line="240" w:lineRule="auto"/>
              <w:jc w:val="center"/>
              <w:rPr>
                <w:rFonts w:cs="宋体"/>
                <w:color w:val="000000" w:themeColor="text1"/>
                <w:sz w:val="21"/>
                <w14:textFill>
                  <w14:solidFill>
                    <w14:schemeClr w14:val="tx1"/>
                  </w14:solidFill>
                </w14:textFill>
              </w:rPr>
            </w:pP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地下水及土壤环境</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实施套管保护，加强管理，防止泥浆进入土壤和地下水；落实污染物清洁化生产“不落地”处理措施，实施分区防渗措施</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各防渗区等级达到防渗要求，各污染物均按要求收集及处理</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声环境</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网电钻井，泥浆泵等高噪声设备安装消声器和减振基础，合理安排施工时间；做好周围居民协调和沟通工作</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按要求落实噪声污染防治措施，施工期间无噪声扰民环保纠纷</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振动</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大气环境</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测试和检修废气引至放喷池点火燃烧</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按要求实施，区域环境功能不会发生改变</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固体废物</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水基钻井固废全部外运砖厂综合利用或水泥厂协同处置，废油交由资质单位处置，生活垃圾交环卫部门处置</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固体废物按要求处置，转运及交接等联单手续齐全，现场无遗留</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电磁环境</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环境风险</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落实井控措施，加强井漏防范措施，配备应急点火系统并设立管理系统，制定环境风险防范措施。编制环境风险应急预案、培训和演练</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具备符合行业规范和环评要求的环境风险应急预案，建立村、乡镇、县相关部门联动机制</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环境监测</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设地下水环境跟踪监测点2个，完钻时监测一次</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执行《地下水质量标准》III类标准</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26"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其他</w:t>
            </w:r>
          </w:p>
        </w:tc>
        <w:tc>
          <w:tcPr>
            <w:tcW w:w="1841"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517" w:type="pct"/>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863"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696" w:type="dxa"/>
            <w:vAlign w:val="center"/>
          </w:tcPr>
          <w:p>
            <w:pPr>
              <w:adjustRightInd w:val="0"/>
              <w:snapToGrid w:val="0"/>
              <w:spacing w:line="240" w:lineRule="auto"/>
              <w:jc w:val="center"/>
              <w:rPr>
                <w:rFonts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bl>
    <w:p>
      <w:pPr>
        <w:rPr>
          <w:color w:val="000000" w:themeColor="text1"/>
          <w14:textFill>
            <w14:solidFill>
              <w14:schemeClr w14:val="tx1"/>
            </w14:solidFill>
          </w14:textFill>
        </w:rPr>
      </w:pPr>
    </w:p>
    <w:p>
      <w:pPr>
        <w:ind w:firstLine="480"/>
        <w:jc w:val="center"/>
        <w:rPr>
          <w:color w:val="000000" w:themeColor="text1"/>
          <w14:textFill>
            <w14:solidFill>
              <w14:schemeClr w14:val="tx1"/>
            </w14:solidFill>
          </w14:textFill>
        </w:rPr>
        <w:sectPr>
          <w:headerReference r:id="rId16" w:type="default"/>
          <w:pgSz w:w="11906" w:h="16838"/>
          <w:pgMar w:top="1440" w:right="1800" w:bottom="1440" w:left="1800"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该项目的建设符合国家、行业颁布的相关产业政策、法规、规范，建设期间产生的污染物能够做到达标排放或妥善处置，对生态环境、地表水、地下水、大气环境影响小，声环境影响产生短期影响，不改变区域的环境功能；该项目符合清洁生产要求，采用的环保措施可行，社会、经济效益十分显著；建设项目环境可行，选址合理。井喷失控事故天然气泄漏事故对环境造成较重影响，但事故发生机率低，井场作业按照钻井操作规程进行，并制定相应的应急预案，做好防范措施。该工程采取的环境风险措施及制定预案切实可行，在落实风险防范措施及应急预案后，环境风险达到可接受水平。</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综上所述，在施工过程中强化环保管理，落实各项环保措施，保证各项设施正常运行，从环境保护角度分析，本项目建设是可行的。</w:t>
            </w: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p>
            <w:pPr>
              <w:ind w:firstLine="480" w:firstLineChars="200"/>
              <w:rPr>
                <w:color w:val="000000" w:themeColor="text1"/>
                <w14:textFill>
                  <w14:solidFill>
                    <w14:schemeClr w14:val="tx1"/>
                  </w14:solidFill>
                </w14:textFill>
              </w:rPr>
            </w:pPr>
          </w:p>
        </w:tc>
      </w:tr>
    </w:tbl>
    <w:p>
      <w:pPr>
        <w:rPr>
          <w:color w:val="000000" w:themeColor="text1"/>
          <w14:textFill>
            <w14:solidFill>
              <w14:schemeClr w14:val="tx1"/>
            </w14:solidFill>
          </w14:textFill>
        </w:rPr>
      </w:pPr>
    </w:p>
    <w:sectPr>
      <w:headerReference r:id="rId1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6747560"/>
    </w:sdtPr>
    <w:sdt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22</w:t>
        </w:r>
        <w:r>
          <w:rPr>
            <w:sz w:val="21"/>
            <w:szCs w:val="21"/>
          </w:rP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结 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三、生态环境现状、保护目标及评价标准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四、生态环境影响分析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B06BF"/>
    <w:multiLevelType w:val="singleLevel"/>
    <w:tmpl w:val="A5EB06BF"/>
    <w:lvl w:ilvl="0" w:tentative="0">
      <w:start w:val="1"/>
      <w:numFmt w:val="upperLetter"/>
      <w:suff w:val="space"/>
      <w:lvlText w:val="%1."/>
      <w:lvlJc w:val="left"/>
    </w:lvl>
  </w:abstractNum>
  <w:abstractNum w:abstractNumId="1">
    <w:nsid w:val="B24B5A28"/>
    <w:multiLevelType w:val="singleLevel"/>
    <w:tmpl w:val="B24B5A28"/>
    <w:lvl w:ilvl="0" w:tentative="0">
      <w:start w:val="1"/>
      <w:numFmt w:val="upperLetter"/>
      <w:suff w:val="space"/>
      <w:lvlText w:val="%1."/>
      <w:lvlJc w:val="left"/>
    </w:lvl>
  </w:abstractNum>
  <w:abstractNum w:abstractNumId="2">
    <w:nsid w:val="D49812E5"/>
    <w:multiLevelType w:val="singleLevel"/>
    <w:tmpl w:val="D49812E5"/>
    <w:lvl w:ilvl="0" w:tentative="0">
      <w:start w:val="1"/>
      <w:numFmt w:val="upperLetter"/>
      <w:suff w:val="space"/>
      <w:lvlText w:val="%1."/>
      <w:lvlJc w:val="left"/>
    </w:lvl>
  </w:abstractNum>
  <w:abstractNum w:abstractNumId="3">
    <w:nsid w:val="1FC79B33"/>
    <w:multiLevelType w:val="singleLevel"/>
    <w:tmpl w:val="1FC79B33"/>
    <w:lvl w:ilvl="0" w:tentative="0">
      <w:start w:val="1"/>
      <w:numFmt w:val="lowerLetter"/>
      <w:suff w:val="space"/>
      <w:lvlText w:val="%1."/>
      <w:lvlJc w:val="left"/>
    </w:lvl>
  </w:abstractNum>
  <w:abstractNum w:abstractNumId="4">
    <w:nsid w:val="7D1FB3C2"/>
    <w:multiLevelType w:val="singleLevel"/>
    <w:tmpl w:val="7D1FB3C2"/>
    <w:lvl w:ilvl="0" w:tentative="0">
      <w:start w:val="1"/>
      <w:numFmt w:val="upperLetter"/>
      <w:suff w:val="space"/>
      <w:lvlText w:val="%1."/>
      <w:lvlJc w:val="left"/>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MzBjMzcyYTc0ZTQ5ZDg5MDU4ZDU5MjkyNGRjNGQifQ=="/>
  </w:docVars>
  <w:rsids>
    <w:rsidRoot w:val="00172A27"/>
    <w:rsid w:val="000007A4"/>
    <w:rsid w:val="0000093F"/>
    <w:rsid w:val="00000AAE"/>
    <w:rsid w:val="00000C5B"/>
    <w:rsid w:val="00001B94"/>
    <w:rsid w:val="00001DA0"/>
    <w:rsid w:val="00003C0C"/>
    <w:rsid w:val="00003F30"/>
    <w:rsid w:val="00004366"/>
    <w:rsid w:val="0000473A"/>
    <w:rsid w:val="00004E81"/>
    <w:rsid w:val="00005BD1"/>
    <w:rsid w:val="000066C4"/>
    <w:rsid w:val="000067BF"/>
    <w:rsid w:val="0000690E"/>
    <w:rsid w:val="000070BA"/>
    <w:rsid w:val="00007338"/>
    <w:rsid w:val="00007350"/>
    <w:rsid w:val="00007786"/>
    <w:rsid w:val="000078A8"/>
    <w:rsid w:val="000104AC"/>
    <w:rsid w:val="00010F63"/>
    <w:rsid w:val="000110A0"/>
    <w:rsid w:val="00011114"/>
    <w:rsid w:val="00012040"/>
    <w:rsid w:val="00012057"/>
    <w:rsid w:val="0001216A"/>
    <w:rsid w:val="00013490"/>
    <w:rsid w:val="00013902"/>
    <w:rsid w:val="00013A7B"/>
    <w:rsid w:val="000143C1"/>
    <w:rsid w:val="00014846"/>
    <w:rsid w:val="000157D9"/>
    <w:rsid w:val="000161AB"/>
    <w:rsid w:val="00016E16"/>
    <w:rsid w:val="00016E21"/>
    <w:rsid w:val="00017057"/>
    <w:rsid w:val="00017372"/>
    <w:rsid w:val="000202A4"/>
    <w:rsid w:val="00020551"/>
    <w:rsid w:val="00020AEC"/>
    <w:rsid w:val="00021DF2"/>
    <w:rsid w:val="000222E5"/>
    <w:rsid w:val="00022D56"/>
    <w:rsid w:val="00022E61"/>
    <w:rsid w:val="00022EDE"/>
    <w:rsid w:val="00023981"/>
    <w:rsid w:val="0002423F"/>
    <w:rsid w:val="00025242"/>
    <w:rsid w:val="0002526F"/>
    <w:rsid w:val="00025ADC"/>
    <w:rsid w:val="000263BA"/>
    <w:rsid w:val="000266C8"/>
    <w:rsid w:val="00026CB5"/>
    <w:rsid w:val="00027A5A"/>
    <w:rsid w:val="00027E59"/>
    <w:rsid w:val="00030A59"/>
    <w:rsid w:val="00030B77"/>
    <w:rsid w:val="00030B9B"/>
    <w:rsid w:val="00030E32"/>
    <w:rsid w:val="000314B5"/>
    <w:rsid w:val="0003182C"/>
    <w:rsid w:val="00031A17"/>
    <w:rsid w:val="0003261B"/>
    <w:rsid w:val="00032CE4"/>
    <w:rsid w:val="000331D0"/>
    <w:rsid w:val="00034230"/>
    <w:rsid w:val="000342F4"/>
    <w:rsid w:val="00034460"/>
    <w:rsid w:val="00035428"/>
    <w:rsid w:val="000356AE"/>
    <w:rsid w:val="00035765"/>
    <w:rsid w:val="00035B72"/>
    <w:rsid w:val="00036812"/>
    <w:rsid w:val="000368A6"/>
    <w:rsid w:val="0003707B"/>
    <w:rsid w:val="000371DF"/>
    <w:rsid w:val="0003744C"/>
    <w:rsid w:val="00037608"/>
    <w:rsid w:val="00040024"/>
    <w:rsid w:val="00040029"/>
    <w:rsid w:val="00040571"/>
    <w:rsid w:val="000405A5"/>
    <w:rsid w:val="000409B9"/>
    <w:rsid w:val="000409CC"/>
    <w:rsid w:val="00041CF1"/>
    <w:rsid w:val="00041FDA"/>
    <w:rsid w:val="00042AD8"/>
    <w:rsid w:val="000437E6"/>
    <w:rsid w:val="0004392E"/>
    <w:rsid w:val="000444D4"/>
    <w:rsid w:val="00044E33"/>
    <w:rsid w:val="00045630"/>
    <w:rsid w:val="0004566F"/>
    <w:rsid w:val="00045764"/>
    <w:rsid w:val="000458FF"/>
    <w:rsid w:val="00045943"/>
    <w:rsid w:val="000462BD"/>
    <w:rsid w:val="00047206"/>
    <w:rsid w:val="0004775E"/>
    <w:rsid w:val="0004795C"/>
    <w:rsid w:val="00047B52"/>
    <w:rsid w:val="00047F08"/>
    <w:rsid w:val="00047F92"/>
    <w:rsid w:val="00047FE5"/>
    <w:rsid w:val="000502C3"/>
    <w:rsid w:val="00050345"/>
    <w:rsid w:val="00050893"/>
    <w:rsid w:val="0005128C"/>
    <w:rsid w:val="000514DE"/>
    <w:rsid w:val="000515E1"/>
    <w:rsid w:val="00053577"/>
    <w:rsid w:val="00053DDA"/>
    <w:rsid w:val="00055186"/>
    <w:rsid w:val="000555AA"/>
    <w:rsid w:val="000560B1"/>
    <w:rsid w:val="00057986"/>
    <w:rsid w:val="00060D3F"/>
    <w:rsid w:val="0006188F"/>
    <w:rsid w:val="00061CE4"/>
    <w:rsid w:val="000621C6"/>
    <w:rsid w:val="00062A74"/>
    <w:rsid w:val="00063634"/>
    <w:rsid w:val="00063F89"/>
    <w:rsid w:val="00065368"/>
    <w:rsid w:val="00065CBE"/>
    <w:rsid w:val="00066352"/>
    <w:rsid w:val="0006662B"/>
    <w:rsid w:val="000668C5"/>
    <w:rsid w:val="00066B1C"/>
    <w:rsid w:val="000671C8"/>
    <w:rsid w:val="00070A7B"/>
    <w:rsid w:val="00070E8E"/>
    <w:rsid w:val="00071801"/>
    <w:rsid w:val="00072771"/>
    <w:rsid w:val="00073000"/>
    <w:rsid w:val="00073AE8"/>
    <w:rsid w:val="00073BFD"/>
    <w:rsid w:val="00074202"/>
    <w:rsid w:val="0007572D"/>
    <w:rsid w:val="00075AA9"/>
    <w:rsid w:val="00075C4E"/>
    <w:rsid w:val="00076131"/>
    <w:rsid w:val="000762AC"/>
    <w:rsid w:val="00076A6C"/>
    <w:rsid w:val="0007718E"/>
    <w:rsid w:val="00077956"/>
    <w:rsid w:val="000779D8"/>
    <w:rsid w:val="00077C16"/>
    <w:rsid w:val="00080A2C"/>
    <w:rsid w:val="00081249"/>
    <w:rsid w:val="000816D8"/>
    <w:rsid w:val="000817F7"/>
    <w:rsid w:val="00081E29"/>
    <w:rsid w:val="00082D5A"/>
    <w:rsid w:val="00083349"/>
    <w:rsid w:val="00083CB3"/>
    <w:rsid w:val="00083EEE"/>
    <w:rsid w:val="000846FF"/>
    <w:rsid w:val="00084FBE"/>
    <w:rsid w:val="00085253"/>
    <w:rsid w:val="00085B01"/>
    <w:rsid w:val="000866DB"/>
    <w:rsid w:val="000867A7"/>
    <w:rsid w:val="00086DA1"/>
    <w:rsid w:val="00087BEA"/>
    <w:rsid w:val="00090DC2"/>
    <w:rsid w:val="000917AE"/>
    <w:rsid w:val="000919AE"/>
    <w:rsid w:val="00091BDC"/>
    <w:rsid w:val="00092654"/>
    <w:rsid w:val="00092738"/>
    <w:rsid w:val="00092AFB"/>
    <w:rsid w:val="000932B0"/>
    <w:rsid w:val="000943B9"/>
    <w:rsid w:val="00094428"/>
    <w:rsid w:val="000944D4"/>
    <w:rsid w:val="0009595E"/>
    <w:rsid w:val="00095C0C"/>
    <w:rsid w:val="00095F4C"/>
    <w:rsid w:val="000963BD"/>
    <w:rsid w:val="00096637"/>
    <w:rsid w:val="00096A7F"/>
    <w:rsid w:val="00096D74"/>
    <w:rsid w:val="00097CC5"/>
    <w:rsid w:val="000A0906"/>
    <w:rsid w:val="000A090C"/>
    <w:rsid w:val="000A0FC4"/>
    <w:rsid w:val="000A11E4"/>
    <w:rsid w:val="000A19FB"/>
    <w:rsid w:val="000A1AEA"/>
    <w:rsid w:val="000A281E"/>
    <w:rsid w:val="000A28EF"/>
    <w:rsid w:val="000A2C57"/>
    <w:rsid w:val="000A432A"/>
    <w:rsid w:val="000A4986"/>
    <w:rsid w:val="000A5C1F"/>
    <w:rsid w:val="000A66B2"/>
    <w:rsid w:val="000A68C6"/>
    <w:rsid w:val="000A70CF"/>
    <w:rsid w:val="000A7C9F"/>
    <w:rsid w:val="000B018F"/>
    <w:rsid w:val="000B06BE"/>
    <w:rsid w:val="000B0975"/>
    <w:rsid w:val="000B0B09"/>
    <w:rsid w:val="000B0C69"/>
    <w:rsid w:val="000B18E4"/>
    <w:rsid w:val="000B22B7"/>
    <w:rsid w:val="000B2C2A"/>
    <w:rsid w:val="000B36AF"/>
    <w:rsid w:val="000B392D"/>
    <w:rsid w:val="000B3A1A"/>
    <w:rsid w:val="000B3C29"/>
    <w:rsid w:val="000B4C8E"/>
    <w:rsid w:val="000B5A36"/>
    <w:rsid w:val="000B5AEF"/>
    <w:rsid w:val="000B5F20"/>
    <w:rsid w:val="000B62A5"/>
    <w:rsid w:val="000B7530"/>
    <w:rsid w:val="000B7C60"/>
    <w:rsid w:val="000C007B"/>
    <w:rsid w:val="000C084A"/>
    <w:rsid w:val="000C127C"/>
    <w:rsid w:val="000C1A39"/>
    <w:rsid w:val="000C3909"/>
    <w:rsid w:val="000C40DF"/>
    <w:rsid w:val="000C45DE"/>
    <w:rsid w:val="000C5492"/>
    <w:rsid w:val="000C644B"/>
    <w:rsid w:val="000C6978"/>
    <w:rsid w:val="000C6CD3"/>
    <w:rsid w:val="000C7B1F"/>
    <w:rsid w:val="000C7B2F"/>
    <w:rsid w:val="000C7E6E"/>
    <w:rsid w:val="000D0179"/>
    <w:rsid w:val="000D07D7"/>
    <w:rsid w:val="000D10A0"/>
    <w:rsid w:val="000D13A8"/>
    <w:rsid w:val="000D2343"/>
    <w:rsid w:val="000D2A3A"/>
    <w:rsid w:val="000D30D8"/>
    <w:rsid w:val="000D32DE"/>
    <w:rsid w:val="000D3534"/>
    <w:rsid w:val="000D3D02"/>
    <w:rsid w:val="000D458F"/>
    <w:rsid w:val="000D5795"/>
    <w:rsid w:val="000D5987"/>
    <w:rsid w:val="000D5ACC"/>
    <w:rsid w:val="000D6165"/>
    <w:rsid w:val="000D6F86"/>
    <w:rsid w:val="000D7B49"/>
    <w:rsid w:val="000D7C65"/>
    <w:rsid w:val="000E086B"/>
    <w:rsid w:val="000E0FB4"/>
    <w:rsid w:val="000E1B8F"/>
    <w:rsid w:val="000E1EF3"/>
    <w:rsid w:val="000E1EFF"/>
    <w:rsid w:val="000E1F89"/>
    <w:rsid w:val="000E2A55"/>
    <w:rsid w:val="000E376B"/>
    <w:rsid w:val="000E4158"/>
    <w:rsid w:val="000E4EEC"/>
    <w:rsid w:val="000E6429"/>
    <w:rsid w:val="000E6989"/>
    <w:rsid w:val="000E6B6F"/>
    <w:rsid w:val="000E7B8C"/>
    <w:rsid w:val="000F03BD"/>
    <w:rsid w:val="000F07A3"/>
    <w:rsid w:val="000F08C4"/>
    <w:rsid w:val="000F0D33"/>
    <w:rsid w:val="000F0EC5"/>
    <w:rsid w:val="000F191C"/>
    <w:rsid w:val="000F19B7"/>
    <w:rsid w:val="000F1AC2"/>
    <w:rsid w:val="000F2637"/>
    <w:rsid w:val="000F2732"/>
    <w:rsid w:val="000F293E"/>
    <w:rsid w:val="000F2E5C"/>
    <w:rsid w:val="000F365B"/>
    <w:rsid w:val="000F385B"/>
    <w:rsid w:val="000F3D09"/>
    <w:rsid w:val="000F4242"/>
    <w:rsid w:val="000F466E"/>
    <w:rsid w:val="000F48A8"/>
    <w:rsid w:val="000F5203"/>
    <w:rsid w:val="000F5D62"/>
    <w:rsid w:val="000F61D3"/>
    <w:rsid w:val="000F6B29"/>
    <w:rsid w:val="000F7719"/>
    <w:rsid w:val="000F7B91"/>
    <w:rsid w:val="001008AE"/>
    <w:rsid w:val="00100995"/>
    <w:rsid w:val="00101317"/>
    <w:rsid w:val="00101808"/>
    <w:rsid w:val="00101F31"/>
    <w:rsid w:val="00102884"/>
    <w:rsid w:val="00102B78"/>
    <w:rsid w:val="00103047"/>
    <w:rsid w:val="00106417"/>
    <w:rsid w:val="00106501"/>
    <w:rsid w:val="00106AB5"/>
    <w:rsid w:val="00106CF7"/>
    <w:rsid w:val="00107807"/>
    <w:rsid w:val="00107D87"/>
    <w:rsid w:val="001105DB"/>
    <w:rsid w:val="0011114B"/>
    <w:rsid w:val="0011167B"/>
    <w:rsid w:val="00112503"/>
    <w:rsid w:val="00112A66"/>
    <w:rsid w:val="00112D88"/>
    <w:rsid w:val="00112E89"/>
    <w:rsid w:val="00112F0E"/>
    <w:rsid w:val="00112F9B"/>
    <w:rsid w:val="00113A97"/>
    <w:rsid w:val="00113E35"/>
    <w:rsid w:val="001147F2"/>
    <w:rsid w:val="00114B8D"/>
    <w:rsid w:val="00115EF2"/>
    <w:rsid w:val="00116347"/>
    <w:rsid w:val="00116351"/>
    <w:rsid w:val="0011666F"/>
    <w:rsid w:val="00116D16"/>
    <w:rsid w:val="00116F9E"/>
    <w:rsid w:val="00117314"/>
    <w:rsid w:val="001175E0"/>
    <w:rsid w:val="00117D06"/>
    <w:rsid w:val="00117F41"/>
    <w:rsid w:val="001206CB"/>
    <w:rsid w:val="00122088"/>
    <w:rsid w:val="00122125"/>
    <w:rsid w:val="00122A28"/>
    <w:rsid w:val="00123743"/>
    <w:rsid w:val="00125D03"/>
    <w:rsid w:val="001261D8"/>
    <w:rsid w:val="00126643"/>
    <w:rsid w:val="00126DC6"/>
    <w:rsid w:val="0012739B"/>
    <w:rsid w:val="0013005F"/>
    <w:rsid w:val="001309CA"/>
    <w:rsid w:val="00130EA4"/>
    <w:rsid w:val="001313EF"/>
    <w:rsid w:val="001316DD"/>
    <w:rsid w:val="00131C51"/>
    <w:rsid w:val="001320C4"/>
    <w:rsid w:val="001320CA"/>
    <w:rsid w:val="001322F7"/>
    <w:rsid w:val="0013239F"/>
    <w:rsid w:val="00132521"/>
    <w:rsid w:val="00133237"/>
    <w:rsid w:val="00134B40"/>
    <w:rsid w:val="00134F79"/>
    <w:rsid w:val="0013674C"/>
    <w:rsid w:val="00136A7C"/>
    <w:rsid w:val="00136B14"/>
    <w:rsid w:val="00137282"/>
    <w:rsid w:val="00140064"/>
    <w:rsid w:val="0014021D"/>
    <w:rsid w:val="0014045A"/>
    <w:rsid w:val="001405A5"/>
    <w:rsid w:val="001408E5"/>
    <w:rsid w:val="00141F18"/>
    <w:rsid w:val="0014223D"/>
    <w:rsid w:val="00142E76"/>
    <w:rsid w:val="0014358A"/>
    <w:rsid w:val="001437E7"/>
    <w:rsid w:val="00143AF5"/>
    <w:rsid w:val="0014425D"/>
    <w:rsid w:val="0014442D"/>
    <w:rsid w:val="001451CF"/>
    <w:rsid w:val="001454C5"/>
    <w:rsid w:val="00146D14"/>
    <w:rsid w:val="00147590"/>
    <w:rsid w:val="0014795C"/>
    <w:rsid w:val="001500BC"/>
    <w:rsid w:val="001509BD"/>
    <w:rsid w:val="00150B1C"/>
    <w:rsid w:val="00150BF9"/>
    <w:rsid w:val="00150E40"/>
    <w:rsid w:val="00150F2F"/>
    <w:rsid w:val="0015164C"/>
    <w:rsid w:val="00151C42"/>
    <w:rsid w:val="00151CF7"/>
    <w:rsid w:val="001524C2"/>
    <w:rsid w:val="00152B11"/>
    <w:rsid w:val="00152C03"/>
    <w:rsid w:val="00152E3F"/>
    <w:rsid w:val="00152FC4"/>
    <w:rsid w:val="00153337"/>
    <w:rsid w:val="00153BA6"/>
    <w:rsid w:val="00154014"/>
    <w:rsid w:val="001542AC"/>
    <w:rsid w:val="001546E4"/>
    <w:rsid w:val="0015475F"/>
    <w:rsid w:val="001547E3"/>
    <w:rsid w:val="001547FD"/>
    <w:rsid w:val="00154DDF"/>
    <w:rsid w:val="0015509F"/>
    <w:rsid w:val="001558CD"/>
    <w:rsid w:val="00156B7E"/>
    <w:rsid w:val="00157353"/>
    <w:rsid w:val="00160A66"/>
    <w:rsid w:val="00161640"/>
    <w:rsid w:val="00161D60"/>
    <w:rsid w:val="00162A5E"/>
    <w:rsid w:val="00162FAF"/>
    <w:rsid w:val="00163002"/>
    <w:rsid w:val="0016358A"/>
    <w:rsid w:val="00163805"/>
    <w:rsid w:val="00163A10"/>
    <w:rsid w:val="00163E21"/>
    <w:rsid w:val="001650BE"/>
    <w:rsid w:val="001661C7"/>
    <w:rsid w:val="001663CE"/>
    <w:rsid w:val="001666F5"/>
    <w:rsid w:val="0016687F"/>
    <w:rsid w:val="00166C6C"/>
    <w:rsid w:val="00166CCB"/>
    <w:rsid w:val="0016748B"/>
    <w:rsid w:val="0016756B"/>
    <w:rsid w:val="00167D39"/>
    <w:rsid w:val="00167E36"/>
    <w:rsid w:val="00171204"/>
    <w:rsid w:val="00171644"/>
    <w:rsid w:val="0017185F"/>
    <w:rsid w:val="00171EB3"/>
    <w:rsid w:val="001723A7"/>
    <w:rsid w:val="00172A27"/>
    <w:rsid w:val="0017349C"/>
    <w:rsid w:val="00173728"/>
    <w:rsid w:val="0017461D"/>
    <w:rsid w:val="0017470F"/>
    <w:rsid w:val="00174B2E"/>
    <w:rsid w:val="00175100"/>
    <w:rsid w:val="00175AE2"/>
    <w:rsid w:val="00175C21"/>
    <w:rsid w:val="00175EFA"/>
    <w:rsid w:val="00176BA3"/>
    <w:rsid w:val="00177A5D"/>
    <w:rsid w:val="00177B23"/>
    <w:rsid w:val="00180458"/>
    <w:rsid w:val="00180573"/>
    <w:rsid w:val="00180A29"/>
    <w:rsid w:val="00180E0D"/>
    <w:rsid w:val="00181982"/>
    <w:rsid w:val="00181A89"/>
    <w:rsid w:val="00181E80"/>
    <w:rsid w:val="00181EA7"/>
    <w:rsid w:val="00182174"/>
    <w:rsid w:val="001823BF"/>
    <w:rsid w:val="00182BD5"/>
    <w:rsid w:val="001834BC"/>
    <w:rsid w:val="00184945"/>
    <w:rsid w:val="00184CA7"/>
    <w:rsid w:val="00184E9F"/>
    <w:rsid w:val="0018689B"/>
    <w:rsid w:val="0018734C"/>
    <w:rsid w:val="00187553"/>
    <w:rsid w:val="00187598"/>
    <w:rsid w:val="001877B3"/>
    <w:rsid w:val="00187A07"/>
    <w:rsid w:val="0019046B"/>
    <w:rsid w:val="00190AE6"/>
    <w:rsid w:val="00190E13"/>
    <w:rsid w:val="00190E2E"/>
    <w:rsid w:val="00191414"/>
    <w:rsid w:val="0019341A"/>
    <w:rsid w:val="00194A03"/>
    <w:rsid w:val="00194E5C"/>
    <w:rsid w:val="00195790"/>
    <w:rsid w:val="00195A01"/>
    <w:rsid w:val="00195A1D"/>
    <w:rsid w:val="00195B74"/>
    <w:rsid w:val="001961D2"/>
    <w:rsid w:val="00196876"/>
    <w:rsid w:val="00196BD2"/>
    <w:rsid w:val="001970AC"/>
    <w:rsid w:val="001975E9"/>
    <w:rsid w:val="001A0301"/>
    <w:rsid w:val="001A06E9"/>
    <w:rsid w:val="001A0E44"/>
    <w:rsid w:val="001A148C"/>
    <w:rsid w:val="001A1B39"/>
    <w:rsid w:val="001A278B"/>
    <w:rsid w:val="001A27CD"/>
    <w:rsid w:val="001A2939"/>
    <w:rsid w:val="001A2E86"/>
    <w:rsid w:val="001A2ED4"/>
    <w:rsid w:val="001A3032"/>
    <w:rsid w:val="001A3227"/>
    <w:rsid w:val="001A32BA"/>
    <w:rsid w:val="001A3C76"/>
    <w:rsid w:val="001A4928"/>
    <w:rsid w:val="001A4EE4"/>
    <w:rsid w:val="001A594E"/>
    <w:rsid w:val="001A5FB4"/>
    <w:rsid w:val="001A68BD"/>
    <w:rsid w:val="001A6CA4"/>
    <w:rsid w:val="001A6EBC"/>
    <w:rsid w:val="001A76D8"/>
    <w:rsid w:val="001A7A1A"/>
    <w:rsid w:val="001B0E77"/>
    <w:rsid w:val="001B199F"/>
    <w:rsid w:val="001B303B"/>
    <w:rsid w:val="001B3AF3"/>
    <w:rsid w:val="001B4BF8"/>
    <w:rsid w:val="001B4DFD"/>
    <w:rsid w:val="001B4FBE"/>
    <w:rsid w:val="001B6850"/>
    <w:rsid w:val="001B7115"/>
    <w:rsid w:val="001B7386"/>
    <w:rsid w:val="001B73EA"/>
    <w:rsid w:val="001B78F1"/>
    <w:rsid w:val="001B7FDF"/>
    <w:rsid w:val="001C0FBF"/>
    <w:rsid w:val="001C1CFA"/>
    <w:rsid w:val="001C23A0"/>
    <w:rsid w:val="001C2638"/>
    <w:rsid w:val="001C2A89"/>
    <w:rsid w:val="001C2F72"/>
    <w:rsid w:val="001C377B"/>
    <w:rsid w:val="001C4006"/>
    <w:rsid w:val="001C484D"/>
    <w:rsid w:val="001C5235"/>
    <w:rsid w:val="001C546C"/>
    <w:rsid w:val="001C5BCA"/>
    <w:rsid w:val="001C6432"/>
    <w:rsid w:val="001C7E19"/>
    <w:rsid w:val="001D0198"/>
    <w:rsid w:val="001D09B1"/>
    <w:rsid w:val="001D0E23"/>
    <w:rsid w:val="001D19CF"/>
    <w:rsid w:val="001D200A"/>
    <w:rsid w:val="001D22B6"/>
    <w:rsid w:val="001D2E82"/>
    <w:rsid w:val="001D36BE"/>
    <w:rsid w:val="001D4AE9"/>
    <w:rsid w:val="001D564C"/>
    <w:rsid w:val="001D5B6E"/>
    <w:rsid w:val="001D65B4"/>
    <w:rsid w:val="001D6C05"/>
    <w:rsid w:val="001D730C"/>
    <w:rsid w:val="001D7AEA"/>
    <w:rsid w:val="001E033F"/>
    <w:rsid w:val="001E1574"/>
    <w:rsid w:val="001E167E"/>
    <w:rsid w:val="001E1B57"/>
    <w:rsid w:val="001E2792"/>
    <w:rsid w:val="001E27E5"/>
    <w:rsid w:val="001E2C0C"/>
    <w:rsid w:val="001E370D"/>
    <w:rsid w:val="001E4B96"/>
    <w:rsid w:val="001E4D9A"/>
    <w:rsid w:val="001E53D1"/>
    <w:rsid w:val="001E54A3"/>
    <w:rsid w:val="001E5CAF"/>
    <w:rsid w:val="001E636C"/>
    <w:rsid w:val="001E6715"/>
    <w:rsid w:val="001F2643"/>
    <w:rsid w:val="001F2D29"/>
    <w:rsid w:val="001F32F5"/>
    <w:rsid w:val="001F3A16"/>
    <w:rsid w:val="001F464E"/>
    <w:rsid w:val="001F57CF"/>
    <w:rsid w:val="001F59AB"/>
    <w:rsid w:val="001F5AA3"/>
    <w:rsid w:val="001F5B3C"/>
    <w:rsid w:val="001F61D3"/>
    <w:rsid w:val="001F6992"/>
    <w:rsid w:val="001F78F7"/>
    <w:rsid w:val="001F7E72"/>
    <w:rsid w:val="0020025A"/>
    <w:rsid w:val="002013C1"/>
    <w:rsid w:val="00201785"/>
    <w:rsid w:val="00202584"/>
    <w:rsid w:val="00203A54"/>
    <w:rsid w:val="002044C1"/>
    <w:rsid w:val="00204C0F"/>
    <w:rsid w:val="00204C3D"/>
    <w:rsid w:val="00204C76"/>
    <w:rsid w:val="0020524E"/>
    <w:rsid w:val="00205B15"/>
    <w:rsid w:val="00205B16"/>
    <w:rsid w:val="00205BC1"/>
    <w:rsid w:val="00205D18"/>
    <w:rsid w:val="0020754F"/>
    <w:rsid w:val="00207753"/>
    <w:rsid w:val="00207FE0"/>
    <w:rsid w:val="00211549"/>
    <w:rsid w:val="00211751"/>
    <w:rsid w:val="00211C10"/>
    <w:rsid w:val="00211EC2"/>
    <w:rsid w:val="00212776"/>
    <w:rsid w:val="00213057"/>
    <w:rsid w:val="00213835"/>
    <w:rsid w:val="00214B78"/>
    <w:rsid w:val="00214F62"/>
    <w:rsid w:val="00215C86"/>
    <w:rsid w:val="0021690E"/>
    <w:rsid w:val="00216AA7"/>
    <w:rsid w:val="00216E2D"/>
    <w:rsid w:val="00217ABD"/>
    <w:rsid w:val="00217BE2"/>
    <w:rsid w:val="00220069"/>
    <w:rsid w:val="002204B4"/>
    <w:rsid w:val="0022104F"/>
    <w:rsid w:val="0022135D"/>
    <w:rsid w:val="0022199D"/>
    <w:rsid w:val="00221ACA"/>
    <w:rsid w:val="00221B7E"/>
    <w:rsid w:val="002224E1"/>
    <w:rsid w:val="0022275F"/>
    <w:rsid w:val="00222D9E"/>
    <w:rsid w:val="00223694"/>
    <w:rsid w:val="00223E51"/>
    <w:rsid w:val="002245A8"/>
    <w:rsid w:val="00224A53"/>
    <w:rsid w:val="002252A8"/>
    <w:rsid w:val="00226AE5"/>
    <w:rsid w:val="002271FB"/>
    <w:rsid w:val="00227971"/>
    <w:rsid w:val="00227AE6"/>
    <w:rsid w:val="0023027D"/>
    <w:rsid w:val="00230AB4"/>
    <w:rsid w:val="00230B03"/>
    <w:rsid w:val="002315C1"/>
    <w:rsid w:val="00231C4C"/>
    <w:rsid w:val="00231FF8"/>
    <w:rsid w:val="00232151"/>
    <w:rsid w:val="002325BB"/>
    <w:rsid w:val="00232FED"/>
    <w:rsid w:val="0023368B"/>
    <w:rsid w:val="00233A30"/>
    <w:rsid w:val="0023414D"/>
    <w:rsid w:val="00234866"/>
    <w:rsid w:val="00235D78"/>
    <w:rsid w:val="002364DE"/>
    <w:rsid w:val="00236FDB"/>
    <w:rsid w:val="0023718A"/>
    <w:rsid w:val="0023769A"/>
    <w:rsid w:val="00237714"/>
    <w:rsid w:val="0023788A"/>
    <w:rsid w:val="0023795F"/>
    <w:rsid w:val="00237A0F"/>
    <w:rsid w:val="002401B5"/>
    <w:rsid w:val="002402DC"/>
    <w:rsid w:val="00240933"/>
    <w:rsid w:val="00240E1C"/>
    <w:rsid w:val="00242555"/>
    <w:rsid w:val="00242C57"/>
    <w:rsid w:val="002432A7"/>
    <w:rsid w:val="00243AD3"/>
    <w:rsid w:val="00243D3F"/>
    <w:rsid w:val="0024414C"/>
    <w:rsid w:val="00244C6D"/>
    <w:rsid w:val="00244E04"/>
    <w:rsid w:val="00244E30"/>
    <w:rsid w:val="00245DCA"/>
    <w:rsid w:val="0024793A"/>
    <w:rsid w:val="0025091C"/>
    <w:rsid w:val="00250B13"/>
    <w:rsid w:val="00250CF2"/>
    <w:rsid w:val="00251537"/>
    <w:rsid w:val="002518D6"/>
    <w:rsid w:val="00251B91"/>
    <w:rsid w:val="00252B8C"/>
    <w:rsid w:val="00253FF1"/>
    <w:rsid w:val="00254118"/>
    <w:rsid w:val="002544E2"/>
    <w:rsid w:val="00254681"/>
    <w:rsid w:val="002546BA"/>
    <w:rsid w:val="00254B17"/>
    <w:rsid w:val="00254D0E"/>
    <w:rsid w:val="00254D7A"/>
    <w:rsid w:val="0025534D"/>
    <w:rsid w:val="00256234"/>
    <w:rsid w:val="00256555"/>
    <w:rsid w:val="00256BD5"/>
    <w:rsid w:val="002572F5"/>
    <w:rsid w:val="00257619"/>
    <w:rsid w:val="00257A32"/>
    <w:rsid w:val="0026085C"/>
    <w:rsid w:val="002609F5"/>
    <w:rsid w:val="0026111F"/>
    <w:rsid w:val="002613C5"/>
    <w:rsid w:val="00263587"/>
    <w:rsid w:val="002644CE"/>
    <w:rsid w:val="002647FA"/>
    <w:rsid w:val="00264A56"/>
    <w:rsid w:val="00264DBF"/>
    <w:rsid w:val="002655CC"/>
    <w:rsid w:val="00265D86"/>
    <w:rsid w:val="0026616F"/>
    <w:rsid w:val="002663FF"/>
    <w:rsid w:val="00266B2F"/>
    <w:rsid w:val="00266F65"/>
    <w:rsid w:val="00267510"/>
    <w:rsid w:val="00267881"/>
    <w:rsid w:val="002700EC"/>
    <w:rsid w:val="00270250"/>
    <w:rsid w:val="002715AA"/>
    <w:rsid w:val="002716DF"/>
    <w:rsid w:val="00271BCA"/>
    <w:rsid w:val="00272376"/>
    <w:rsid w:val="00272766"/>
    <w:rsid w:val="00272EA3"/>
    <w:rsid w:val="00272ED0"/>
    <w:rsid w:val="00272F74"/>
    <w:rsid w:val="002736BE"/>
    <w:rsid w:val="0027370D"/>
    <w:rsid w:val="002766A1"/>
    <w:rsid w:val="00276F5D"/>
    <w:rsid w:val="00277334"/>
    <w:rsid w:val="00277A45"/>
    <w:rsid w:val="00280701"/>
    <w:rsid w:val="002807E5"/>
    <w:rsid w:val="00280916"/>
    <w:rsid w:val="00280DD7"/>
    <w:rsid w:val="0028186F"/>
    <w:rsid w:val="00281C6C"/>
    <w:rsid w:val="00282325"/>
    <w:rsid w:val="00282837"/>
    <w:rsid w:val="0028342C"/>
    <w:rsid w:val="00283683"/>
    <w:rsid w:val="00284122"/>
    <w:rsid w:val="00284669"/>
    <w:rsid w:val="002847BF"/>
    <w:rsid w:val="00284C34"/>
    <w:rsid w:val="002855CB"/>
    <w:rsid w:val="0028595F"/>
    <w:rsid w:val="00285DF5"/>
    <w:rsid w:val="00285F1F"/>
    <w:rsid w:val="00286482"/>
    <w:rsid w:val="002865B0"/>
    <w:rsid w:val="002876CB"/>
    <w:rsid w:val="0029063D"/>
    <w:rsid w:val="002906B9"/>
    <w:rsid w:val="00290F61"/>
    <w:rsid w:val="00291126"/>
    <w:rsid w:val="00291688"/>
    <w:rsid w:val="002919A4"/>
    <w:rsid w:val="00293514"/>
    <w:rsid w:val="00293750"/>
    <w:rsid w:val="00293BD3"/>
    <w:rsid w:val="002944C3"/>
    <w:rsid w:val="00294BC6"/>
    <w:rsid w:val="00294FA2"/>
    <w:rsid w:val="002960E1"/>
    <w:rsid w:val="00296E25"/>
    <w:rsid w:val="002972DA"/>
    <w:rsid w:val="002A0B57"/>
    <w:rsid w:val="002A201C"/>
    <w:rsid w:val="002A2685"/>
    <w:rsid w:val="002A2799"/>
    <w:rsid w:val="002A2E02"/>
    <w:rsid w:val="002A2F5A"/>
    <w:rsid w:val="002A36CC"/>
    <w:rsid w:val="002A399D"/>
    <w:rsid w:val="002A3C70"/>
    <w:rsid w:val="002A3E15"/>
    <w:rsid w:val="002A3ED8"/>
    <w:rsid w:val="002A45D0"/>
    <w:rsid w:val="002A4D55"/>
    <w:rsid w:val="002A550F"/>
    <w:rsid w:val="002A562A"/>
    <w:rsid w:val="002A6418"/>
    <w:rsid w:val="002A6AC2"/>
    <w:rsid w:val="002A73A9"/>
    <w:rsid w:val="002A73C1"/>
    <w:rsid w:val="002A7945"/>
    <w:rsid w:val="002A7EAA"/>
    <w:rsid w:val="002B0728"/>
    <w:rsid w:val="002B07C2"/>
    <w:rsid w:val="002B1944"/>
    <w:rsid w:val="002B1BAA"/>
    <w:rsid w:val="002B1EE9"/>
    <w:rsid w:val="002B1F36"/>
    <w:rsid w:val="002B1F74"/>
    <w:rsid w:val="002B24F2"/>
    <w:rsid w:val="002B2FD5"/>
    <w:rsid w:val="002B359A"/>
    <w:rsid w:val="002B37BB"/>
    <w:rsid w:val="002B3F17"/>
    <w:rsid w:val="002B519A"/>
    <w:rsid w:val="002B55B4"/>
    <w:rsid w:val="002B5677"/>
    <w:rsid w:val="002B5CCC"/>
    <w:rsid w:val="002B6518"/>
    <w:rsid w:val="002B6536"/>
    <w:rsid w:val="002B6B2C"/>
    <w:rsid w:val="002B7E6D"/>
    <w:rsid w:val="002C09BB"/>
    <w:rsid w:val="002C0BD3"/>
    <w:rsid w:val="002C12C7"/>
    <w:rsid w:val="002C1642"/>
    <w:rsid w:val="002C19DA"/>
    <w:rsid w:val="002C2667"/>
    <w:rsid w:val="002C2A74"/>
    <w:rsid w:val="002C2EB1"/>
    <w:rsid w:val="002C330E"/>
    <w:rsid w:val="002C3848"/>
    <w:rsid w:val="002C47F5"/>
    <w:rsid w:val="002C4842"/>
    <w:rsid w:val="002C5549"/>
    <w:rsid w:val="002C5C43"/>
    <w:rsid w:val="002C5C8D"/>
    <w:rsid w:val="002C5CF5"/>
    <w:rsid w:val="002C6C99"/>
    <w:rsid w:val="002C7155"/>
    <w:rsid w:val="002C71D2"/>
    <w:rsid w:val="002C7C70"/>
    <w:rsid w:val="002D0EF5"/>
    <w:rsid w:val="002D146D"/>
    <w:rsid w:val="002D23E6"/>
    <w:rsid w:val="002D2526"/>
    <w:rsid w:val="002D277C"/>
    <w:rsid w:val="002D3B10"/>
    <w:rsid w:val="002D46A9"/>
    <w:rsid w:val="002D4B39"/>
    <w:rsid w:val="002D55B5"/>
    <w:rsid w:val="002D57A3"/>
    <w:rsid w:val="002D5E41"/>
    <w:rsid w:val="002D6A75"/>
    <w:rsid w:val="002D6D60"/>
    <w:rsid w:val="002D72F5"/>
    <w:rsid w:val="002D733C"/>
    <w:rsid w:val="002D7E5D"/>
    <w:rsid w:val="002E0BEB"/>
    <w:rsid w:val="002E193C"/>
    <w:rsid w:val="002E1DB2"/>
    <w:rsid w:val="002E1E44"/>
    <w:rsid w:val="002E289E"/>
    <w:rsid w:val="002E2FBE"/>
    <w:rsid w:val="002E31B5"/>
    <w:rsid w:val="002E3A2C"/>
    <w:rsid w:val="002E3B50"/>
    <w:rsid w:val="002E40FE"/>
    <w:rsid w:val="002E53A2"/>
    <w:rsid w:val="002E5D6D"/>
    <w:rsid w:val="002E6375"/>
    <w:rsid w:val="002E63CF"/>
    <w:rsid w:val="002E731B"/>
    <w:rsid w:val="002E7F64"/>
    <w:rsid w:val="002E7FDF"/>
    <w:rsid w:val="002F0430"/>
    <w:rsid w:val="002F0750"/>
    <w:rsid w:val="002F1A97"/>
    <w:rsid w:val="002F2094"/>
    <w:rsid w:val="002F2279"/>
    <w:rsid w:val="002F2A4B"/>
    <w:rsid w:val="002F36B9"/>
    <w:rsid w:val="002F4B69"/>
    <w:rsid w:val="002F4CF1"/>
    <w:rsid w:val="002F4D98"/>
    <w:rsid w:val="002F4DA7"/>
    <w:rsid w:val="002F534C"/>
    <w:rsid w:val="002F6044"/>
    <w:rsid w:val="002F6803"/>
    <w:rsid w:val="002F68DB"/>
    <w:rsid w:val="002F6B48"/>
    <w:rsid w:val="002F6DCA"/>
    <w:rsid w:val="002F72F2"/>
    <w:rsid w:val="002F7904"/>
    <w:rsid w:val="002F7D81"/>
    <w:rsid w:val="00300A03"/>
    <w:rsid w:val="00300A8D"/>
    <w:rsid w:val="003024E2"/>
    <w:rsid w:val="00302B46"/>
    <w:rsid w:val="00303565"/>
    <w:rsid w:val="0030376B"/>
    <w:rsid w:val="00304283"/>
    <w:rsid w:val="003055FA"/>
    <w:rsid w:val="003059A4"/>
    <w:rsid w:val="0030740B"/>
    <w:rsid w:val="0030741F"/>
    <w:rsid w:val="0030780D"/>
    <w:rsid w:val="00307FFA"/>
    <w:rsid w:val="00310796"/>
    <w:rsid w:val="0031203A"/>
    <w:rsid w:val="00312BE4"/>
    <w:rsid w:val="00312BF3"/>
    <w:rsid w:val="00312DCE"/>
    <w:rsid w:val="00312DE5"/>
    <w:rsid w:val="00313444"/>
    <w:rsid w:val="00313B1E"/>
    <w:rsid w:val="00314A58"/>
    <w:rsid w:val="00314EC7"/>
    <w:rsid w:val="003151BA"/>
    <w:rsid w:val="00315531"/>
    <w:rsid w:val="00315B56"/>
    <w:rsid w:val="003169EC"/>
    <w:rsid w:val="00316B1C"/>
    <w:rsid w:val="00316B47"/>
    <w:rsid w:val="00316D73"/>
    <w:rsid w:val="00316D8A"/>
    <w:rsid w:val="00316DFA"/>
    <w:rsid w:val="00316EC6"/>
    <w:rsid w:val="00317357"/>
    <w:rsid w:val="003179B5"/>
    <w:rsid w:val="00320133"/>
    <w:rsid w:val="00321269"/>
    <w:rsid w:val="003225B7"/>
    <w:rsid w:val="0032304C"/>
    <w:rsid w:val="00323063"/>
    <w:rsid w:val="00323095"/>
    <w:rsid w:val="00323EDB"/>
    <w:rsid w:val="00323F1E"/>
    <w:rsid w:val="003245B7"/>
    <w:rsid w:val="00325F51"/>
    <w:rsid w:val="00326225"/>
    <w:rsid w:val="00326404"/>
    <w:rsid w:val="003264D7"/>
    <w:rsid w:val="0032710D"/>
    <w:rsid w:val="00327294"/>
    <w:rsid w:val="00330425"/>
    <w:rsid w:val="003319A6"/>
    <w:rsid w:val="00331A98"/>
    <w:rsid w:val="00332AF6"/>
    <w:rsid w:val="0033345D"/>
    <w:rsid w:val="003338B4"/>
    <w:rsid w:val="0033391D"/>
    <w:rsid w:val="0033497E"/>
    <w:rsid w:val="003349D1"/>
    <w:rsid w:val="00334C7E"/>
    <w:rsid w:val="003351A1"/>
    <w:rsid w:val="0033793C"/>
    <w:rsid w:val="00337DA5"/>
    <w:rsid w:val="0034096B"/>
    <w:rsid w:val="00341E53"/>
    <w:rsid w:val="00342BBF"/>
    <w:rsid w:val="00344472"/>
    <w:rsid w:val="00344701"/>
    <w:rsid w:val="0034533A"/>
    <w:rsid w:val="003453DF"/>
    <w:rsid w:val="00345ACB"/>
    <w:rsid w:val="003466BB"/>
    <w:rsid w:val="0034690D"/>
    <w:rsid w:val="00346BC8"/>
    <w:rsid w:val="00347FC3"/>
    <w:rsid w:val="0035065D"/>
    <w:rsid w:val="00350AD8"/>
    <w:rsid w:val="00351767"/>
    <w:rsid w:val="003528A5"/>
    <w:rsid w:val="00353556"/>
    <w:rsid w:val="00353654"/>
    <w:rsid w:val="0035386E"/>
    <w:rsid w:val="0035448E"/>
    <w:rsid w:val="0035453E"/>
    <w:rsid w:val="00354CD2"/>
    <w:rsid w:val="00354F08"/>
    <w:rsid w:val="00355731"/>
    <w:rsid w:val="00355974"/>
    <w:rsid w:val="00355E5E"/>
    <w:rsid w:val="003565F7"/>
    <w:rsid w:val="00356649"/>
    <w:rsid w:val="00357749"/>
    <w:rsid w:val="003605A6"/>
    <w:rsid w:val="003617F3"/>
    <w:rsid w:val="00361E36"/>
    <w:rsid w:val="0036232E"/>
    <w:rsid w:val="003624BB"/>
    <w:rsid w:val="003629C6"/>
    <w:rsid w:val="00363050"/>
    <w:rsid w:val="003630D8"/>
    <w:rsid w:val="00363B15"/>
    <w:rsid w:val="00364187"/>
    <w:rsid w:val="003649B8"/>
    <w:rsid w:val="00365C54"/>
    <w:rsid w:val="003662C1"/>
    <w:rsid w:val="0036698D"/>
    <w:rsid w:val="00366A92"/>
    <w:rsid w:val="00367DB5"/>
    <w:rsid w:val="00370BB6"/>
    <w:rsid w:val="00370E8D"/>
    <w:rsid w:val="00371FD6"/>
    <w:rsid w:val="003724F0"/>
    <w:rsid w:val="00372D19"/>
    <w:rsid w:val="0037317B"/>
    <w:rsid w:val="00373596"/>
    <w:rsid w:val="003735F1"/>
    <w:rsid w:val="00373BD8"/>
    <w:rsid w:val="00373E00"/>
    <w:rsid w:val="0037575A"/>
    <w:rsid w:val="00375D19"/>
    <w:rsid w:val="00375DDE"/>
    <w:rsid w:val="00376712"/>
    <w:rsid w:val="00377313"/>
    <w:rsid w:val="00377FAC"/>
    <w:rsid w:val="003813C5"/>
    <w:rsid w:val="003820C2"/>
    <w:rsid w:val="0038245B"/>
    <w:rsid w:val="00382477"/>
    <w:rsid w:val="00384604"/>
    <w:rsid w:val="00384892"/>
    <w:rsid w:val="00384BD2"/>
    <w:rsid w:val="00385496"/>
    <w:rsid w:val="003859BB"/>
    <w:rsid w:val="00385B33"/>
    <w:rsid w:val="003874B2"/>
    <w:rsid w:val="0038767A"/>
    <w:rsid w:val="00387C74"/>
    <w:rsid w:val="003905C5"/>
    <w:rsid w:val="0039094D"/>
    <w:rsid w:val="00391559"/>
    <w:rsid w:val="0039197E"/>
    <w:rsid w:val="00391F74"/>
    <w:rsid w:val="003929BC"/>
    <w:rsid w:val="00392BDE"/>
    <w:rsid w:val="00392EC4"/>
    <w:rsid w:val="0039363C"/>
    <w:rsid w:val="00393B71"/>
    <w:rsid w:val="00393D85"/>
    <w:rsid w:val="003942A1"/>
    <w:rsid w:val="0039492D"/>
    <w:rsid w:val="00394DFF"/>
    <w:rsid w:val="00394F78"/>
    <w:rsid w:val="003960ED"/>
    <w:rsid w:val="003963D2"/>
    <w:rsid w:val="003963F1"/>
    <w:rsid w:val="0039641F"/>
    <w:rsid w:val="003965F7"/>
    <w:rsid w:val="00396813"/>
    <w:rsid w:val="0039683F"/>
    <w:rsid w:val="003969BF"/>
    <w:rsid w:val="00396F3A"/>
    <w:rsid w:val="00397309"/>
    <w:rsid w:val="003A0004"/>
    <w:rsid w:val="003A07DB"/>
    <w:rsid w:val="003A1F7B"/>
    <w:rsid w:val="003A233E"/>
    <w:rsid w:val="003A3639"/>
    <w:rsid w:val="003A44A6"/>
    <w:rsid w:val="003A4CF1"/>
    <w:rsid w:val="003A5754"/>
    <w:rsid w:val="003A578A"/>
    <w:rsid w:val="003A5F42"/>
    <w:rsid w:val="003A65D8"/>
    <w:rsid w:val="003A6F1C"/>
    <w:rsid w:val="003A70B3"/>
    <w:rsid w:val="003B00F8"/>
    <w:rsid w:val="003B06E8"/>
    <w:rsid w:val="003B0F5B"/>
    <w:rsid w:val="003B1CC1"/>
    <w:rsid w:val="003B1FDE"/>
    <w:rsid w:val="003B27F2"/>
    <w:rsid w:val="003B2CBF"/>
    <w:rsid w:val="003B2E5D"/>
    <w:rsid w:val="003B3131"/>
    <w:rsid w:val="003B33AD"/>
    <w:rsid w:val="003B3E4D"/>
    <w:rsid w:val="003B3EC7"/>
    <w:rsid w:val="003B4CF7"/>
    <w:rsid w:val="003B4D13"/>
    <w:rsid w:val="003B54DE"/>
    <w:rsid w:val="003B55F3"/>
    <w:rsid w:val="003B576C"/>
    <w:rsid w:val="003B6A80"/>
    <w:rsid w:val="003B6F5D"/>
    <w:rsid w:val="003C0379"/>
    <w:rsid w:val="003C1A02"/>
    <w:rsid w:val="003C1C9D"/>
    <w:rsid w:val="003C1CC2"/>
    <w:rsid w:val="003C205F"/>
    <w:rsid w:val="003C21B0"/>
    <w:rsid w:val="003C2811"/>
    <w:rsid w:val="003C2826"/>
    <w:rsid w:val="003C2A76"/>
    <w:rsid w:val="003C33EE"/>
    <w:rsid w:val="003C3B68"/>
    <w:rsid w:val="003C436C"/>
    <w:rsid w:val="003C4CCC"/>
    <w:rsid w:val="003C5018"/>
    <w:rsid w:val="003C570C"/>
    <w:rsid w:val="003C5A46"/>
    <w:rsid w:val="003C5E49"/>
    <w:rsid w:val="003C601E"/>
    <w:rsid w:val="003C686A"/>
    <w:rsid w:val="003C6AA3"/>
    <w:rsid w:val="003C73CD"/>
    <w:rsid w:val="003C7589"/>
    <w:rsid w:val="003C7A11"/>
    <w:rsid w:val="003C7A68"/>
    <w:rsid w:val="003D10E9"/>
    <w:rsid w:val="003D1A38"/>
    <w:rsid w:val="003D1A59"/>
    <w:rsid w:val="003D1F25"/>
    <w:rsid w:val="003D2AFB"/>
    <w:rsid w:val="003D2C54"/>
    <w:rsid w:val="003D2E45"/>
    <w:rsid w:val="003D3286"/>
    <w:rsid w:val="003D33D0"/>
    <w:rsid w:val="003D412E"/>
    <w:rsid w:val="003D42C2"/>
    <w:rsid w:val="003D46DB"/>
    <w:rsid w:val="003D48A4"/>
    <w:rsid w:val="003D48D5"/>
    <w:rsid w:val="003D4DEA"/>
    <w:rsid w:val="003D5E39"/>
    <w:rsid w:val="003D6E31"/>
    <w:rsid w:val="003D6E7C"/>
    <w:rsid w:val="003D7599"/>
    <w:rsid w:val="003D7830"/>
    <w:rsid w:val="003D7FDE"/>
    <w:rsid w:val="003E0537"/>
    <w:rsid w:val="003E14C4"/>
    <w:rsid w:val="003E186A"/>
    <w:rsid w:val="003E1963"/>
    <w:rsid w:val="003E1DDE"/>
    <w:rsid w:val="003E2B8E"/>
    <w:rsid w:val="003E41A5"/>
    <w:rsid w:val="003E4316"/>
    <w:rsid w:val="003E446B"/>
    <w:rsid w:val="003E4601"/>
    <w:rsid w:val="003E4F43"/>
    <w:rsid w:val="003E5A86"/>
    <w:rsid w:val="003E5B7B"/>
    <w:rsid w:val="003E6363"/>
    <w:rsid w:val="003E6CA3"/>
    <w:rsid w:val="003E6F91"/>
    <w:rsid w:val="003E7524"/>
    <w:rsid w:val="003E77D7"/>
    <w:rsid w:val="003F0526"/>
    <w:rsid w:val="003F0849"/>
    <w:rsid w:val="003F10BE"/>
    <w:rsid w:val="003F260A"/>
    <w:rsid w:val="003F29FF"/>
    <w:rsid w:val="003F2C19"/>
    <w:rsid w:val="003F2D8A"/>
    <w:rsid w:val="003F300D"/>
    <w:rsid w:val="003F3758"/>
    <w:rsid w:val="003F3A59"/>
    <w:rsid w:val="003F48A5"/>
    <w:rsid w:val="003F4B5A"/>
    <w:rsid w:val="003F63C5"/>
    <w:rsid w:val="003F677B"/>
    <w:rsid w:val="003F6D61"/>
    <w:rsid w:val="003F7B9B"/>
    <w:rsid w:val="00400667"/>
    <w:rsid w:val="00400684"/>
    <w:rsid w:val="00400711"/>
    <w:rsid w:val="00400FEF"/>
    <w:rsid w:val="00401925"/>
    <w:rsid w:val="004020B2"/>
    <w:rsid w:val="004026DB"/>
    <w:rsid w:val="0040312D"/>
    <w:rsid w:val="00405D2C"/>
    <w:rsid w:val="00406785"/>
    <w:rsid w:val="00410628"/>
    <w:rsid w:val="00410A6F"/>
    <w:rsid w:val="00410CFD"/>
    <w:rsid w:val="00410F4C"/>
    <w:rsid w:val="00411041"/>
    <w:rsid w:val="004115AF"/>
    <w:rsid w:val="00411B3E"/>
    <w:rsid w:val="00411CF0"/>
    <w:rsid w:val="00411E14"/>
    <w:rsid w:val="00411EC1"/>
    <w:rsid w:val="0041207F"/>
    <w:rsid w:val="004124F1"/>
    <w:rsid w:val="004136CC"/>
    <w:rsid w:val="00413875"/>
    <w:rsid w:val="00414706"/>
    <w:rsid w:val="00414B11"/>
    <w:rsid w:val="00415FDB"/>
    <w:rsid w:val="004163D7"/>
    <w:rsid w:val="00416878"/>
    <w:rsid w:val="004179FF"/>
    <w:rsid w:val="00417DCE"/>
    <w:rsid w:val="00417E3C"/>
    <w:rsid w:val="00420350"/>
    <w:rsid w:val="00420963"/>
    <w:rsid w:val="00420A2E"/>
    <w:rsid w:val="00420A61"/>
    <w:rsid w:val="00420B33"/>
    <w:rsid w:val="004210F2"/>
    <w:rsid w:val="0042172D"/>
    <w:rsid w:val="00421A56"/>
    <w:rsid w:val="00421AF0"/>
    <w:rsid w:val="00422081"/>
    <w:rsid w:val="0042373F"/>
    <w:rsid w:val="00423F05"/>
    <w:rsid w:val="004244D6"/>
    <w:rsid w:val="0042494B"/>
    <w:rsid w:val="004249AD"/>
    <w:rsid w:val="00426290"/>
    <w:rsid w:val="00426681"/>
    <w:rsid w:val="00426D5A"/>
    <w:rsid w:val="0042703B"/>
    <w:rsid w:val="00427C67"/>
    <w:rsid w:val="0043028E"/>
    <w:rsid w:val="00430339"/>
    <w:rsid w:val="004306EA"/>
    <w:rsid w:val="00430E81"/>
    <w:rsid w:val="0043106B"/>
    <w:rsid w:val="004311A6"/>
    <w:rsid w:val="004314C1"/>
    <w:rsid w:val="004319B6"/>
    <w:rsid w:val="00431D62"/>
    <w:rsid w:val="0043269F"/>
    <w:rsid w:val="00432AB7"/>
    <w:rsid w:val="004333D7"/>
    <w:rsid w:val="0043446D"/>
    <w:rsid w:val="0043635F"/>
    <w:rsid w:val="00436815"/>
    <w:rsid w:val="00436A1A"/>
    <w:rsid w:val="0043769B"/>
    <w:rsid w:val="00437CBC"/>
    <w:rsid w:val="00437EE7"/>
    <w:rsid w:val="00441083"/>
    <w:rsid w:val="0044114F"/>
    <w:rsid w:val="00441855"/>
    <w:rsid w:val="00442844"/>
    <w:rsid w:val="00442B22"/>
    <w:rsid w:val="00442E2C"/>
    <w:rsid w:val="00443178"/>
    <w:rsid w:val="00443463"/>
    <w:rsid w:val="00443BCE"/>
    <w:rsid w:val="00444D72"/>
    <w:rsid w:val="0044538D"/>
    <w:rsid w:val="00445638"/>
    <w:rsid w:val="0044628C"/>
    <w:rsid w:val="00446513"/>
    <w:rsid w:val="00447811"/>
    <w:rsid w:val="00447C0A"/>
    <w:rsid w:val="00447C51"/>
    <w:rsid w:val="00447EE1"/>
    <w:rsid w:val="00450523"/>
    <w:rsid w:val="00450A70"/>
    <w:rsid w:val="004511A1"/>
    <w:rsid w:val="004514CD"/>
    <w:rsid w:val="0045229C"/>
    <w:rsid w:val="00452427"/>
    <w:rsid w:val="00452485"/>
    <w:rsid w:val="00453419"/>
    <w:rsid w:val="0045369F"/>
    <w:rsid w:val="0045392E"/>
    <w:rsid w:val="004541D2"/>
    <w:rsid w:val="004551D3"/>
    <w:rsid w:val="004558C2"/>
    <w:rsid w:val="00455B3E"/>
    <w:rsid w:val="00455EB7"/>
    <w:rsid w:val="004560A4"/>
    <w:rsid w:val="00456E3D"/>
    <w:rsid w:val="00457EEB"/>
    <w:rsid w:val="00460074"/>
    <w:rsid w:val="004600B7"/>
    <w:rsid w:val="00460406"/>
    <w:rsid w:val="004606A0"/>
    <w:rsid w:val="004617D5"/>
    <w:rsid w:val="00461A69"/>
    <w:rsid w:val="00461D7C"/>
    <w:rsid w:val="00461F5B"/>
    <w:rsid w:val="004621CC"/>
    <w:rsid w:val="00462424"/>
    <w:rsid w:val="00462FFD"/>
    <w:rsid w:val="0046332D"/>
    <w:rsid w:val="0046363B"/>
    <w:rsid w:val="00463904"/>
    <w:rsid w:val="0046467C"/>
    <w:rsid w:val="00464777"/>
    <w:rsid w:val="00464C45"/>
    <w:rsid w:val="00465D1F"/>
    <w:rsid w:val="004671B1"/>
    <w:rsid w:val="004672FB"/>
    <w:rsid w:val="004676CE"/>
    <w:rsid w:val="00467B13"/>
    <w:rsid w:val="00470663"/>
    <w:rsid w:val="00470935"/>
    <w:rsid w:val="0047136D"/>
    <w:rsid w:val="004713FF"/>
    <w:rsid w:val="00472688"/>
    <w:rsid w:val="00472F56"/>
    <w:rsid w:val="00473036"/>
    <w:rsid w:val="00473517"/>
    <w:rsid w:val="00473850"/>
    <w:rsid w:val="00474B8D"/>
    <w:rsid w:val="0047521C"/>
    <w:rsid w:val="004752F2"/>
    <w:rsid w:val="00475861"/>
    <w:rsid w:val="00475BCF"/>
    <w:rsid w:val="00475E13"/>
    <w:rsid w:val="004763D4"/>
    <w:rsid w:val="0047650C"/>
    <w:rsid w:val="00476F53"/>
    <w:rsid w:val="00477AFD"/>
    <w:rsid w:val="00480820"/>
    <w:rsid w:val="004808CC"/>
    <w:rsid w:val="00481A38"/>
    <w:rsid w:val="00481D29"/>
    <w:rsid w:val="00482230"/>
    <w:rsid w:val="00482446"/>
    <w:rsid w:val="00482668"/>
    <w:rsid w:val="00482BAA"/>
    <w:rsid w:val="00482F86"/>
    <w:rsid w:val="00483E6F"/>
    <w:rsid w:val="00483EA3"/>
    <w:rsid w:val="00484647"/>
    <w:rsid w:val="00484BEC"/>
    <w:rsid w:val="004857D4"/>
    <w:rsid w:val="004866A6"/>
    <w:rsid w:val="00487023"/>
    <w:rsid w:val="00487318"/>
    <w:rsid w:val="00487320"/>
    <w:rsid w:val="004877DB"/>
    <w:rsid w:val="0049068E"/>
    <w:rsid w:val="00490756"/>
    <w:rsid w:val="0049159F"/>
    <w:rsid w:val="00491AF0"/>
    <w:rsid w:val="00491C66"/>
    <w:rsid w:val="0049444F"/>
    <w:rsid w:val="004944EC"/>
    <w:rsid w:val="00494B8D"/>
    <w:rsid w:val="00494D2E"/>
    <w:rsid w:val="0049540F"/>
    <w:rsid w:val="004957D9"/>
    <w:rsid w:val="0049631A"/>
    <w:rsid w:val="004969C4"/>
    <w:rsid w:val="00496AE3"/>
    <w:rsid w:val="004975C8"/>
    <w:rsid w:val="0049769F"/>
    <w:rsid w:val="00497CD8"/>
    <w:rsid w:val="00497D20"/>
    <w:rsid w:val="004A02EA"/>
    <w:rsid w:val="004A0C78"/>
    <w:rsid w:val="004A0CD8"/>
    <w:rsid w:val="004A0EF4"/>
    <w:rsid w:val="004A12EE"/>
    <w:rsid w:val="004A1BF5"/>
    <w:rsid w:val="004A1CC1"/>
    <w:rsid w:val="004A26B1"/>
    <w:rsid w:val="004A35D8"/>
    <w:rsid w:val="004A4092"/>
    <w:rsid w:val="004A4496"/>
    <w:rsid w:val="004A44AB"/>
    <w:rsid w:val="004A4840"/>
    <w:rsid w:val="004A566D"/>
    <w:rsid w:val="004A5790"/>
    <w:rsid w:val="004A5AD3"/>
    <w:rsid w:val="004A660A"/>
    <w:rsid w:val="004A690F"/>
    <w:rsid w:val="004A710D"/>
    <w:rsid w:val="004A730E"/>
    <w:rsid w:val="004B06B2"/>
    <w:rsid w:val="004B08A7"/>
    <w:rsid w:val="004B08B7"/>
    <w:rsid w:val="004B0CFC"/>
    <w:rsid w:val="004B0EAE"/>
    <w:rsid w:val="004B1853"/>
    <w:rsid w:val="004B1942"/>
    <w:rsid w:val="004B19B7"/>
    <w:rsid w:val="004B1F7F"/>
    <w:rsid w:val="004B1FB9"/>
    <w:rsid w:val="004B2C42"/>
    <w:rsid w:val="004B3B0C"/>
    <w:rsid w:val="004B4072"/>
    <w:rsid w:val="004B438F"/>
    <w:rsid w:val="004B460C"/>
    <w:rsid w:val="004B4A23"/>
    <w:rsid w:val="004B4B4E"/>
    <w:rsid w:val="004B575B"/>
    <w:rsid w:val="004B647C"/>
    <w:rsid w:val="004B67C2"/>
    <w:rsid w:val="004B6AAF"/>
    <w:rsid w:val="004B7085"/>
    <w:rsid w:val="004B73AB"/>
    <w:rsid w:val="004C027E"/>
    <w:rsid w:val="004C04CC"/>
    <w:rsid w:val="004C0694"/>
    <w:rsid w:val="004C2D55"/>
    <w:rsid w:val="004C3DD2"/>
    <w:rsid w:val="004C433C"/>
    <w:rsid w:val="004C4954"/>
    <w:rsid w:val="004C56E4"/>
    <w:rsid w:val="004C5CE7"/>
    <w:rsid w:val="004C5DFF"/>
    <w:rsid w:val="004C63DD"/>
    <w:rsid w:val="004C6733"/>
    <w:rsid w:val="004C67A0"/>
    <w:rsid w:val="004C67CD"/>
    <w:rsid w:val="004C7299"/>
    <w:rsid w:val="004C73AA"/>
    <w:rsid w:val="004C7BD4"/>
    <w:rsid w:val="004D0B69"/>
    <w:rsid w:val="004D1100"/>
    <w:rsid w:val="004D165B"/>
    <w:rsid w:val="004D1D3C"/>
    <w:rsid w:val="004D1DF0"/>
    <w:rsid w:val="004D2ADE"/>
    <w:rsid w:val="004D312C"/>
    <w:rsid w:val="004D3879"/>
    <w:rsid w:val="004D3AC7"/>
    <w:rsid w:val="004D50A2"/>
    <w:rsid w:val="004D6B39"/>
    <w:rsid w:val="004D75EB"/>
    <w:rsid w:val="004D7737"/>
    <w:rsid w:val="004E109B"/>
    <w:rsid w:val="004E1426"/>
    <w:rsid w:val="004E171C"/>
    <w:rsid w:val="004E1A9F"/>
    <w:rsid w:val="004E1E59"/>
    <w:rsid w:val="004E2141"/>
    <w:rsid w:val="004E26DC"/>
    <w:rsid w:val="004E2D2C"/>
    <w:rsid w:val="004E4193"/>
    <w:rsid w:val="004E4AC6"/>
    <w:rsid w:val="004E5BF9"/>
    <w:rsid w:val="004E5C53"/>
    <w:rsid w:val="004E5DDD"/>
    <w:rsid w:val="004E6323"/>
    <w:rsid w:val="004E643D"/>
    <w:rsid w:val="004E6864"/>
    <w:rsid w:val="004E6E47"/>
    <w:rsid w:val="004E7581"/>
    <w:rsid w:val="004E7C32"/>
    <w:rsid w:val="004E7DA6"/>
    <w:rsid w:val="004F06C9"/>
    <w:rsid w:val="004F163F"/>
    <w:rsid w:val="004F1C3E"/>
    <w:rsid w:val="004F1CAC"/>
    <w:rsid w:val="004F2275"/>
    <w:rsid w:val="004F272F"/>
    <w:rsid w:val="004F293E"/>
    <w:rsid w:val="004F35F0"/>
    <w:rsid w:val="004F3964"/>
    <w:rsid w:val="004F3B98"/>
    <w:rsid w:val="004F4B51"/>
    <w:rsid w:val="004F4D0E"/>
    <w:rsid w:val="004F5123"/>
    <w:rsid w:val="004F5906"/>
    <w:rsid w:val="004F59F9"/>
    <w:rsid w:val="004F5AA1"/>
    <w:rsid w:val="004F5B8A"/>
    <w:rsid w:val="004F5DC5"/>
    <w:rsid w:val="004F60B4"/>
    <w:rsid w:val="004F61B4"/>
    <w:rsid w:val="004F6491"/>
    <w:rsid w:val="004F6C38"/>
    <w:rsid w:val="004F7326"/>
    <w:rsid w:val="004F7A13"/>
    <w:rsid w:val="00500208"/>
    <w:rsid w:val="0050056C"/>
    <w:rsid w:val="00500A79"/>
    <w:rsid w:val="00500DEE"/>
    <w:rsid w:val="00501C2E"/>
    <w:rsid w:val="005037D4"/>
    <w:rsid w:val="005038AD"/>
    <w:rsid w:val="00503B00"/>
    <w:rsid w:val="00503BA5"/>
    <w:rsid w:val="00503DEB"/>
    <w:rsid w:val="00504842"/>
    <w:rsid w:val="00504BFB"/>
    <w:rsid w:val="005050B5"/>
    <w:rsid w:val="00505BB7"/>
    <w:rsid w:val="00505D3A"/>
    <w:rsid w:val="005069F7"/>
    <w:rsid w:val="00506B0A"/>
    <w:rsid w:val="0050782A"/>
    <w:rsid w:val="00507E4E"/>
    <w:rsid w:val="005107F4"/>
    <w:rsid w:val="005107FC"/>
    <w:rsid w:val="0051135A"/>
    <w:rsid w:val="00511987"/>
    <w:rsid w:val="005119D7"/>
    <w:rsid w:val="00512AD5"/>
    <w:rsid w:val="00513C6E"/>
    <w:rsid w:val="00514807"/>
    <w:rsid w:val="005158FA"/>
    <w:rsid w:val="00515B16"/>
    <w:rsid w:val="00516033"/>
    <w:rsid w:val="005162A7"/>
    <w:rsid w:val="00516A8B"/>
    <w:rsid w:val="00517A10"/>
    <w:rsid w:val="00517C00"/>
    <w:rsid w:val="005202C0"/>
    <w:rsid w:val="00520ADC"/>
    <w:rsid w:val="00520F79"/>
    <w:rsid w:val="005212D1"/>
    <w:rsid w:val="005214E2"/>
    <w:rsid w:val="0052157F"/>
    <w:rsid w:val="0052174C"/>
    <w:rsid w:val="00521D19"/>
    <w:rsid w:val="00521E6A"/>
    <w:rsid w:val="00521FAF"/>
    <w:rsid w:val="00522B2C"/>
    <w:rsid w:val="0052311C"/>
    <w:rsid w:val="005241B9"/>
    <w:rsid w:val="005242B1"/>
    <w:rsid w:val="0052458B"/>
    <w:rsid w:val="0052497F"/>
    <w:rsid w:val="005253F0"/>
    <w:rsid w:val="005254C2"/>
    <w:rsid w:val="005254D1"/>
    <w:rsid w:val="00525907"/>
    <w:rsid w:val="00525E14"/>
    <w:rsid w:val="00525EED"/>
    <w:rsid w:val="00526287"/>
    <w:rsid w:val="0052630D"/>
    <w:rsid w:val="00526D4C"/>
    <w:rsid w:val="005271C0"/>
    <w:rsid w:val="0052765E"/>
    <w:rsid w:val="005276A5"/>
    <w:rsid w:val="00527B36"/>
    <w:rsid w:val="005305F5"/>
    <w:rsid w:val="00530898"/>
    <w:rsid w:val="00530A24"/>
    <w:rsid w:val="00530A48"/>
    <w:rsid w:val="00530F74"/>
    <w:rsid w:val="005314E8"/>
    <w:rsid w:val="00532B4B"/>
    <w:rsid w:val="00532BF2"/>
    <w:rsid w:val="00533C61"/>
    <w:rsid w:val="00533DE7"/>
    <w:rsid w:val="00534EBB"/>
    <w:rsid w:val="00535203"/>
    <w:rsid w:val="005355EF"/>
    <w:rsid w:val="005359F9"/>
    <w:rsid w:val="00535C86"/>
    <w:rsid w:val="00536EF4"/>
    <w:rsid w:val="00536FE8"/>
    <w:rsid w:val="00537236"/>
    <w:rsid w:val="00537A53"/>
    <w:rsid w:val="00537BB7"/>
    <w:rsid w:val="00537CA2"/>
    <w:rsid w:val="0054017A"/>
    <w:rsid w:val="005402AE"/>
    <w:rsid w:val="005409B8"/>
    <w:rsid w:val="00540B8E"/>
    <w:rsid w:val="00541490"/>
    <w:rsid w:val="00541B8C"/>
    <w:rsid w:val="005426A8"/>
    <w:rsid w:val="00543107"/>
    <w:rsid w:val="00543EA5"/>
    <w:rsid w:val="00543FCF"/>
    <w:rsid w:val="005444CB"/>
    <w:rsid w:val="00545213"/>
    <w:rsid w:val="005458B7"/>
    <w:rsid w:val="00545A39"/>
    <w:rsid w:val="00545E68"/>
    <w:rsid w:val="00546D83"/>
    <w:rsid w:val="00546D8B"/>
    <w:rsid w:val="0054735A"/>
    <w:rsid w:val="005473E2"/>
    <w:rsid w:val="0054757F"/>
    <w:rsid w:val="00547B6C"/>
    <w:rsid w:val="00547EF8"/>
    <w:rsid w:val="0055093A"/>
    <w:rsid w:val="00550E06"/>
    <w:rsid w:val="00550EA7"/>
    <w:rsid w:val="005517F2"/>
    <w:rsid w:val="00552026"/>
    <w:rsid w:val="005520D3"/>
    <w:rsid w:val="0055288B"/>
    <w:rsid w:val="0055374C"/>
    <w:rsid w:val="005544C6"/>
    <w:rsid w:val="0055462A"/>
    <w:rsid w:val="0055472F"/>
    <w:rsid w:val="00554974"/>
    <w:rsid w:val="00554EB2"/>
    <w:rsid w:val="0055512D"/>
    <w:rsid w:val="00555516"/>
    <w:rsid w:val="00555A5C"/>
    <w:rsid w:val="00556AD6"/>
    <w:rsid w:val="005572B9"/>
    <w:rsid w:val="005578AD"/>
    <w:rsid w:val="00557A86"/>
    <w:rsid w:val="005608BA"/>
    <w:rsid w:val="0056095B"/>
    <w:rsid w:val="00560E03"/>
    <w:rsid w:val="00561F65"/>
    <w:rsid w:val="00562576"/>
    <w:rsid w:val="00562699"/>
    <w:rsid w:val="005626DE"/>
    <w:rsid w:val="00562958"/>
    <w:rsid w:val="005631FF"/>
    <w:rsid w:val="0056353C"/>
    <w:rsid w:val="00563615"/>
    <w:rsid w:val="00563F7E"/>
    <w:rsid w:val="00564273"/>
    <w:rsid w:val="00564394"/>
    <w:rsid w:val="005644D1"/>
    <w:rsid w:val="00565089"/>
    <w:rsid w:val="00565416"/>
    <w:rsid w:val="00565417"/>
    <w:rsid w:val="00565E68"/>
    <w:rsid w:val="005665DF"/>
    <w:rsid w:val="00566AA3"/>
    <w:rsid w:val="00566ABE"/>
    <w:rsid w:val="00566CD7"/>
    <w:rsid w:val="00566E58"/>
    <w:rsid w:val="00566EB3"/>
    <w:rsid w:val="005678C7"/>
    <w:rsid w:val="00567F67"/>
    <w:rsid w:val="005700E1"/>
    <w:rsid w:val="005704A9"/>
    <w:rsid w:val="00570619"/>
    <w:rsid w:val="005709EA"/>
    <w:rsid w:val="00570A36"/>
    <w:rsid w:val="00570E79"/>
    <w:rsid w:val="00572066"/>
    <w:rsid w:val="00572315"/>
    <w:rsid w:val="00572626"/>
    <w:rsid w:val="0057287A"/>
    <w:rsid w:val="00572DC5"/>
    <w:rsid w:val="005737E8"/>
    <w:rsid w:val="00573D97"/>
    <w:rsid w:val="00574336"/>
    <w:rsid w:val="005749DA"/>
    <w:rsid w:val="00574F8A"/>
    <w:rsid w:val="00575EDC"/>
    <w:rsid w:val="005771A5"/>
    <w:rsid w:val="00577FE3"/>
    <w:rsid w:val="0058010C"/>
    <w:rsid w:val="005801E7"/>
    <w:rsid w:val="00580AE8"/>
    <w:rsid w:val="00581563"/>
    <w:rsid w:val="00581805"/>
    <w:rsid w:val="00582029"/>
    <w:rsid w:val="005828DD"/>
    <w:rsid w:val="005836AD"/>
    <w:rsid w:val="00584033"/>
    <w:rsid w:val="00584C31"/>
    <w:rsid w:val="00584D56"/>
    <w:rsid w:val="00585804"/>
    <w:rsid w:val="00585A3E"/>
    <w:rsid w:val="00585D80"/>
    <w:rsid w:val="00585F20"/>
    <w:rsid w:val="005862E7"/>
    <w:rsid w:val="005862F0"/>
    <w:rsid w:val="00586B2E"/>
    <w:rsid w:val="00586B4C"/>
    <w:rsid w:val="00586B8A"/>
    <w:rsid w:val="00587AB1"/>
    <w:rsid w:val="00587D74"/>
    <w:rsid w:val="00590200"/>
    <w:rsid w:val="00590A93"/>
    <w:rsid w:val="00591094"/>
    <w:rsid w:val="0059121C"/>
    <w:rsid w:val="0059147B"/>
    <w:rsid w:val="00591FAD"/>
    <w:rsid w:val="005920D4"/>
    <w:rsid w:val="005924D4"/>
    <w:rsid w:val="0059299A"/>
    <w:rsid w:val="00592B97"/>
    <w:rsid w:val="00592DCB"/>
    <w:rsid w:val="00593155"/>
    <w:rsid w:val="00593214"/>
    <w:rsid w:val="00593A8D"/>
    <w:rsid w:val="00593B6A"/>
    <w:rsid w:val="00594C56"/>
    <w:rsid w:val="005954AC"/>
    <w:rsid w:val="005958CA"/>
    <w:rsid w:val="00595E28"/>
    <w:rsid w:val="00596403"/>
    <w:rsid w:val="00596D0D"/>
    <w:rsid w:val="00597095"/>
    <w:rsid w:val="00597934"/>
    <w:rsid w:val="005A0230"/>
    <w:rsid w:val="005A063A"/>
    <w:rsid w:val="005A0BCF"/>
    <w:rsid w:val="005A0CB7"/>
    <w:rsid w:val="005A10EE"/>
    <w:rsid w:val="005A1E07"/>
    <w:rsid w:val="005A1E6A"/>
    <w:rsid w:val="005A1F19"/>
    <w:rsid w:val="005A258B"/>
    <w:rsid w:val="005A36D3"/>
    <w:rsid w:val="005A3726"/>
    <w:rsid w:val="005A3A08"/>
    <w:rsid w:val="005A4117"/>
    <w:rsid w:val="005A5684"/>
    <w:rsid w:val="005A5CB9"/>
    <w:rsid w:val="005A67D0"/>
    <w:rsid w:val="005A6F64"/>
    <w:rsid w:val="005A7EB5"/>
    <w:rsid w:val="005A7F3E"/>
    <w:rsid w:val="005B0356"/>
    <w:rsid w:val="005B0DAA"/>
    <w:rsid w:val="005B0EEC"/>
    <w:rsid w:val="005B1398"/>
    <w:rsid w:val="005B15EC"/>
    <w:rsid w:val="005B1706"/>
    <w:rsid w:val="005B1A72"/>
    <w:rsid w:val="005B263C"/>
    <w:rsid w:val="005B27BD"/>
    <w:rsid w:val="005B2845"/>
    <w:rsid w:val="005B3708"/>
    <w:rsid w:val="005B3803"/>
    <w:rsid w:val="005B3C59"/>
    <w:rsid w:val="005B3D4F"/>
    <w:rsid w:val="005B4020"/>
    <w:rsid w:val="005B4547"/>
    <w:rsid w:val="005B476D"/>
    <w:rsid w:val="005B4B34"/>
    <w:rsid w:val="005B4E54"/>
    <w:rsid w:val="005B540D"/>
    <w:rsid w:val="005B56F8"/>
    <w:rsid w:val="005B5B28"/>
    <w:rsid w:val="005B6DCC"/>
    <w:rsid w:val="005C08E9"/>
    <w:rsid w:val="005C11AF"/>
    <w:rsid w:val="005C195C"/>
    <w:rsid w:val="005C1FB7"/>
    <w:rsid w:val="005C257F"/>
    <w:rsid w:val="005C2C78"/>
    <w:rsid w:val="005C369D"/>
    <w:rsid w:val="005C3D91"/>
    <w:rsid w:val="005C3E37"/>
    <w:rsid w:val="005C40F8"/>
    <w:rsid w:val="005C4134"/>
    <w:rsid w:val="005C4183"/>
    <w:rsid w:val="005C43A3"/>
    <w:rsid w:val="005C5275"/>
    <w:rsid w:val="005C5E58"/>
    <w:rsid w:val="005C6594"/>
    <w:rsid w:val="005C72ED"/>
    <w:rsid w:val="005D0070"/>
    <w:rsid w:val="005D0B59"/>
    <w:rsid w:val="005D0DED"/>
    <w:rsid w:val="005D1426"/>
    <w:rsid w:val="005D17E2"/>
    <w:rsid w:val="005D3733"/>
    <w:rsid w:val="005D39A5"/>
    <w:rsid w:val="005D3C29"/>
    <w:rsid w:val="005D4124"/>
    <w:rsid w:val="005D426A"/>
    <w:rsid w:val="005D55A9"/>
    <w:rsid w:val="005D5670"/>
    <w:rsid w:val="005D64BC"/>
    <w:rsid w:val="005D7109"/>
    <w:rsid w:val="005E1989"/>
    <w:rsid w:val="005E1BBE"/>
    <w:rsid w:val="005E1D15"/>
    <w:rsid w:val="005E1ED1"/>
    <w:rsid w:val="005E22E5"/>
    <w:rsid w:val="005E2410"/>
    <w:rsid w:val="005E28A8"/>
    <w:rsid w:val="005E3605"/>
    <w:rsid w:val="005E3B3B"/>
    <w:rsid w:val="005E4071"/>
    <w:rsid w:val="005E4E4C"/>
    <w:rsid w:val="005E52C7"/>
    <w:rsid w:val="005E56A8"/>
    <w:rsid w:val="005E5829"/>
    <w:rsid w:val="005E5843"/>
    <w:rsid w:val="005E5BD2"/>
    <w:rsid w:val="005E5BDE"/>
    <w:rsid w:val="005E5C14"/>
    <w:rsid w:val="005E63EE"/>
    <w:rsid w:val="005E6893"/>
    <w:rsid w:val="005E6A76"/>
    <w:rsid w:val="005E6ADA"/>
    <w:rsid w:val="005E6B97"/>
    <w:rsid w:val="005E6C56"/>
    <w:rsid w:val="005E7487"/>
    <w:rsid w:val="005E7A01"/>
    <w:rsid w:val="005E7BDB"/>
    <w:rsid w:val="005E7D85"/>
    <w:rsid w:val="005F0080"/>
    <w:rsid w:val="005F031C"/>
    <w:rsid w:val="005F06B5"/>
    <w:rsid w:val="005F0D83"/>
    <w:rsid w:val="005F15E0"/>
    <w:rsid w:val="005F251B"/>
    <w:rsid w:val="005F28C0"/>
    <w:rsid w:val="005F2A97"/>
    <w:rsid w:val="005F2DAE"/>
    <w:rsid w:val="005F323C"/>
    <w:rsid w:val="005F324F"/>
    <w:rsid w:val="005F35B2"/>
    <w:rsid w:val="005F4315"/>
    <w:rsid w:val="005F6626"/>
    <w:rsid w:val="005F6D35"/>
    <w:rsid w:val="005F7F96"/>
    <w:rsid w:val="006001C2"/>
    <w:rsid w:val="006005E5"/>
    <w:rsid w:val="00600711"/>
    <w:rsid w:val="0060129C"/>
    <w:rsid w:val="00601A73"/>
    <w:rsid w:val="006022A8"/>
    <w:rsid w:val="006023F7"/>
    <w:rsid w:val="00602C9A"/>
    <w:rsid w:val="00603B46"/>
    <w:rsid w:val="00604EE7"/>
    <w:rsid w:val="00604F9F"/>
    <w:rsid w:val="006054DF"/>
    <w:rsid w:val="0060575E"/>
    <w:rsid w:val="00605B0C"/>
    <w:rsid w:val="00605CB1"/>
    <w:rsid w:val="00605E8D"/>
    <w:rsid w:val="0060608E"/>
    <w:rsid w:val="00606714"/>
    <w:rsid w:val="00606DD7"/>
    <w:rsid w:val="0060770B"/>
    <w:rsid w:val="00607D17"/>
    <w:rsid w:val="0061005D"/>
    <w:rsid w:val="00610C34"/>
    <w:rsid w:val="00610D32"/>
    <w:rsid w:val="00610FC1"/>
    <w:rsid w:val="00611456"/>
    <w:rsid w:val="0061175D"/>
    <w:rsid w:val="00611A96"/>
    <w:rsid w:val="0061259D"/>
    <w:rsid w:val="00614470"/>
    <w:rsid w:val="006146F7"/>
    <w:rsid w:val="00616833"/>
    <w:rsid w:val="00616CA9"/>
    <w:rsid w:val="00616F94"/>
    <w:rsid w:val="00617D73"/>
    <w:rsid w:val="006201D1"/>
    <w:rsid w:val="00620BB7"/>
    <w:rsid w:val="00620D97"/>
    <w:rsid w:val="00620E6C"/>
    <w:rsid w:val="00621434"/>
    <w:rsid w:val="006214C8"/>
    <w:rsid w:val="00621831"/>
    <w:rsid w:val="00621A12"/>
    <w:rsid w:val="00621EB3"/>
    <w:rsid w:val="0062307F"/>
    <w:rsid w:val="0062553B"/>
    <w:rsid w:val="0062636A"/>
    <w:rsid w:val="00626483"/>
    <w:rsid w:val="00626772"/>
    <w:rsid w:val="00627112"/>
    <w:rsid w:val="0063020F"/>
    <w:rsid w:val="00630274"/>
    <w:rsid w:val="00630436"/>
    <w:rsid w:val="00630D9C"/>
    <w:rsid w:val="0063242C"/>
    <w:rsid w:val="0063294D"/>
    <w:rsid w:val="00633291"/>
    <w:rsid w:val="00633301"/>
    <w:rsid w:val="006345EE"/>
    <w:rsid w:val="00634A0A"/>
    <w:rsid w:val="0063510F"/>
    <w:rsid w:val="0063660D"/>
    <w:rsid w:val="00636904"/>
    <w:rsid w:val="00636A9B"/>
    <w:rsid w:val="0063722D"/>
    <w:rsid w:val="006372DA"/>
    <w:rsid w:val="0063755C"/>
    <w:rsid w:val="006376C5"/>
    <w:rsid w:val="0063777A"/>
    <w:rsid w:val="006402A8"/>
    <w:rsid w:val="0064038F"/>
    <w:rsid w:val="00640466"/>
    <w:rsid w:val="00642101"/>
    <w:rsid w:val="006428CE"/>
    <w:rsid w:val="00642D6B"/>
    <w:rsid w:val="00643388"/>
    <w:rsid w:val="0064342D"/>
    <w:rsid w:val="00643881"/>
    <w:rsid w:val="00645FE8"/>
    <w:rsid w:val="00646A51"/>
    <w:rsid w:val="00647A39"/>
    <w:rsid w:val="00651171"/>
    <w:rsid w:val="006511EF"/>
    <w:rsid w:val="00651284"/>
    <w:rsid w:val="00651597"/>
    <w:rsid w:val="00651BB0"/>
    <w:rsid w:val="00651C44"/>
    <w:rsid w:val="00652999"/>
    <w:rsid w:val="00652B6C"/>
    <w:rsid w:val="00653804"/>
    <w:rsid w:val="006548CB"/>
    <w:rsid w:val="006559DE"/>
    <w:rsid w:val="00655AF9"/>
    <w:rsid w:val="00655CB8"/>
    <w:rsid w:val="0065760F"/>
    <w:rsid w:val="00657751"/>
    <w:rsid w:val="006578E9"/>
    <w:rsid w:val="00660731"/>
    <w:rsid w:val="00660C17"/>
    <w:rsid w:val="006611AE"/>
    <w:rsid w:val="00661244"/>
    <w:rsid w:val="0066134D"/>
    <w:rsid w:val="0066230F"/>
    <w:rsid w:val="00662EC1"/>
    <w:rsid w:val="006632F1"/>
    <w:rsid w:val="00663CF4"/>
    <w:rsid w:val="00664898"/>
    <w:rsid w:val="00664A6E"/>
    <w:rsid w:val="00664F23"/>
    <w:rsid w:val="0066559C"/>
    <w:rsid w:val="00665903"/>
    <w:rsid w:val="00665F11"/>
    <w:rsid w:val="00666A2D"/>
    <w:rsid w:val="00666D1B"/>
    <w:rsid w:val="00670706"/>
    <w:rsid w:val="00670A61"/>
    <w:rsid w:val="006719D5"/>
    <w:rsid w:val="006723DB"/>
    <w:rsid w:val="00672471"/>
    <w:rsid w:val="00672F3B"/>
    <w:rsid w:val="0067309C"/>
    <w:rsid w:val="00674043"/>
    <w:rsid w:val="00674496"/>
    <w:rsid w:val="006748EC"/>
    <w:rsid w:val="00674933"/>
    <w:rsid w:val="00674D5A"/>
    <w:rsid w:val="00675C15"/>
    <w:rsid w:val="0067677A"/>
    <w:rsid w:val="00676C2A"/>
    <w:rsid w:val="00677AF5"/>
    <w:rsid w:val="0068046A"/>
    <w:rsid w:val="00680777"/>
    <w:rsid w:val="006807A9"/>
    <w:rsid w:val="00682787"/>
    <w:rsid w:val="0068373B"/>
    <w:rsid w:val="00683B46"/>
    <w:rsid w:val="00683C02"/>
    <w:rsid w:val="00684541"/>
    <w:rsid w:val="00684B14"/>
    <w:rsid w:val="00684C07"/>
    <w:rsid w:val="00686350"/>
    <w:rsid w:val="00686B69"/>
    <w:rsid w:val="00687112"/>
    <w:rsid w:val="0068778B"/>
    <w:rsid w:val="00690065"/>
    <w:rsid w:val="0069019F"/>
    <w:rsid w:val="00690349"/>
    <w:rsid w:val="00690855"/>
    <w:rsid w:val="006914FF"/>
    <w:rsid w:val="00691AE0"/>
    <w:rsid w:val="006923F7"/>
    <w:rsid w:val="006929D8"/>
    <w:rsid w:val="00692AE4"/>
    <w:rsid w:val="006933A4"/>
    <w:rsid w:val="006936B9"/>
    <w:rsid w:val="00693748"/>
    <w:rsid w:val="006937C1"/>
    <w:rsid w:val="00693867"/>
    <w:rsid w:val="0069386B"/>
    <w:rsid w:val="006938DF"/>
    <w:rsid w:val="00693D4F"/>
    <w:rsid w:val="0069407E"/>
    <w:rsid w:val="0069425E"/>
    <w:rsid w:val="00694488"/>
    <w:rsid w:val="00695B68"/>
    <w:rsid w:val="006960ED"/>
    <w:rsid w:val="00696786"/>
    <w:rsid w:val="006971D2"/>
    <w:rsid w:val="00697D5F"/>
    <w:rsid w:val="00697DBB"/>
    <w:rsid w:val="00697E1A"/>
    <w:rsid w:val="006A12B3"/>
    <w:rsid w:val="006A1588"/>
    <w:rsid w:val="006A1E79"/>
    <w:rsid w:val="006A26CA"/>
    <w:rsid w:val="006A2AC9"/>
    <w:rsid w:val="006A30A3"/>
    <w:rsid w:val="006A32E1"/>
    <w:rsid w:val="006A3636"/>
    <w:rsid w:val="006A38E5"/>
    <w:rsid w:val="006A3C4A"/>
    <w:rsid w:val="006A3F53"/>
    <w:rsid w:val="006A41B2"/>
    <w:rsid w:val="006A498D"/>
    <w:rsid w:val="006A4FAA"/>
    <w:rsid w:val="006A5798"/>
    <w:rsid w:val="006A5D40"/>
    <w:rsid w:val="006A616E"/>
    <w:rsid w:val="006A673E"/>
    <w:rsid w:val="006A68BF"/>
    <w:rsid w:val="006A6F35"/>
    <w:rsid w:val="006A72B2"/>
    <w:rsid w:val="006A7D23"/>
    <w:rsid w:val="006A7E74"/>
    <w:rsid w:val="006B0263"/>
    <w:rsid w:val="006B04E1"/>
    <w:rsid w:val="006B1488"/>
    <w:rsid w:val="006B2D6C"/>
    <w:rsid w:val="006B2FF4"/>
    <w:rsid w:val="006B34C2"/>
    <w:rsid w:val="006B3639"/>
    <w:rsid w:val="006B4444"/>
    <w:rsid w:val="006B4B20"/>
    <w:rsid w:val="006B4E1C"/>
    <w:rsid w:val="006B5635"/>
    <w:rsid w:val="006B5DCC"/>
    <w:rsid w:val="006B5F1A"/>
    <w:rsid w:val="006B6152"/>
    <w:rsid w:val="006B6198"/>
    <w:rsid w:val="006B726F"/>
    <w:rsid w:val="006B72E1"/>
    <w:rsid w:val="006B793C"/>
    <w:rsid w:val="006B7AE3"/>
    <w:rsid w:val="006B7B83"/>
    <w:rsid w:val="006C028E"/>
    <w:rsid w:val="006C1A3C"/>
    <w:rsid w:val="006C226D"/>
    <w:rsid w:val="006C2A2C"/>
    <w:rsid w:val="006C331C"/>
    <w:rsid w:val="006C38EC"/>
    <w:rsid w:val="006C38F0"/>
    <w:rsid w:val="006C5CE5"/>
    <w:rsid w:val="006C7050"/>
    <w:rsid w:val="006C785B"/>
    <w:rsid w:val="006C7ED2"/>
    <w:rsid w:val="006D0BC9"/>
    <w:rsid w:val="006D0CD0"/>
    <w:rsid w:val="006D0D04"/>
    <w:rsid w:val="006D14EB"/>
    <w:rsid w:val="006D2136"/>
    <w:rsid w:val="006D22B5"/>
    <w:rsid w:val="006D241A"/>
    <w:rsid w:val="006D2D87"/>
    <w:rsid w:val="006D2F9C"/>
    <w:rsid w:val="006D4268"/>
    <w:rsid w:val="006D44A5"/>
    <w:rsid w:val="006D5140"/>
    <w:rsid w:val="006D5A4E"/>
    <w:rsid w:val="006D5A80"/>
    <w:rsid w:val="006D671D"/>
    <w:rsid w:val="006D686C"/>
    <w:rsid w:val="006D784B"/>
    <w:rsid w:val="006E0274"/>
    <w:rsid w:val="006E079F"/>
    <w:rsid w:val="006E0FF1"/>
    <w:rsid w:val="006E1FAA"/>
    <w:rsid w:val="006E26F2"/>
    <w:rsid w:val="006E2982"/>
    <w:rsid w:val="006E35CF"/>
    <w:rsid w:val="006E4F3B"/>
    <w:rsid w:val="006E5907"/>
    <w:rsid w:val="006E70EB"/>
    <w:rsid w:val="006E7370"/>
    <w:rsid w:val="006E7D30"/>
    <w:rsid w:val="006F02A2"/>
    <w:rsid w:val="006F0626"/>
    <w:rsid w:val="006F088D"/>
    <w:rsid w:val="006F0CA5"/>
    <w:rsid w:val="006F13FE"/>
    <w:rsid w:val="006F2484"/>
    <w:rsid w:val="006F2A72"/>
    <w:rsid w:val="006F2D43"/>
    <w:rsid w:val="006F3075"/>
    <w:rsid w:val="006F3B0C"/>
    <w:rsid w:val="006F3B61"/>
    <w:rsid w:val="006F4D15"/>
    <w:rsid w:val="006F4EEA"/>
    <w:rsid w:val="006F6096"/>
    <w:rsid w:val="006F6101"/>
    <w:rsid w:val="006F6141"/>
    <w:rsid w:val="006F6DF8"/>
    <w:rsid w:val="006F70F2"/>
    <w:rsid w:val="006F7215"/>
    <w:rsid w:val="006F7602"/>
    <w:rsid w:val="00700047"/>
    <w:rsid w:val="007007AC"/>
    <w:rsid w:val="0070086B"/>
    <w:rsid w:val="007024B4"/>
    <w:rsid w:val="0070302C"/>
    <w:rsid w:val="007041C8"/>
    <w:rsid w:val="00704FC1"/>
    <w:rsid w:val="00705C3C"/>
    <w:rsid w:val="00705C7D"/>
    <w:rsid w:val="00706271"/>
    <w:rsid w:val="007067BE"/>
    <w:rsid w:val="00706F06"/>
    <w:rsid w:val="007076C4"/>
    <w:rsid w:val="00707B95"/>
    <w:rsid w:val="00707BD9"/>
    <w:rsid w:val="00707DC3"/>
    <w:rsid w:val="00707E73"/>
    <w:rsid w:val="007100A0"/>
    <w:rsid w:val="00710117"/>
    <w:rsid w:val="00710497"/>
    <w:rsid w:val="00711020"/>
    <w:rsid w:val="00711BB0"/>
    <w:rsid w:val="00711CE1"/>
    <w:rsid w:val="00711D91"/>
    <w:rsid w:val="00712674"/>
    <w:rsid w:val="007126B5"/>
    <w:rsid w:val="00712E6D"/>
    <w:rsid w:val="00712F7C"/>
    <w:rsid w:val="00713906"/>
    <w:rsid w:val="00713AE8"/>
    <w:rsid w:val="00714378"/>
    <w:rsid w:val="0071536F"/>
    <w:rsid w:val="007166B7"/>
    <w:rsid w:val="007167E2"/>
    <w:rsid w:val="0071739A"/>
    <w:rsid w:val="0071794C"/>
    <w:rsid w:val="00717FDF"/>
    <w:rsid w:val="0072026E"/>
    <w:rsid w:val="00720529"/>
    <w:rsid w:val="00720724"/>
    <w:rsid w:val="00720C64"/>
    <w:rsid w:val="00722DD6"/>
    <w:rsid w:val="00723962"/>
    <w:rsid w:val="007245F1"/>
    <w:rsid w:val="0072530F"/>
    <w:rsid w:val="00725C43"/>
    <w:rsid w:val="0072613C"/>
    <w:rsid w:val="00726AE5"/>
    <w:rsid w:val="007271C6"/>
    <w:rsid w:val="007273F4"/>
    <w:rsid w:val="007276B2"/>
    <w:rsid w:val="00727F3E"/>
    <w:rsid w:val="007300F0"/>
    <w:rsid w:val="007304B4"/>
    <w:rsid w:val="00730506"/>
    <w:rsid w:val="0073075D"/>
    <w:rsid w:val="007308C2"/>
    <w:rsid w:val="0073199D"/>
    <w:rsid w:val="00732275"/>
    <w:rsid w:val="00732A51"/>
    <w:rsid w:val="00732BFD"/>
    <w:rsid w:val="00732DB6"/>
    <w:rsid w:val="0073335A"/>
    <w:rsid w:val="00733B04"/>
    <w:rsid w:val="00733B63"/>
    <w:rsid w:val="00734150"/>
    <w:rsid w:val="00734568"/>
    <w:rsid w:val="007345B9"/>
    <w:rsid w:val="0073481A"/>
    <w:rsid w:val="00734833"/>
    <w:rsid w:val="007359D5"/>
    <w:rsid w:val="0073621B"/>
    <w:rsid w:val="00736435"/>
    <w:rsid w:val="0073737A"/>
    <w:rsid w:val="00737606"/>
    <w:rsid w:val="007378A4"/>
    <w:rsid w:val="007379C3"/>
    <w:rsid w:val="00740135"/>
    <w:rsid w:val="0074121D"/>
    <w:rsid w:val="00741C01"/>
    <w:rsid w:val="0074319C"/>
    <w:rsid w:val="00743DD6"/>
    <w:rsid w:val="007444D0"/>
    <w:rsid w:val="007446A0"/>
    <w:rsid w:val="007447A9"/>
    <w:rsid w:val="007451AD"/>
    <w:rsid w:val="007451D9"/>
    <w:rsid w:val="0074538B"/>
    <w:rsid w:val="00745A61"/>
    <w:rsid w:val="00746FDE"/>
    <w:rsid w:val="00747027"/>
    <w:rsid w:val="007503D8"/>
    <w:rsid w:val="007503FE"/>
    <w:rsid w:val="007507AB"/>
    <w:rsid w:val="0075092C"/>
    <w:rsid w:val="00750A81"/>
    <w:rsid w:val="00750C61"/>
    <w:rsid w:val="00750F06"/>
    <w:rsid w:val="00751E9D"/>
    <w:rsid w:val="007528E4"/>
    <w:rsid w:val="00753900"/>
    <w:rsid w:val="00753B9B"/>
    <w:rsid w:val="00754693"/>
    <w:rsid w:val="0075485D"/>
    <w:rsid w:val="00755BE1"/>
    <w:rsid w:val="007571D4"/>
    <w:rsid w:val="00757282"/>
    <w:rsid w:val="0076004B"/>
    <w:rsid w:val="00760762"/>
    <w:rsid w:val="00760AFB"/>
    <w:rsid w:val="00762592"/>
    <w:rsid w:val="00762805"/>
    <w:rsid w:val="007628E7"/>
    <w:rsid w:val="00762C6D"/>
    <w:rsid w:val="0076351C"/>
    <w:rsid w:val="007637EB"/>
    <w:rsid w:val="007638F5"/>
    <w:rsid w:val="007639E5"/>
    <w:rsid w:val="00765408"/>
    <w:rsid w:val="007654B7"/>
    <w:rsid w:val="0076593F"/>
    <w:rsid w:val="00765ACC"/>
    <w:rsid w:val="007660BB"/>
    <w:rsid w:val="007666E0"/>
    <w:rsid w:val="00766A6A"/>
    <w:rsid w:val="00767070"/>
    <w:rsid w:val="00767570"/>
    <w:rsid w:val="007675B2"/>
    <w:rsid w:val="00767937"/>
    <w:rsid w:val="00767C3B"/>
    <w:rsid w:val="00767C5F"/>
    <w:rsid w:val="00767CAE"/>
    <w:rsid w:val="00767EA1"/>
    <w:rsid w:val="00767EA6"/>
    <w:rsid w:val="00767FDA"/>
    <w:rsid w:val="007700C3"/>
    <w:rsid w:val="007700E6"/>
    <w:rsid w:val="00770F47"/>
    <w:rsid w:val="00770F81"/>
    <w:rsid w:val="007719FC"/>
    <w:rsid w:val="00771F86"/>
    <w:rsid w:val="007725B9"/>
    <w:rsid w:val="00772742"/>
    <w:rsid w:val="007731E3"/>
    <w:rsid w:val="00773A0D"/>
    <w:rsid w:val="007747FC"/>
    <w:rsid w:val="00774C15"/>
    <w:rsid w:val="00774DB3"/>
    <w:rsid w:val="0077521D"/>
    <w:rsid w:val="007755BC"/>
    <w:rsid w:val="0077577C"/>
    <w:rsid w:val="00775FE1"/>
    <w:rsid w:val="007768B1"/>
    <w:rsid w:val="00776B8D"/>
    <w:rsid w:val="00776CF7"/>
    <w:rsid w:val="00776DE4"/>
    <w:rsid w:val="00777569"/>
    <w:rsid w:val="007775AB"/>
    <w:rsid w:val="00777BC4"/>
    <w:rsid w:val="007824B0"/>
    <w:rsid w:val="0078291E"/>
    <w:rsid w:val="00782969"/>
    <w:rsid w:val="00782C98"/>
    <w:rsid w:val="00782D0A"/>
    <w:rsid w:val="00782EEB"/>
    <w:rsid w:val="00783FE0"/>
    <w:rsid w:val="007842C8"/>
    <w:rsid w:val="00784D05"/>
    <w:rsid w:val="007853FA"/>
    <w:rsid w:val="00785E74"/>
    <w:rsid w:val="00786055"/>
    <w:rsid w:val="007902C4"/>
    <w:rsid w:val="00790BE1"/>
    <w:rsid w:val="007916C9"/>
    <w:rsid w:val="0079173A"/>
    <w:rsid w:val="00791F16"/>
    <w:rsid w:val="00791F27"/>
    <w:rsid w:val="007924AC"/>
    <w:rsid w:val="00792B14"/>
    <w:rsid w:val="007940E3"/>
    <w:rsid w:val="00794560"/>
    <w:rsid w:val="00794CCB"/>
    <w:rsid w:val="0079550B"/>
    <w:rsid w:val="007955E5"/>
    <w:rsid w:val="007958AE"/>
    <w:rsid w:val="0079670E"/>
    <w:rsid w:val="00797704"/>
    <w:rsid w:val="0079791B"/>
    <w:rsid w:val="00797986"/>
    <w:rsid w:val="007A004C"/>
    <w:rsid w:val="007A05FC"/>
    <w:rsid w:val="007A07F1"/>
    <w:rsid w:val="007A12E2"/>
    <w:rsid w:val="007A1D03"/>
    <w:rsid w:val="007A1DF8"/>
    <w:rsid w:val="007A1F69"/>
    <w:rsid w:val="007A2157"/>
    <w:rsid w:val="007A314B"/>
    <w:rsid w:val="007A3750"/>
    <w:rsid w:val="007A3FD9"/>
    <w:rsid w:val="007A4579"/>
    <w:rsid w:val="007A45E0"/>
    <w:rsid w:val="007A4D9C"/>
    <w:rsid w:val="007A613F"/>
    <w:rsid w:val="007A66F2"/>
    <w:rsid w:val="007A6B12"/>
    <w:rsid w:val="007A6D90"/>
    <w:rsid w:val="007A6E66"/>
    <w:rsid w:val="007A71B7"/>
    <w:rsid w:val="007A7216"/>
    <w:rsid w:val="007A758A"/>
    <w:rsid w:val="007A77B0"/>
    <w:rsid w:val="007B06A3"/>
    <w:rsid w:val="007B09F6"/>
    <w:rsid w:val="007B0C65"/>
    <w:rsid w:val="007B0E8E"/>
    <w:rsid w:val="007B1E31"/>
    <w:rsid w:val="007B2957"/>
    <w:rsid w:val="007B308B"/>
    <w:rsid w:val="007B3098"/>
    <w:rsid w:val="007B32D4"/>
    <w:rsid w:val="007B36C9"/>
    <w:rsid w:val="007B3796"/>
    <w:rsid w:val="007B4541"/>
    <w:rsid w:val="007B5131"/>
    <w:rsid w:val="007B6199"/>
    <w:rsid w:val="007B6AA0"/>
    <w:rsid w:val="007B7321"/>
    <w:rsid w:val="007C1025"/>
    <w:rsid w:val="007C104E"/>
    <w:rsid w:val="007C141A"/>
    <w:rsid w:val="007C17C5"/>
    <w:rsid w:val="007C3548"/>
    <w:rsid w:val="007C424E"/>
    <w:rsid w:val="007C7256"/>
    <w:rsid w:val="007C76D1"/>
    <w:rsid w:val="007D0055"/>
    <w:rsid w:val="007D216F"/>
    <w:rsid w:val="007D221A"/>
    <w:rsid w:val="007D234B"/>
    <w:rsid w:val="007D2E7D"/>
    <w:rsid w:val="007D32B9"/>
    <w:rsid w:val="007D381B"/>
    <w:rsid w:val="007D3E9B"/>
    <w:rsid w:val="007D45B6"/>
    <w:rsid w:val="007D4BB8"/>
    <w:rsid w:val="007D4FD5"/>
    <w:rsid w:val="007D574D"/>
    <w:rsid w:val="007D5CDE"/>
    <w:rsid w:val="007D5D4D"/>
    <w:rsid w:val="007E015B"/>
    <w:rsid w:val="007E06B7"/>
    <w:rsid w:val="007E08C4"/>
    <w:rsid w:val="007E1180"/>
    <w:rsid w:val="007E11D2"/>
    <w:rsid w:val="007E1D23"/>
    <w:rsid w:val="007E1D95"/>
    <w:rsid w:val="007E1F4E"/>
    <w:rsid w:val="007E2319"/>
    <w:rsid w:val="007E254B"/>
    <w:rsid w:val="007E268A"/>
    <w:rsid w:val="007E2D81"/>
    <w:rsid w:val="007E2E28"/>
    <w:rsid w:val="007E3832"/>
    <w:rsid w:val="007E39F9"/>
    <w:rsid w:val="007E3D6A"/>
    <w:rsid w:val="007E3E24"/>
    <w:rsid w:val="007E4567"/>
    <w:rsid w:val="007E495B"/>
    <w:rsid w:val="007E4FE5"/>
    <w:rsid w:val="007E5385"/>
    <w:rsid w:val="007E540D"/>
    <w:rsid w:val="007E63F9"/>
    <w:rsid w:val="007E6479"/>
    <w:rsid w:val="007E64B4"/>
    <w:rsid w:val="007E693A"/>
    <w:rsid w:val="007E71A2"/>
    <w:rsid w:val="007E7D46"/>
    <w:rsid w:val="007F0116"/>
    <w:rsid w:val="007F05AD"/>
    <w:rsid w:val="007F065F"/>
    <w:rsid w:val="007F0BFA"/>
    <w:rsid w:val="007F172C"/>
    <w:rsid w:val="007F3B28"/>
    <w:rsid w:val="007F3C7D"/>
    <w:rsid w:val="007F51B2"/>
    <w:rsid w:val="007F5294"/>
    <w:rsid w:val="007F52B5"/>
    <w:rsid w:val="007F56A0"/>
    <w:rsid w:val="007F6050"/>
    <w:rsid w:val="007F6763"/>
    <w:rsid w:val="007F7047"/>
    <w:rsid w:val="007F75F4"/>
    <w:rsid w:val="007F76E6"/>
    <w:rsid w:val="0080027D"/>
    <w:rsid w:val="008003E6"/>
    <w:rsid w:val="00801457"/>
    <w:rsid w:val="00801CA8"/>
    <w:rsid w:val="00801FAC"/>
    <w:rsid w:val="008023E2"/>
    <w:rsid w:val="008024DE"/>
    <w:rsid w:val="00802BE4"/>
    <w:rsid w:val="00803660"/>
    <w:rsid w:val="00803D69"/>
    <w:rsid w:val="008041E0"/>
    <w:rsid w:val="00804376"/>
    <w:rsid w:val="0080499C"/>
    <w:rsid w:val="00804ABB"/>
    <w:rsid w:val="00804AD7"/>
    <w:rsid w:val="00805681"/>
    <w:rsid w:val="00805926"/>
    <w:rsid w:val="008059B3"/>
    <w:rsid w:val="00805B79"/>
    <w:rsid w:val="00805F6E"/>
    <w:rsid w:val="008060C6"/>
    <w:rsid w:val="00806BBD"/>
    <w:rsid w:val="00807412"/>
    <w:rsid w:val="00807A02"/>
    <w:rsid w:val="00807BD8"/>
    <w:rsid w:val="00807CCD"/>
    <w:rsid w:val="0081058B"/>
    <w:rsid w:val="008112D2"/>
    <w:rsid w:val="00811B3A"/>
    <w:rsid w:val="008125D3"/>
    <w:rsid w:val="00812B07"/>
    <w:rsid w:val="00812C12"/>
    <w:rsid w:val="00812F05"/>
    <w:rsid w:val="00812F4E"/>
    <w:rsid w:val="00813FD8"/>
    <w:rsid w:val="00814547"/>
    <w:rsid w:val="00815ADC"/>
    <w:rsid w:val="00817168"/>
    <w:rsid w:val="008171AA"/>
    <w:rsid w:val="00817A08"/>
    <w:rsid w:val="00817C99"/>
    <w:rsid w:val="00817D41"/>
    <w:rsid w:val="008200A8"/>
    <w:rsid w:val="00821538"/>
    <w:rsid w:val="00821D44"/>
    <w:rsid w:val="00821E6D"/>
    <w:rsid w:val="00821FFF"/>
    <w:rsid w:val="00822F8C"/>
    <w:rsid w:val="008233C1"/>
    <w:rsid w:val="008238B1"/>
    <w:rsid w:val="00823C54"/>
    <w:rsid w:val="00823EC5"/>
    <w:rsid w:val="00824F0D"/>
    <w:rsid w:val="00826059"/>
    <w:rsid w:val="0082652A"/>
    <w:rsid w:val="00831D1F"/>
    <w:rsid w:val="00831F65"/>
    <w:rsid w:val="00832BDA"/>
    <w:rsid w:val="00833D55"/>
    <w:rsid w:val="00834627"/>
    <w:rsid w:val="0083489C"/>
    <w:rsid w:val="00834BE5"/>
    <w:rsid w:val="00834EA9"/>
    <w:rsid w:val="00835B7B"/>
    <w:rsid w:val="00835EBA"/>
    <w:rsid w:val="00835F0B"/>
    <w:rsid w:val="0083643C"/>
    <w:rsid w:val="00837631"/>
    <w:rsid w:val="008377F9"/>
    <w:rsid w:val="00837F73"/>
    <w:rsid w:val="00840DD3"/>
    <w:rsid w:val="00840EC4"/>
    <w:rsid w:val="00840F32"/>
    <w:rsid w:val="008411E2"/>
    <w:rsid w:val="00841C97"/>
    <w:rsid w:val="008422D4"/>
    <w:rsid w:val="008429A2"/>
    <w:rsid w:val="00843F86"/>
    <w:rsid w:val="00844DEC"/>
    <w:rsid w:val="00845233"/>
    <w:rsid w:val="008456AF"/>
    <w:rsid w:val="00845B1B"/>
    <w:rsid w:val="00845C52"/>
    <w:rsid w:val="00845F7E"/>
    <w:rsid w:val="008468BF"/>
    <w:rsid w:val="0084755F"/>
    <w:rsid w:val="008511B9"/>
    <w:rsid w:val="0085241E"/>
    <w:rsid w:val="00852BE8"/>
    <w:rsid w:val="008534B1"/>
    <w:rsid w:val="00854B65"/>
    <w:rsid w:val="00854C25"/>
    <w:rsid w:val="00855055"/>
    <w:rsid w:val="00857B60"/>
    <w:rsid w:val="00857B9A"/>
    <w:rsid w:val="00857E0F"/>
    <w:rsid w:val="0086102C"/>
    <w:rsid w:val="00861351"/>
    <w:rsid w:val="00861361"/>
    <w:rsid w:val="0086142E"/>
    <w:rsid w:val="008616EE"/>
    <w:rsid w:val="008622D2"/>
    <w:rsid w:val="008623AF"/>
    <w:rsid w:val="008628A8"/>
    <w:rsid w:val="00862A35"/>
    <w:rsid w:val="00862C4C"/>
    <w:rsid w:val="0086345E"/>
    <w:rsid w:val="008634B3"/>
    <w:rsid w:val="008640A2"/>
    <w:rsid w:val="0086537B"/>
    <w:rsid w:val="00865526"/>
    <w:rsid w:val="00865CD2"/>
    <w:rsid w:val="00866152"/>
    <w:rsid w:val="008664CD"/>
    <w:rsid w:val="008666A3"/>
    <w:rsid w:val="008675E3"/>
    <w:rsid w:val="0087015F"/>
    <w:rsid w:val="0087070E"/>
    <w:rsid w:val="00870A09"/>
    <w:rsid w:val="0087183D"/>
    <w:rsid w:val="00871CD7"/>
    <w:rsid w:val="00871D76"/>
    <w:rsid w:val="00871F5F"/>
    <w:rsid w:val="008722BA"/>
    <w:rsid w:val="00873774"/>
    <w:rsid w:val="00874A99"/>
    <w:rsid w:val="0087541E"/>
    <w:rsid w:val="00875454"/>
    <w:rsid w:val="008756F4"/>
    <w:rsid w:val="00875AB2"/>
    <w:rsid w:val="00875CDF"/>
    <w:rsid w:val="008765F6"/>
    <w:rsid w:val="00876DAC"/>
    <w:rsid w:val="00876F51"/>
    <w:rsid w:val="00880559"/>
    <w:rsid w:val="00880561"/>
    <w:rsid w:val="00880A73"/>
    <w:rsid w:val="00880D2C"/>
    <w:rsid w:val="00881648"/>
    <w:rsid w:val="008818CC"/>
    <w:rsid w:val="008826E1"/>
    <w:rsid w:val="008829C6"/>
    <w:rsid w:val="00882B85"/>
    <w:rsid w:val="0088471C"/>
    <w:rsid w:val="0088509E"/>
    <w:rsid w:val="008851BE"/>
    <w:rsid w:val="0088557F"/>
    <w:rsid w:val="0088584B"/>
    <w:rsid w:val="00885A92"/>
    <w:rsid w:val="00885C34"/>
    <w:rsid w:val="00886125"/>
    <w:rsid w:val="0088623F"/>
    <w:rsid w:val="00886C3B"/>
    <w:rsid w:val="00886CF5"/>
    <w:rsid w:val="0088789D"/>
    <w:rsid w:val="00887AD3"/>
    <w:rsid w:val="00887E61"/>
    <w:rsid w:val="00887FA1"/>
    <w:rsid w:val="00890012"/>
    <w:rsid w:val="008900FA"/>
    <w:rsid w:val="008909FF"/>
    <w:rsid w:val="00890B65"/>
    <w:rsid w:val="008912ED"/>
    <w:rsid w:val="00891514"/>
    <w:rsid w:val="008928B5"/>
    <w:rsid w:val="008929EE"/>
    <w:rsid w:val="00893248"/>
    <w:rsid w:val="00893F08"/>
    <w:rsid w:val="008942E9"/>
    <w:rsid w:val="00894637"/>
    <w:rsid w:val="00895887"/>
    <w:rsid w:val="00897BD3"/>
    <w:rsid w:val="00897FBE"/>
    <w:rsid w:val="008A0F50"/>
    <w:rsid w:val="008A1434"/>
    <w:rsid w:val="008A1A5A"/>
    <w:rsid w:val="008A1C13"/>
    <w:rsid w:val="008A21CD"/>
    <w:rsid w:val="008A3203"/>
    <w:rsid w:val="008A3393"/>
    <w:rsid w:val="008A4D2E"/>
    <w:rsid w:val="008A4DAF"/>
    <w:rsid w:val="008A5007"/>
    <w:rsid w:val="008A500F"/>
    <w:rsid w:val="008A5D71"/>
    <w:rsid w:val="008A642E"/>
    <w:rsid w:val="008A6843"/>
    <w:rsid w:val="008A6E5E"/>
    <w:rsid w:val="008A7522"/>
    <w:rsid w:val="008A793A"/>
    <w:rsid w:val="008A7AE1"/>
    <w:rsid w:val="008B00BE"/>
    <w:rsid w:val="008B0298"/>
    <w:rsid w:val="008B080B"/>
    <w:rsid w:val="008B1F79"/>
    <w:rsid w:val="008B2147"/>
    <w:rsid w:val="008B299D"/>
    <w:rsid w:val="008B44C9"/>
    <w:rsid w:val="008B4754"/>
    <w:rsid w:val="008B47A0"/>
    <w:rsid w:val="008B53F8"/>
    <w:rsid w:val="008B5B0D"/>
    <w:rsid w:val="008B5CBF"/>
    <w:rsid w:val="008B63C4"/>
    <w:rsid w:val="008B6B3D"/>
    <w:rsid w:val="008B6EC7"/>
    <w:rsid w:val="008B6F24"/>
    <w:rsid w:val="008B7051"/>
    <w:rsid w:val="008B7534"/>
    <w:rsid w:val="008B7A9E"/>
    <w:rsid w:val="008B7EEA"/>
    <w:rsid w:val="008B7F81"/>
    <w:rsid w:val="008C043E"/>
    <w:rsid w:val="008C14D6"/>
    <w:rsid w:val="008C1D28"/>
    <w:rsid w:val="008C1D9F"/>
    <w:rsid w:val="008C20F9"/>
    <w:rsid w:val="008C3723"/>
    <w:rsid w:val="008C38AD"/>
    <w:rsid w:val="008C3D8A"/>
    <w:rsid w:val="008C578A"/>
    <w:rsid w:val="008C5984"/>
    <w:rsid w:val="008C5BF0"/>
    <w:rsid w:val="008C7413"/>
    <w:rsid w:val="008C7F54"/>
    <w:rsid w:val="008D002B"/>
    <w:rsid w:val="008D04C7"/>
    <w:rsid w:val="008D1392"/>
    <w:rsid w:val="008D1C27"/>
    <w:rsid w:val="008D2B49"/>
    <w:rsid w:val="008D2E64"/>
    <w:rsid w:val="008D3977"/>
    <w:rsid w:val="008D3A09"/>
    <w:rsid w:val="008D3A7C"/>
    <w:rsid w:val="008D3C9A"/>
    <w:rsid w:val="008D3F1A"/>
    <w:rsid w:val="008D42BD"/>
    <w:rsid w:val="008D4378"/>
    <w:rsid w:val="008D455E"/>
    <w:rsid w:val="008D49CD"/>
    <w:rsid w:val="008D6016"/>
    <w:rsid w:val="008D613B"/>
    <w:rsid w:val="008D663F"/>
    <w:rsid w:val="008E04FA"/>
    <w:rsid w:val="008E0904"/>
    <w:rsid w:val="008E0EB9"/>
    <w:rsid w:val="008E161F"/>
    <w:rsid w:val="008E17A5"/>
    <w:rsid w:val="008E24A2"/>
    <w:rsid w:val="008E3C0B"/>
    <w:rsid w:val="008E4419"/>
    <w:rsid w:val="008E4916"/>
    <w:rsid w:val="008E539A"/>
    <w:rsid w:val="008E5D4E"/>
    <w:rsid w:val="008E65A8"/>
    <w:rsid w:val="008E6942"/>
    <w:rsid w:val="008E6D90"/>
    <w:rsid w:val="008E6FF7"/>
    <w:rsid w:val="008E72BB"/>
    <w:rsid w:val="008E773D"/>
    <w:rsid w:val="008E7D7D"/>
    <w:rsid w:val="008E7EBC"/>
    <w:rsid w:val="008F07F5"/>
    <w:rsid w:val="008F1596"/>
    <w:rsid w:val="008F20C2"/>
    <w:rsid w:val="008F23B5"/>
    <w:rsid w:val="008F242A"/>
    <w:rsid w:val="008F24EB"/>
    <w:rsid w:val="008F2AFC"/>
    <w:rsid w:val="008F3050"/>
    <w:rsid w:val="008F31C7"/>
    <w:rsid w:val="008F4157"/>
    <w:rsid w:val="008F5F0C"/>
    <w:rsid w:val="008F61CA"/>
    <w:rsid w:val="008F667A"/>
    <w:rsid w:val="008F678F"/>
    <w:rsid w:val="008F6CF9"/>
    <w:rsid w:val="008F76F3"/>
    <w:rsid w:val="008F77E2"/>
    <w:rsid w:val="008F784E"/>
    <w:rsid w:val="008F7A01"/>
    <w:rsid w:val="0090054A"/>
    <w:rsid w:val="0090065B"/>
    <w:rsid w:val="009009AB"/>
    <w:rsid w:val="00902D26"/>
    <w:rsid w:val="0090341F"/>
    <w:rsid w:val="00903B91"/>
    <w:rsid w:val="00906579"/>
    <w:rsid w:val="009069F9"/>
    <w:rsid w:val="00907326"/>
    <w:rsid w:val="00907336"/>
    <w:rsid w:val="009078E4"/>
    <w:rsid w:val="009107FA"/>
    <w:rsid w:val="009107FF"/>
    <w:rsid w:val="00910BF6"/>
    <w:rsid w:val="00911284"/>
    <w:rsid w:val="0091207A"/>
    <w:rsid w:val="00912273"/>
    <w:rsid w:val="0091228F"/>
    <w:rsid w:val="00912A91"/>
    <w:rsid w:val="00913548"/>
    <w:rsid w:val="00913944"/>
    <w:rsid w:val="0091404C"/>
    <w:rsid w:val="009142F3"/>
    <w:rsid w:val="00915648"/>
    <w:rsid w:val="00915711"/>
    <w:rsid w:val="0091577E"/>
    <w:rsid w:val="00915957"/>
    <w:rsid w:val="00916AF5"/>
    <w:rsid w:val="009174B1"/>
    <w:rsid w:val="009175E0"/>
    <w:rsid w:val="00917D68"/>
    <w:rsid w:val="0092071F"/>
    <w:rsid w:val="00920DAB"/>
    <w:rsid w:val="00921033"/>
    <w:rsid w:val="0092144B"/>
    <w:rsid w:val="00921B16"/>
    <w:rsid w:val="00921C7B"/>
    <w:rsid w:val="00921C8C"/>
    <w:rsid w:val="00922418"/>
    <w:rsid w:val="0092266B"/>
    <w:rsid w:val="009237D7"/>
    <w:rsid w:val="009239B9"/>
    <w:rsid w:val="00923BE6"/>
    <w:rsid w:val="009246D1"/>
    <w:rsid w:val="00924951"/>
    <w:rsid w:val="00924972"/>
    <w:rsid w:val="00926C3E"/>
    <w:rsid w:val="00926C8D"/>
    <w:rsid w:val="00926EFC"/>
    <w:rsid w:val="00927187"/>
    <w:rsid w:val="00927DFB"/>
    <w:rsid w:val="00930692"/>
    <w:rsid w:val="00930B9A"/>
    <w:rsid w:val="00930C26"/>
    <w:rsid w:val="00930EE4"/>
    <w:rsid w:val="00931693"/>
    <w:rsid w:val="009316BA"/>
    <w:rsid w:val="0093230D"/>
    <w:rsid w:val="009326E7"/>
    <w:rsid w:val="009332EC"/>
    <w:rsid w:val="0093357B"/>
    <w:rsid w:val="00934D51"/>
    <w:rsid w:val="00935524"/>
    <w:rsid w:val="009400A2"/>
    <w:rsid w:val="009405B3"/>
    <w:rsid w:val="0094086D"/>
    <w:rsid w:val="00940FE7"/>
    <w:rsid w:val="0094103B"/>
    <w:rsid w:val="00941A0B"/>
    <w:rsid w:val="00941AED"/>
    <w:rsid w:val="00942755"/>
    <w:rsid w:val="00942D86"/>
    <w:rsid w:val="0094376E"/>
    <w:rsid w:val="00943A34"/>
    <w:rsid w:val="00943B3A"/>
    <w:rsid w:val="00944670"/>
    <w:rsid w:val="00944B1E"/>
    <w:rsid w:val="00944D5A"/>
    <w:rsid w:val="00945BB9"/>
    <w:rsid w:val="00945CBF"/>
    <w:rsid w:val="00946360"/>
    <w:rsid w:val="00946436"/>
    <w:rsid w:val="00946639"/>
    <w:rsid w:val="00947607"/>
    <w:rsid w:val="00947822"/>
    <w:rsid w:val="00947848"/>
    <w:rsid w:val="009503AF"/>
    <w:rsid w:val="009507C4"/>
    <w:rsid w:val="00950A52"/>
    <w:rsid w:val="0095103E"/>
    <w:rsid w:val="0095150E"/>
    <w:rsid w:val="0095150F"/>
    <w:rsid w:val="00952158"/>
    <w:rsid w:val="00952A8A"/>
    <w:rsid w:val="00953B31"/>
    <w:rsid w:val="00954087"/>
    <w:rsid w:val="009556DE"/>
    <w:rsid w:val="00955943"/>
    <w:rsid w:val="00955B14"/>
    <w:rsid w:val="00956738"/>
    <w:rsid w:val="00957529"/>
    <w:rsid w:val="009614B9"/>
    <w:rsid w:val="009617C6"/>
    <w:rsid w:val="00961AE3"/>
    <w:rsid w:val="00961EFC"/>
    <w:rsid w:val="00962432"/>
    <w:rsid w:val="009627C4"/>
    <w:rsid w:val="00962A67"/>
    <w:rsid w:val="009633AB"/>
    <w:rsid w:val="00963D89"/>
    <w:rsid w:val="009643A3"/>
    <w:rsid w:val="0096442E"/>
    <w:rsid w:val="00964725"/>
    <w:rsid w:val="00964787"/>
    <w:rsid w:val="00964A94"/>
    <w:rsid w:val="00964EFB"/>
    <w:rsid w:val="00965545"/>
    <w:rsid w:val="00965791"/>
    <w:rsid w:val="00965C6E"/>
    <w:rsid w:val="009660AC"/>
    <w:rsid w:val="00966AA5"/>
    <w:rsid w:val="00966DEC"/>
    <w:rsid w:val="0096722E"/>
    <w:rsid w:val="0096783E"/>
    <w:rsid w:val="00967A76"/>
    <w:rsid w:val="00967E7E"/>
    <w:rsid w:val="009710E2"/>
    <w:rsid w:val="0097125A"/>
    <w:rsid w:val="009717BD"/>
    <w:rsid w:val="00971E22"/>
    <w:rsid w:val="0097212D"/>
    <w:rsid w:val="00972883"/>
    <w:rsid w:val="00972894"/>
    <w:rsid w:val="00972B79"/>
    <w:rsid w:val="00972DCD"/>
    <w:rsid w:val="009739FC"/>
    <w:rsid w:val="00973CEF"/>
    <w:rsid w:val="00974B90"/>
    <w:rsid w:val="009750D1"/>
    <w:rsid w:val="00975766"/>
    <w:rsid w:val="009757DB"/>
    <w:rsid w:val="0097598F"/>
    <w:rsid w:val="00975B0F"/>
    <w:rsid w:val="0097632C"/>
    <w:rsid w:val="00976CA2"/>
    <w:rsid w:val="00976DEF"/>
    <w:rsid w:val="00977F56"/>
    <w:rsid w:val="00980D89"/>
    <w:rsid w:val="00981405"/>
    <w:rsid w:val="009814CC"/>
    <w:rsid w:val="00981AAA"/>
    <w:rsid w:val="00982063"/>
    <w:rsid w:val="00982130"/>
    <w:rsid w:val="00982DFC"/>
    <w:rsid w:val="00984223"/>
    <w:rsid w:val="00985244"/>
    <w:rsid w:val="009854BE"/>
    <w:rsid w:val="00985A8B"/>
    <w:rsid w:val="00985DDD"/>
    <w:rsid w:val="009866A9"/>
    <w:rsid w:val="0098674E"/>
    <w:rsid w:val="00986A24"/>
    <w:rsid w:val="00986CB0"/>
    <w:rsid w:val="0098719B"/>
    <w:rsid w:val="00987C47"/>
    <w:rsid w:val="00990989"/>
    <w:rsid w:val="00990B41"/>
    <w:rsid w:val="0099116F"/>
    <w:rsid w:val="0099123D"/>
    <w:rsid w:val="0099153F"/>
    <w:rsid w:val="0099164D"/>
    <w:rsid w:val="00992748"/>
    <w:rsid w:val="00992EA9"/>
    <w:rsid w:val="00993412"/>
    <w:rsid w:val="00993A75"/>
    <w:rsid w:val="00993DD7"/>
    <w:rsid w:val="00994525"/>
    <w:rsid w:val="0099455D"/>
    <w:rsid w:val="009949C6"/>
    <w:rsid w:val="00994CF2"/>
    <w:rsid w:val="009952FD"/>
    <w:rsid w:val="009967B2"/>
    <w:rsid w:val="0099701C"/>
    <w:rsid w:val="009971E5"/>
    <w:rsid w:val="00997B50"/>
    <w:rsid w:val="009A05ED"/>
    <w:rsid w:val="009A0BD3"/>
    <w:rsid w:val="009A1458"/>
    <w:rsid w:val="009A1C36"/>
    <w:rsid w:val="009A218C"/>
    <w:rsid w:val="009A23B7"/>
    <w:rsid w:val="009A2501"/>
    <w:rsid w:val="009A2B51"/>
    <w:rsid w:val="009A30BC"/>
    <w:rsid w:val="009A37D1"/>
    <w:rsid w:val="009A3824"/>
    <w:rsid w:val="009A4AFC"/>
    <w:rsid w:val="009A5714"/>
    <w:rsid w:val="009A5D47"/>
    <w:rsid w:val="009A6595"/>
    <w:rsid w:val="009A7EB1"/>
    <w:rsid w:val="009B00FA"/>
    <w:rsid w:val="009B0131"/>
    <w:rsid w:val="009B075C"/>
    <w:rsid w:val="009B0A13"/>
    <w:rsid w:val="009B0FAA"/>
    <w:rsid w:val="009B3179"/>
    <w:rsid w:val="009B31AA"/>
    <w:rsid w:val="009B35F4"/>
    <w:rsid w:val="009B4489"/>
    <w:rsid w:val="009B4FAE"/>
    <w:rsid w:val="009B5282"/>
    <w:rsid w:val="009B555B"/>
    <w:rsid w:val="009B5B9D"/>
    <w:rsid w:val="009B5DD2"/>
    <w:rsid w:val="009B6483"/>
    <w:rsid w:val="009B6A34"/>
    <w:rsid w:val="009B6DB5"/>
    <w:rsid w:val="009B716A"/>
    <w:rsid w:val="009C0687"/>
    <w:rsid w:val="009C0D81"/>
    <w:rsid w:val="009C0E04"/>
    <w:rsid w:val="009C10C6"/>
    <w:rsid w:val="009C1320"/>
    <w:rsid w:val="009C1567"/>
    <w:rsid w:val="009C1A23"/>
    <w:rsid w:val="009C2013"/>
    <w:rsid w:val="009C2113"/>
    <w:rsid w:val="009C2207"/>
    <w:rsid w:val="009C282E"/>
    <w:rsid w:val="009C28AA"/>
    <w:rsid w:val="009C33C9"/>
    <w:rsid w:val="009C47A9"/>
    <w:rsid w:val="009C514E"/>
    <w:rsid w:val="009C515B"/>
    <w:rsid w:val="009C5ADC"/>
    <w:rsid w:val="009C688D"/>
    <w:rsid w:val="009C6FC2"/>
    <w:rsid w:val="009C751E"/>
    <w:rsid w:val="009C7A05"/>
    <w:rsid w:val="009C7CA8"/>
    <w:rsid w:val="009D0B9E"/>
    <w:rsid w:val="009D179C"/>
    <w:rsid w:val="009D1902"/>
    <w:rsid w:val="009D19AB"/>
    <w:rsid w:val="009D2056"/>
    <w:rsid w:val="009D25A4"/>
    <w:rsid w:val="009D30C7"/>
    <w:rsid w:val="009D33E5"/>
    <w:rsid w:val="009D5383"/>
    <w:rsid w:val="009D55F8"/>
    <w:rsid w:val="009D73B7"/>
    <w:rsid w:val="009E09AC"/>
    <w:rsid w:val="009E1270"/>
    <w:rsid w:val="009E1548"/>
    <w:rsid w:val="009E21E1"/>
    <w:rsid w:val="009E2256"/>
    <w:rsid w:val="009E2E38"/>
    <w:rsid w:val="009E2FB5"/>
    <w:rsid w:val="009E345E"/>
    <w:rsid w:val="009E35EE"/>
    <w:rsid w:val="009E4343"/>
    <w:rsid w:val="009E4792"/>
    <w:rsid w:val="009E5383"/>
    <w:rsid w:val="009E57C3"/>
    <w:rsid w:val="009E638B"/>
    <w:rsid w:val="009E64BF"/>
    <w:rsid w:val="009E6A10"/>
    <w:rsid w:val="009E6BA5"/>
    <w:rsid w:val="009E6F5B"/>
    <w:rsid w:val="009E77E9"/>
    <w:rsid w:val="009E7D31"/>
    <w:rsid w:val="009E7F66"/>
    <w:rsid w:val="009F0261"/>
    <w:rsid w:val="009F04A0"/>
    <w:rsid w:val="009F11C4"/>
    <w:rsid w:val="009F13FF"/>
    <w:rsid w:val="009F1CD5"/>
    <w:rsid w:val="009F207E"/>
    <w:rsid w:val="009F349F"/>
    <w:rsid w:val="009F34F5"/>
    <w:rsid w:val="009F3AD3"/>
    <w:rsid w:val="009F3C21"/>
    <w:rsid w:val="009F3E3F"/>
    <w:rsid w:val="009F5551"/>
    <w:rsid w:val="009F560A"/>
    <w:rsid w:val="009F5BF3"/>
    <w:rsid w:val="009F5CB6"/>
    <w:rsid w:val="009F6094"/>
    <w:rsid w:val="009F6784"/>
    <w:rsid w:val="009F7414"/>
    <w:rsid w:val="009F796C"/>
    <w:rsid w:val="00A01034"/>
    <w:rsid w:val="00A012DF"/>
    <w:rsid w:val="00A023B1"/>
    <w:rsid w:val="00A0272F"/>
    <w:rsid w:val="00A02954"/>
    <w:rsid w:val="00A02A93"/>
    <w:rsid w:val="00A02F57"/>
    <w:rsid w:val="00A03737"/>
    <w:rsid w:val="00A037AE"/>
    <w:rsid w:val="00A0475F"/>
    <w:rsid w:val="00A04FE5"/>
    <w:rsid w:val="00A05277"/>
    <w:rsid w:val="00A05CC3"/>
    <w:rsid w:val="00A079A7"/>
    <w:rsid w:val="00A1093A"/>
    <w:rsid w:val="00A11303"/>
    <w:rsid w:val="00A11483"/>
    <w:rsid w:val="00A11509"/>
    <w:rsid w:val="00A122D4"/>
    <w:rsid w:val="00A128F5"/>
    <w:rsid w:val="00A12EBD"/>
    <w:rsid w:val="00A13012"/>
    <w:rsid w:val="00A136CF"/>
    <w:rsid w:val="00A137DA"/>
    <w:rsid w:val="00A138B7"/>
    <w:rsid w:val="00A1421A"/>
    <w:rsid w:val="00A14894"/>
    <w:rsid w:val="00A1492A"/>
    <w:rsid w:val="00A15252"/>
    <w:rsid w:val="00A15767"/>
    <w:rsid w:val="00A15B25"/>
    <w:rsid w:val="00A15E55"/>
    <w:rsid w:val="00A15F87"/>
    <w:rsid w:val="00A1655E"/>
    <w:rsid w:val="00A16AD2"/>
    <w:rsid w:val="00A1769A"/>
    <w:rsid w:val="00A176BE"/>
    <w:rsid w:val="00A2277C"/>
    <w:rsid w:val="00A229A6"/>
    <w:rsid w:val="00A23032"/>
    <w:rsid w:val="00A232FB"/>
    <w:rsid w:val="00A23380"/>
    <w:rsid w:val="00A24A95"/>
    <w:rsid w:val="00A24F04"/>
    <w:rsid w:val="00A25372"/>
    <w:rsid w:val="00A262EA"/>
    <w:rsid w:val="00A263BF"/>
    <w:rsid w:val="00A264F9"/>
    <w:rsid w:val="00A26705"/>
    <w:rsid w:val="00A2683F"/>
    <w:rsid w:val="00A26CA0"/>
    <w:rsid w:val="00A272B9"/>
    <w:rsid w:val="00A27488"/>
    <w:rsid w:val="00A27634"/>
    <w:rsid w:val="00A27725"/>
    <w:rsid w:val="00A27CA9"/>
    <w:rsid w:val="00A27F0B"/>
    <w:rsid w:val="00A27FF9"/>
    <w:rsid w:val="00A3110E"/>
    <w:rsid w:val="00A315A6"/>
    <w:rsid w:val="00A316D9"/>
    <w:rsid w:val="00A31700"/>
    <w:rsid w:val="00A31734"/>
    <w:rsid w:val="00A31802"/>
    <w:rsid w:val="00A3241C"/>
    <w:rsid w:val="00A3302A"/>
    <w:rsid w:val="00A335DF"/>
    <w:rsid w:val="00A33746"/>
    <w:rsid w:val="00A34053"/>
    <w:rsid w:val="00A34DBB"/>
    <w:rsid w:val="00A3568D"/>
    <w:rsid w:val="00A359EF"/>
    <w:rsid w:val="00A3696F"/>
    <w:rsid w:val="00A36DEF"/>
    <w:rsid w:val="00A3742F"/>
    <w:rsid w:val="00A37CD8"/>
    <w:rsid w:val="00A37D1A"/>
    <w:rsid w:val="00A40087"/>
    <w:rsid w:val="00A40BBB"/>
    <w:rsid w:val="00A414E3"/>
    <w:rsid w:val="00A4165A"/>
    <w:rsid w:val="00A41DE2"/>
    <w:rsid w:val="00A428A3"/>
    <w:rsid w:val="00A42E71"/>
    <w:rsid w:val="00A42F2A"/>
    <w:rsid w:val="00A43569"/>
    <w:rsid w:val="00A43F80"/>
    <w:rsid w:val="00A455B5"/>
    <w:rsid w:val="00A45C88"/>
    <w:rsid w:val="00A470FE"/>
    <w:rsid w:val="00A505D7"/>
    <w:rsid w:val="00A51177"/>
    <w:rsid w:val="00A5153B"/>
    <w:rsid w:val="00A51E5F"/>
    <w:rsid w:val="00A54720"/>
    <w:rsid w:val="00A54CBE"/>
    <w:rsid w:val="00A55018"/>
    <w:rsid w:val="00A569F2"/>
    <w:rsid w:val="00A57562"/>
    <w:rsid w:val="00A577AA"/>
    <w:rsid w:val="00A62164"/>
    <w:rsid w:val="00A62246"/>
    <w:rsid w:val="00A62C66"/>
    <w:rsid w:val="00A63325"/>
    <w:rsid w:val="00A636DF"/>
    <w:rsid w:val="00A6399E"/>
    <w:rsid w:val="00A63D37"/>
    <w:rsid w:val="00A63F22"/>
    <w:rsid w:val="00A65E1C"/>
    <w:rsid w:val="00A66A0F"/>
    <w:rsid w:val="00A67B83"/>
    <w:rsid w:val="00A704F4"/>
    <w:rsid w:val="00A7088E"/>
    <w:rsid w:val="00A709BD"/>
    <w:rsid w:val="00A71CB0"/>
    <w:rsid w:val="00A721CB"/>
    <w:rsid w:val="00A7228D"/>
    <w:rsid w:val="00A72A52"/>
    <w:rsid w:val="00A73CFB"/>
    <w:rsid w:val="00A7402E"/>
    <w:rsid w:val="00A746E2"/>
    <w:rsid w:val="00A752A5"/>
    <w:rsid w:val="00A768B1"/>
    <w:rsid w:val="00A769F2"/>
    <w:rsid w:val="00A76B29"/>
    <w:rsid w:val="00A77059"/>
    <w:rsid w:val="00A7741E"/>
    <w:rsid w:val="00A77850"/>
    <w:rsid w:val="00A8005E"/>
    <w:rsid w:val="00A8013F"/>
    <w:rsid w:val="00A802BD"/>
    <w:rsid w:val="00A805BE"/>
    <w:rsid w:val="00A808A2"/>
    <w:rsid w:val="00A80BBC"/>
    <w:rsid w:val="00A8126C"/>
    <w:rsid w:val="00A81E9F"/>
    <w:rsid w:val="00A81FA3"/>
    <w:rsid w:val="00A82385"/>
    <w:rsid w:val="00A8287D"/>
    <w:rsid w:val="00A82899"/>
    <w:rsid w:val="00A832E6"/>
    <w:rsid w:val="00A83D53"/>
    <w:rsid w:val="00A83DD1"/>
    <w:rsid w:val="00A84030"/>
    <w:rsid w:val="00A8479C"/>
    <w:rsid w:val="00A85078"/>
    <w:rsid w:val="00A856E0"/>
    <w:rsid w:val="00A85ADA"/>
    <w:rsid w:val="00A86A14"/>
    <w:rsid w:val="00A86C5D"/>
    <w:rsid w:val="00A86CB3"/>
    <w:rsid w:val="00A90392"/>
    <w:rsid w:val="00A906A2"/>
    <w:rsid w:val="00A90AC0"/>
    <w:rsid w:val="00A9285F"/>
    <w:rsid w:val="00A92E21"/>
    <w:rsid w:val="00A9334D"/>
    <w:rsid w:val="00A938FB"/>
    <w:rsid w:val="00A93A44"/>
    <w:rsid w:val="00A9402F"/>
    <w:rsid w:val="00A941B4"/>
    <w:rsid w:val="00A9483E"/>
    <w:rsid w:val="00A949BB"/>
    <w:rsid w:val="00A94BC3"/>
    <w:rsid w:val="00A94E39"/>
    <w:rsid w:val="00A94F49"/>
    <w:rsid w:val="00A9534A"/>
    <w:rsid w:val="00A9575F"/>
    <w:rsid w:val="00A95FD6"/>
    <w:rsid w:val="00A96F5B"/>
    <w:rsid w:val="00A975B0"/>
    <w:rsid w:val="00A97DEF"/>
    <w:rsid w:val="00AA0316"/>
    <w:rsid w:val="00AA0719"/>
    <w:rsid w:val="00AA0C4E"/>
    <w:rsid w:val="00AA0D3A"/>
    <w:rsid w:val="00AA12B2"/>
    <w:rsid w:val="00AA1A76"/>
    <w:rsid w:val="00AA1D96"/>
    <w:rsid w:val="00AA26EA"/>
    <w:rsid w:val="00AA31B0"/>
    <w:rsid w:val="00AA383F"/>
    <w:rsid w:val="00AA52D7"/>
    <w:rsid w:val="00AA5B07"/>
    <w:rsid w:val="00AA6AC7"/>
    <w:rsid w:val="00AA7064"/>
    <w:rsid w:val="00AA74E6"/>
    <w:rsid w:val="00AB1D97"/>
    <w:rsid w:val="00AB3791"/>
    <w:rsid w:val="00AB3EFB"/>
    <w:rsid w:val="00AB454B"/>
    <w:rsid w:val="00AB45B1"/>
    <w:rsid w:val="00AB48F9"/>
    <w:rsid w:val="00AB50E5"/>
    <w:rsid w:val="00AB55D3"/>
    <w:rsid w:val="00AB5650"/>
    <w:rsid w:val="00AB5DC0"/>
    <w:rsid w:val="00AB63BD"/>
    <w:rsid w:val="00AB6716"/>
    <w:rsid w:val="00AB73E0"/>
    <w:rsid w:val="00AB77BB"/>
    <w:rsid w:val="00AC1D72"/>
    <w:rsid w:val="00AC227B"/>
    <w:rsid w:val="00AC27F2"/>
    <w:rsid w:val="00AC2A6F"/>
    <w:rsid w:val="00AC3E0D"/>
    <w:rsid w:val="00AC445E"/>
    <w:rsid w:val="00AC4EE6"/>
    <w:rsid w:val="00AC53CB"/>
    <w:rsid w:val="00AC56C8"/>
    <w:rsid w:val="00AC5BCF"/>
    <w:rsid w:val="00AC60A0"/>
    <w:rsid w:val="00AC6A00"/>
    <w:rsid w:val="00AC6F11"/>
    <w:rsid w:val="00AC71B2"/>
    <w:rsid w:val="00AC79B9"/>
    <w:rsid w:val="00AD0346"/>
    <w:rsid w:val="00AD0D87"/>
    <w:rsid w:val="00AD1834"/>
    <w:rsid w:val="00AD19A8"/>
    <w:rsid w:val="00AD2001"/>
    <w:rsid w:val="00AD30EA"/>
    <w:rsid w:val="00AD48D5"/>
    <w:rsid w:val="00AD5D3E"/>
    <w:rsid w:val="00AD5E9A"/>
    <w:rsid w:val="00AD61CC"/>
    <w:rsid w:val="00AD68ED"/>
    <w:rsid w:val="00AD6C59"/>
    <w:rsid w:val="00AD727D"/>
    <w:rsid w:val="00AD74CA"/>
    <w:rsid w:val="00AE0224"/>
    <w:rsid w:val="00AE13BE"/>
    <w:rsid w:val="00AE1C22"/>
    <w:rsid w:val="00AE2277"/>
    <w:rsid w:val="00AE2544"/>
    <w:rsid w:val="00AE2F66"/>
    <w:rsid w:val="00AE3018"/>
    <w:rsid w:val="00AE305F"/>
    <w:rsid w:val="00AE3063"/>
    <w:rsid w:val="00AE318D"/>
    <w:rsid w:val="00AE37E7"/>
    <w:rsid w:val="00AE3FD2"/>
    <w:rsid w:val="00AE4970"/>
    <w:rsid w:val="00AE4FBC"/>
    <w:rsid w:val="00AE5A4F"/>
    <w:rsid w:val="00AE5D04"/>
    <w:rsid w:val="00AE639A"/>
    <w:rsid w:val="00AE6429"/>
    <w:rsid w:val="00AE6BAB"/>
    <w:rsid w:val="00AE6E66"/>
    <w:rsid w:val="00AF020C"/>
    <w:rsid w:val="00AF030B"/>
    <w:rsid w:val="00AF06AB"/>
    <w:rsid w:val="00AF136E"/>
    <w:rsid w:val="00AF2616"/>
    <w:rsid w:val="00AF3821"/>
    <w:rsid w:val="00AF4456"/>
    <w:rsid w:val="00AF4776"/>
    <w:rsid w:val="00AF4810"/>
    <w:rsid w:val="00AF4967"/>
    <w:rsid w:val="00AF5504"/>
    <w:rsid w:val="00AF5AAE"/>
    <w:rsid w:val="00AF5AC8"/>
    <w:rsid w:val="00AF5D06"/>
    <w:rsid w:val="00AF60F5"/>
    <w:rsid w:val="00AF683C"/>
    <w:rsid w:val="00AF69E8"/>
    <w:rsid w:val="00AF7433"/>
    <w:rsid w:val="00AF7D44"/>
    <w:rsid w:val="00B0128A"/>
    <w:rsid w:val="00B02CD9"/>
    <w:rsid w:val="00B03502"/>
    <w:rsid w:val="00B037FA"/>
    <w:rsid w:val="00B03A5C"/>
    <w:rsid w:val="00B03BB0"/>
    <w:rsid w:val="00B03C70"/>
    <w:rsid w:val="00B0433B"/>
    <w:rsid w:val="00B0440F"/>
    <w:rsid w:val="00B05E67"/>
    <w:rsid w:val="00B06101"/>
    <w:rsid w:val="00B0611F"/>
    <w:rsid w:val="00B06763"/>
    <w:rsid w:val="00B06899"/>
    <w:rsid w:val="00B0720E"/>
    <w:rsid w:val="00B0761E"/>
    <w:rsid w:val="00B07C3B"/>
    <w:rsid w:val="00B1056D"/>
    <w:rsid w:val="00B10BF7"/>
    <w:rsid w:val="00B10D0F"/>
    <w:rsid w:val="00B10FA0"/>
    <w:rsid w:val="00B1173A"/>
    <w:rsid w:val="00B11F55"/>
    <w:rsid w:val="00B14357"/>
    <w:rsid w:val="00B14B4F"/>
    <w:rsid w:val="00B14B96"/>
    <w:rsid w:val="00B155CE"/>
    <w:rsid w:val="00B157AD"/>
    <w:rsid w:val="00B15D45"/>
    <w:rsid w:val="00B16C2E"/>
    <w:rsid w:val="00B176CC"/>
    <w:rsid w:val="00B20055"/>
    <w:rsid w:val="00B20346"/>
    <w:rsid w:val="00B20762"/>
    <w:rsid w:val="00B221FE"/>
    <w:rsid w:val="00B2237D"/>
    <w:rsid w:val="00B22A7A"/>
    <w:rsid w:val="00B22ADB"/>
    <w:rsid w:val="00B22AE9"/>
    <w:rsid w:val="00B22E4F"/>
    <w:rsid w:val="00B23009"/>
    <w:rsid w:val="00B23518"/>
    <w:rsid w:val="00B23542"/>
    <w:rsid w:val="00B23695"/>
    <w:rsid w:val="00B24898"/>
    <w:rsid w:val="00B24F0A"/>
    <w:rsid w:val="00B251DC"/>
    <w:rsid w:val="00B253AB"/>
    <w:rsid w:val="00B25755"/>
    <w:rsid w:val="00B2590D"/>
    <w:rsid w:val="00B25DE5"/>
    <w:rsid w:val="00B264FF"/>
    <w:rsid w:val="00B2675E"/>
    <w:rsid w:val="00B26AC2"/>
    <w:rsid w:val="00B26F32"/>
    <w:rsid w:val="00B3034B"/>
    <w:rsid w:val="00B3089C"/>
    <w:rsid w:val="00B31060"/>
    <w:rsid w:val="00B31D68"/>
    <w:rsid w:val="00B323DB"/>
    <w:rsid w:val="00B33EC6"/>
    <w:rsid w:val="00B34B48"/>
    <w:rsid w:val="00B34E12"/>
    <w:rsid w:val="00B352A8"/>
    <w:rsid w:val="00B36699"/>
    <w:rsid w:val="00B366CE"/>
    <w:rsid w:val="00B36813"/>
    <w:rsid w:val="00B36B45"/>
    <w:rsid w:val="00B37CE6"/>
    <w:rsid w:val="00B400B0"/>
    <w:rsid w:val="00B40537"/>
    <w:rsid w:val="00B40845"/>
    <w:rsid w:val="00B40D25"/>
    <w:rsid w:val="00B4111C"/>
    <w:rsid w:val="00B41218"/>
    <w:rsid w:val="00B41727"/>
    <w:rsid w:val="00B41A72"/>
    <w:rsid w:val="00B4331C"/>
    <w:rsid w:val="00B433CF"/>
    <w:rsid w:val="00B433EF"/>
    <w:rsid w:val="00B435C7"/>
    <w:rsid w:val="00B4414C"/>
    <w:rsid w:val="00B444D3"/>
    <w:rsid w:val="00B44F1D"/>
    <w:rsid w:val="00B44F95"/>
    <w:rsid w:val="00B45248"/>
    <w:rsid w:val="00B456AC"/>
    <w:rsid w:val="00B45EE0"/>
    <w:rsid w:val="00B4660B"/>
    <w:rsid w:val="00B466CB"/>
    <w:rsid w:val="00B46EA2"/>
    <w:rsid w:val="00B47D2A"/>
    <w:rsid w:val="00B47FAB"/>
    <w:rsid w:val="00B501BC"/>
    <w:rsid w:val="00B508A4"/>
    <w:rsid w:val="00B5137E"/>
    <w:rsid w:val="00B51396"/>
    <w:rsid w:val="00B528A6"/>
    <w:rsid w:val="00B52A77"/>
    <w:rsid w:val="00B53447"/>
    <w:rsid w:val="00B53537"/>
    <w:rsid w:val="00B535C3"/>
    <w:rsid w:val="00B5385E"/>
    <w:rsid w:val="00B540F6"/>
    <w:rsid w:val="00B5463A"/>
    <w:rsid w:val="00B551AB"/>
    <w:rsid w:val="00B552FF"/>
    <w:rsid w:val="00B55393"/>
    <w:rsid w:val="00B55C9D"/>
    <w:rsid w:val="00B5664D"/>
    <w:rsid w:val="00B56D99"/>
    <w:rsid w:val="00B572B1"/>
    <w:rsid w:val="00B57EDF"/>
    <w:rsid w:val="00B60136"/>
    <w:rsid w:val="00B61035"/>
    <w:rsid w:val="00B614F1"/>
    <w:rsid w:val="00B61698"/>
    <w:rsid w:val="00B61D67"/>
    <w:rsid w:val="00B61DCA"/>
    <w:rsid w:val="00B62088"/>
    <w:rsid w:val="00B6327B"/>
    <w:rsid w:val="00B64F87"/>
    <w:rsid w:val="00B661D2"/>
    <w:rsid w:val="00B67696"/>
    <w:rsid w:val="00B70481"/>
    <w:rsid w:val="00B70DFE"/>
    <w:rsid w:val="00B70ECB"/>
    <w:rsid w:val="00B7188B"/>
    <w:rsid w:val="00B721EB"/>
    <w:rsid w:val="00B72B13"/>
    <w:rsid w:val="00B73998"/>
    <w:rsid w:val="00B74FFB"/>
    <w:rsid w:val="00B7528C"/>
    <w:rsid w:val="00B75479"/>
    <w:rsid w:val="00B75DE7"/>
    <w:rsid w:val="00B768C1"/>
    <w:rsid w:val="00B76977"/>
    <w:rsid w:val="00B76D12"/>
    <w:rsid w:val="00B76D6B"/>
    <w:rsid w:val="00B774D8"/>
    <w:rsid w:val="00B7784F"/>
    <w:rsid w:val="00B77B54"/>
    <w:rsid w:val="00B80B08"/>
    <w:rsid w:val="00B812C6"/>
    <w:rsid w:val="00B81D22"/>
    <w:rsid w:val="00B8227A"/>
    <w:rsid w:val="00B82774"/>
    <w:rsid w:val="00B828EC"/>
    <w:rsid w:val="00B83258"/>
    <w:rsid w:val="00B842AD"/>
    <w:rsid w:val="00B84903"/>
    <w:rsid w:val="00B84B64"/>
    <w:rsid w:val="00B84F8D"/>
    <w:rsid w:val="00B85950"/>
    <w:rsid w:val="00B86C67"/>
    <w:rsid w:val="00B86CD3"/>
    <w:rsid w:val="00B90197"/>
    <w:rsid w:val="00B90343"/>
    <w:rsid w:val="00B91088"/>
    <w:rsid w:val="00B910EE"/>
    <w:rsid w:val="00B91C1D"/>
    <w:rsid w:val="00B91CD7"/>
    <w:rsid w:val="00B9235B"/>
    <w:rsid w:val="00B92523"/>
    <w:rsid w:val="00B925F1"/>
    <w:rsid w:val="00B92B5C"/>
    <w:rsid w:val="00B93410"/>
    <w:rsid w:val="00B93614"/>
    <w:rsid w:val="00B93AD9"/>
    <w:rsid w:val="00B93D30"/>
    <w:rsid w:val="00B94327"/>
    <w:rsid w:val="00B94723"/>
    <w:rsid w:val="00B9479A"/>
    <w:rsid w:val="00B949A9"/>
    <w:rsid w:val="00B94BCA"/>
    <w:rsid w:val="00B95A74"/>
    <w:rsid w:val="00B95CA8"/>
    <w:rsid w:val="00B962F1"/>
    <w:rsid w:val="00B96BE0"/>
    <w:rsid w:val="00B9711B"/>
    <w:rsid w:val="00BA00F2"/>
    <w:rsid w:val="00BA0203"/>
    <w:rsid w:val="00BA04F3"/>
    <w:rsid w:val="00BA076B"/>
    <w:rsid w:val="00BA0D3D"/>
    <w:rsid w:val="00BA0F12"/>
    <w:rsid w:val="00BA275D"/>
    <w:rsid w:val="00BA27B9"/>
    <w:rsid w:val="00BA283D"/>
    <w:rsid w:val="00BA3759"/>
    <w:rsid w:val="00BA380D"/>
    <w:rsid w:val="00BA3A53"/>
    <w:rsid w:val="00BA4441"/>
    <w:rsid w:val="00BA48FA"/>
    <w:rsid w:val="00BA49C2"/>
    <w:rsid w:val="00BA4CAB"/>
    <w:rsid w:val="00BA4CC5"/>
    <w:rsid w:val="00BA5545"/>
    <w:rsid w:val="00BA5D5A"/>
    <w:rsid w:val="00BA6AFD"/>
    <w:rsid w:val="00BA7603"/>
    <w:rsid w:val="00BA79C6"/>
    <w:rsid w:val="00BA7ABD"/>
    <w:rsid w:val="00BB06E5"/>
    <w:rsid w:val="00BB0FE2"/>
    <w:rsid w:val="00BB1088"/>
    <w:rsid w:val="00BB19BD"/>
    <w:rsid w:val="00BB1CD5"/>
    <w:rsid w:val="00BB1CE2"/>
    <w:rsid w:val="00BB2BE9"/>
    <w:rsid w:val="00BB2FEF"/>
    <w:rsid w:val="00BB3397"/>
    <w:rsid w:val="00BB399C"/>
    <w:rsid w:val="00BB3E45"/>
    <w:rsid w:val="00BB426F"/>
    <w:rsid w:val="00BB44B3"/>
    <w:rsid w:val="00BB4CFA"/>
    <w:rsid w:val="00BB5A26"/>
    <w:rsid w:val="00BB5F2B"/>
    <w:rsid w:val="00BB5F60"/>
    <w:rsid w:val="00BB757F"/>
    <w:rsid w:val="00BC030D"/>
    <w:rsid w:val="00BC060A"/>
    <w:rsid w:val="00BC0A91"/>
    <w:rsid w:val="00BC0E21"/>
    <w:rsid w:val="00BC2615"/>
    <w:rsid w:val="00BC3A40"/>
    <w:rsid w:val="00BC3BBC"/>
    <w:rsid w:val="00BC3E09"/>
    <w:rsid w:val="00BC663A"/>
    <w:rsid w:val="00BC74E2"/>
    <w:rsid w:val="00BD081F"/>
    <w:rsid w:val="00BD0F82"/>
    <w:rsid w:val="00BD1287"/>
    <w:rsid w:val="00BD1316"/>
    <w:rsid w:val="00BD23B7"/>
    <w:rsid w:val="00BD2BCE"/>
    <w:rsid w:val="00BD3009"/>
    <w:rsid w:val="00BD3076"/>
    <w:rsid w:val="00BD3254"/>
    <w:rsid w:val="00BD36CB"/>
    <w:rsid w:val="00BD4E3B"/>
    <w:rsid w:val="00BD55BD"/>
    <w:rsid w:val="00BD56B7"/>
    <w:rsid w:val="00BD5FE0"/>
    <w:rsid w:val="00BD61E6"/>
    <w:rsid w:val="00BD6629"/>
    <w:rsid w:val="00BD765D"/>
    <w:rsid w:val="00BD7CFA"/>
    <w:rsid w:val="00BE0ED1"/>
    <w:rsid w:val="00BE13D9"/>
    <w:rsid w:val="00BE35EC"/>
    <w:rsid w:val="00BE3D55"/>
    <w:rsid w:val="00BE455B"/>
    <w:rsid w:val="00BE4730"/>
    <w:rsid w:val="00BE4DAB"/>
    <w:rsid w:val="00BE5E9E"/>
    <w:rsid w:val="00BE74F6"/>
    <w:rsid w:val="00BE79A0"/>
    <w:rsid w:val="00BE7C0B"/>
    <w:rsid w:val="00BF06B6"/>
    <w:rsid w:val="00BF094B"/>
    <w:rsid w:val="00BF0BF3"/>
    <w:rsid w:val="00BF0C17"/>
    <w:rsid w:val="00BF162C"/>
    <w:rsid w:val="00BF2172"/>
    <w:rsid w:val="00BF2790"/>
    <w:rsid w:val="00BF2938"/>
    <w:rsid w:val="00BF2AF1"/>
    <w:rsid w:val="00BF2F68"/>
    <w:rsid w:val="00BF32FB"/>
    <w:rsid w:val="00BF33A9"/>
    <w:rsid w:val="00BF3B41"/>
    <w:rsid w:val="00BF3BF6"/>
    <w:rsid w:val="00BF3DAA"/>
    <w:rsid w:val="00BF429B"/>
    <w:rsid w:val="00BF4718"/>
    <w:rsid w:val="00BF4F32"/>
    <w:rsid w:val="00BF5324"/>
    <w:rsid w:val="00BF5429"/>
    <w:rsid w:val="00BF57E1"/>
    <w:rsid w:val="00BF61E0"/>
    <w:rsid w:val="00BF6BF1"/>
    <w:rsid w:val="00BF7398"/>
    <w:rsid w:val="00C00377"/>
    <w:rsid w:val="00C00C49"/>
    <w:rsid w:val="00C01A18"/>
    <w:rsid w:val="00C01EE8"/>
    <w:rsid w:val="00C01F0B"/>
    <w:rsid w:val="00C02121"/>
    <w:rsid w:val="00C02262"/>
    <w:rsid w:val="00C0261B"/>
    <w:rsid w:val="00C02808"/>
    <w:rsid w:val="00C029FA"/>
    <w:rsid w:val="00C037BF"/>
    <w:rsid w:val="00C03BAC"/>
    <w:rsid w:val="00C03E81"/>
    <w:rsid w:val="00C05CAD"/>
    <w:rsid w:val="00C063F3"/>
    <w:rsid w:val="00C06714"/>
    <w:rsid w:val="00C0673A"/>
    <w:rsid w:val="00C06F57"/>
    <w:rsid w:val="00C07077"/>
    <w:rsid w:val="00C1009C"/>
    <w:rsid w:val="00C10E5A"/>
    <w:rsid w:val="00C10EFE"/>
    <w:rsid w:val="00C11115"/>
    <w:rsid w:val="00C11FBB"/>
    <w:rsid w:val="00C13C78"/>
    <w:rsid w:val="00C13E73"/>
    <w:rsid w:val="00C147A4"/>
    <w:rsid w:val="00C15394"/>
    <w:rsid w:val="00C15B2A"/>
    <w:rsid w:val="00C16FFC"/>
    <w:rsid w:val="00C17DCE"/>
    <w:rsid w:val="00C2002C"/>
    <w:rsid w:val="00C209BF"/>
    <w:rsid w:val="00C21A6C"/>
    <w:rsid w:val="00C22A66"/>
    <w:rsid w:val="00C22B44"/>
    <w:rsid w:val="00C2390E"/>
    <w:rsid w:val="00C250A7"/>
    <w:rsid w:val="00C251AB"/>
    <w:rsid w:val="00C25268"/>
    <w:rsid w:val="00C25905"/>
    <w:rsid w:val="00C26723"/>
    <w:rsid w:val="00C26EC6"/>
    <w:rsid w:val="00C27821"/>
    <w:rsid w:val="00C309D0"/>
    <w:rsid w:val="00C30AC5"/>
    <w:rsid w:val="00C310B7"/>
    <w:rsid w:val="00C31F3F"/>
    <w:rsid w:val="00C321F6"/>
    <w:rsid w:val="00C328AC"/>
    <w:rsid w:val="00C331C5"/>
    <w:rsid w:val="00C336EA"/>
    <w:rsid w:val="00C338A5"/>
    <w:rsid w:val="00C33E03"/>
    <w:rsid w:val="00C3475E"/>
    <w:rsid w:val="00C34B91"/>
    <w:rsid w:val="00C352E8"/>
    <w:rsid w:val="00C3539A"/>
    <w:rsid w:val="00C36AA0"/>
    <w:rsid w:val="00C3764E"/>
    <w:rsid w:val="00C37DF5"/>
    <w:rsid w:val="00C40429"/>
    <w:rsid w:val="00C4054D"/>
    <w:rsid w:val="00C4092B"/>
    <w:rsid w:val="00C40967"/>
    <w:rsid w:val="00C4141A"/>
    <w:rsid w:val="00C419FF"/>
    <w:rsid w:val="00C41C01"/>
    <w:rsid w:val="00C41F22"/>
    <w:rsid w:val="00C420A8"/>
    <w:rsid w:val="00C426D0"/>
    <w:rsid w:val="00C43069"/>
    <w:rsid w:val="00C43523"/>
    <w:rsid w:val="00C437C8"/>
    <w:rsid w:val="00C437F1"/>
    <w:rsid w:val="00C43E92"/>
    <w:rsid w:val="00C452F1"/>
    <w:rsid w:val="00C45F8D"/>
    <w:rsid w:val="00C462FD"/>
    <w:rsid w:val="00C4740D"/>
    <w:rsid w:val="00C477B2"/>
    <w:rsid w:val="00C478E5"/>
    <w:rsid w:val="00C47CF1"/>
    <w:rsid w:val="00C50151"/>
    <w:rsid w:val="00C5029C"/>
    <w:rsid w:val="00C504A9"/>
    <w:rsid w:val="00C50C77"/>
    <w:rsid w:val="00C51279"/>
    <w:rsid w:val="00C514A6"/>
    <w:rsid w:val="00C53002"/>
    <w:rsid w:val="00C53867"/>
    <w:rsid w:val="00C53C08"/>
    <w:rsid w:val="00C545DF"/>
    <w:rsid w:val="00C545E7"/>
    <w:rsid w:val="00C549FA"/>
    <w:rsid w:val="00C54B29"/>
    <w:rsid w:val="00C55D89"/>
    <w:rsid w:val="00C55E55"/>
    <w:rsid w:val="00C56D03"/>
    <w:rsid w:val="00C56E12"/>
    <w:rsid w:val="00C572FA"/>
    <w:rsid w:val="00C57D6A"/>
    <w:rsid w:val="00C61212"/>
    <w:rsid w:val="00C61A67"/>
    <w:rsid w:val="00C61BC1"/>
    <w:rsid w:val="00C6231D"/>
    <w:rsid w:val="00C6271D"/>
    <w:rsid w:val="00C627BC"/>
    <w:rsid w:val="00C62F70"/>
    <w:rsid w:val="00C63188"/>
    <w:rsid w:val="00C6358B"/>
    <w:rsid w:val="00C63D05"/>
    <w:rsid w:val="00C64A9F"/>
    <w:rsid w:val="00C64D1D"/>
    <w:rsid w:val="00C655D4"/>
    <w:rsid w:val="00C6586F"/>
    <w:rsid w:val="00C663C1"/>
    <w:rsid w:val="00C66808"/>
    <w:rsid w:val="00C66C92"/>
    <w:rsid w:val="00C6790F"/>
    <w:rsid w:val="00C6799D"/>
    <w:rsid w:val="00C67FD0"/>
    <w:rsid w:val="00C70783"/>
    <w:rsid w:val="00C712AE"/>
    <w:rsid w:val="00C719D9"/>
    <w:rsid w:val="00C71AF8"/>
    <w:rsid w:val="00C71E6D"/>
    <w:rsid w:val="00C73204"/>
    <w:rsid w:val="00C7408E"/>
    <w:rsid w:val="00C74835"/>
    <w:rsid w:val="00C74F98"/>
    <w:rsid w:val="00C751E9"/>
    <w:rsid w:val="00C75B59"/>
    <w:rsid w:val="00C76545"/>
    <w:rsid w:val="00C77F9A"/>
    <w:rsid w:val="00C8008E"/>
    <w:rsid w:val="00C803ED"/>
    <w:rsid w:val="00C806AF"/>
    <w:rsid w:val="00C818EA"/>
    <w:rsid w:val="00C81C1C"/>
    <w:rsid w:val="00C8214D"/>
    <w:rsid w:val="00C82C71"/>
    <w:rsid w:val="00C82DA3"/>
    <w:rsid w:val="00C8385B"/>
    <w:rsid w:val="00C83995"/>
    <w:rsid w:val="00C84403"/>
    <w:rsid w:val="00C8444E"/>
    <w:rsid w:val="00C84F4D"/>
    <w:rsid w:val="00C85FB0"/>
    <w:rsid w:val="00C86A77"/>
    <w:rsid w:val="00C86ADC"/>
    <w:rsid w:val="00C87ABE"/>
    <w:rsid w:val="00C87C4F"/>
    <w:rsid w:val="00C914B4"/>
    <w:rsid w:val="00C92345"/>
    <w:rsid w:val="00C9248A"/>
    <w:rsid w:val="00C925E1"/>
    <w:rsid w:val="00C93030"/>
    <w:rsid w:val="00C93D4D"/>
    <w:rsid w:val="00C94997"/>
    <w:rsid w:val="00C95F67"/>
    <w:rsid w:val="00C96058"/>
    <w:rsid w:val="00C96D39"/>
    <w:rsid w:val="00C9769B"/>
    <w:rsid w:val="00C97D46"/>
    <w:rsid w:val="00C97E6A"/>
    <w:rsid w:val="00CA0239"/>
    <w:rsid w:val="00CA05BA"/>
    <w:rsid w:val="00CA0E25"/>
    <w:rsid w:val="00CA0F7F"/>
    <w:rsid w:val="00CA12D9"/>
    <w:rsid w:val="00CA1868"/>
    <w:rsid w:val="00CA19CB"/>
    <w:rsid w:val="00CA1D1D"/>
    <w:rsid w:val="00CA27F9"/>
    <w:rsid w:val="00CA28B7"/>
    <w:rsid w:val="00CA29E6"/>
    <w:rsid w:val="00CA2BB8"/>
    <w:rsid w:val="00CA2EC4"/>
    <w:rsid w:val="00CA2FD0"/>
    <w:rsid w:val="00CA3AC5"/>
    <w:rsid w:val="00CA4016"/>
    <w:rsid w:val="00CA42EC"/>
    <w:rsid w:val="00CA45FF"/>
    <w:rsid w:val="00CA4809"/>
    <w:rsid w:val="00CA4894"/>
    <w:rsid w:val="00CA5390"/>
    <w:rsid w:val="00CA54C1"/>
    <w:rsid w:val="00CA60D5"/>
    <w:rsid w:val="00CA6E27"/>
    <w:rsid w:val="00CB0B2B"/>
    <w:rsid w:val="00CB0D99"/>
    <w:rsid w:val="00CB103E"/>
    <w:rsid w:val="00CB1511"/>
    <w:rsid w:val="00CB219B"/>
    <w:rsid w:val="00CB3009"/>
    <w:rsid w:val="00CB3B0B"/>
    <w:rsid w:val="00CB3E0E"/>
    <w:rsid w:val="00CB4847"/>
    <w:rsid w:val="00CB4851"/>
    <w:rsid w:val="00CB4ECE"/>
    <w:rsid w:val="00CB4F3C"/>
    <w:rsid w:val="00CB4F6F"/>
    <w:rsid w:val="00CB59CA"/>
    <w:rsid w:val="00CB5A8B"/>
    <w:rsid w:val="00CB5FD3"/>
    <w:rsid w:val="00CB6797"/>
    <w:rsid w:val="00CB73B9"/>
    <w:rsid w:val="00CB7995"/>
    <w:rsid w:val="00CB7A79"/>
    <w:rsid w:val="00CB7B14"/>
    <w:rsid w:val="00CC01E2"/>
    <w:rsid w:val="00CC07EA"/>
    <w:rsid w:val="00CC0847"/>
    <w:rsid w:val="00CC172C"/>
    <w:rsid w:val="00CC380F"/>
    <w:rsid w:val="00CC3934"/>
    <w:rsid w:val="00CC3BC2"/>
    <w:rsid w:val="00CC3D7B"/>
    <w:rsid w:val="00CC3DC3"/>
    <w:rsid w:val="00CC3E1E"/>
    <w:rsid w:val="00CC3EAE"/>
    <w:rsid w:val="00CC3FB3"/>
    <w:rsid w:val="00CC4667"/>
    <w:rsid w:val="00CC594F"/>
    <w:rsid w:val="00CC5A2F"/>
    <w:rsid w:val="00CC79D5"/>
    <w:rsid w:val="00CC7B21"/>
    <w:rsid w:val="00CC7C62"/>
    <w:rsid w:val="00CC7FA3"/>
    <w:rsid w:val="00CD23B6"/>
    <w:rsid w:val="00CD2868"/>
    <w:rsid w:val="00CD2D42"/>
    <w:rsid w:val="00CD3956"/>
    <w:rsid w:val="00CD3AFF"/>
    <w:rsid w:val="00CD5037"/>
    <w:rsid w:val="00CD5262"/>
    <w:rsid w:val="00CD59B7"/>
    <w:rsid w:val="00CD6297"/>
    <w:rsid w:val="00CD6DE3"/>
    <w:rsid w:val="00CD74DF"/>
    <w:rsid w:val="00CD7F73"/>
    <w:rsid w:val="00CD7F80"/>
    <w:rsid w:val="00CE0B00"/>
    <w:rsid w:val="00CE0D61"/>
    <w:rsid w:val="00CE161E"/>
    <w:rsid w:val="00CE1E60"/>
    <w:rsid w:val="00CE37CA"/>
    <w:rsid w:val="00CE4BDE"/>
    <w:rsid w:val="00CE64A4"/>
    <w:rsid w:val="00CE6F5F"/>
    <w:rsid w:val="00CE7945"/>
    <w:rsid w:val="00CF00AA"/>
    <w:rsid w:val="00CF093F"/>
    <w:rsid w:val="00CF09FB"/>
    <w:rsid w:val="00CF0DA6"/>
    <w:rsid w:val="00CF0EF7"/>
    <w:rsid w:val="00CF13BA"/>
    <w:rsid w:val="00CF1992"/>
    <w:rsid w:val="00CF1CA4"/>
    <w:rsid w:val="00CF2400"/>
    <w:rsid w:val="00CF2C71"/>
    <w:rsid w:val="00CF2F0E"/>
    <w:rsid w:val="00CF33CD"/>
    <w:rsid w:val="00CF37CA"/>
    <w:rsid w:val="00CF39D6"/>
    <w:rsid w:val="00CF5561"/>
    <w:rsid w:val="00CF5693"/>
    <w:rsid w:val="00CF5767"/>
    <w:rsid w:val="00CF5AB7"/>
    <w:rsid w:val="00CF5BFE"/>
    <w:rsid w:val="00CF6256"/>
    <w:rsid w:val="00CF6354"/>
    <w:rsid w:val="00CF6847"/>
    <w:rsid w:val="00CF6866"/>
    <w:rsid w:val="00CF697E"/>
    <w:rsid w:val="00CF7E41"/>
    <w:rsid w:val="00D00B9C"/>
    <w:rsid w:val="00D010A5"/>
    <w:rsid w:val="00D014A0"/>
    <w:rsid w:val="00D01CC3"/>
    <w:rsid w:val="00D021E4"/>
    <w:rsid w:val="00D02E12"/>
    <w:rsid w:val="00D034F7"/>
    <w:rsid w:val="00D0398E"/>
    <w:rsid w:val="00D050AC"/>
    <w:rsid w:val="00D06253"/>
    <w:rsid w:val="00D06730"/>
    <w:rsid w:val="00D069FC"/>
    <w:rsid w:val="00D06E8F"/>
    <w:rsid w:val="00D072F8"/>
    <w:rsid w:val="00D079F2"/>
    <w:rsid w:val="00D07AD3"/>
    <w:rsid w:val="00D07D6B"/>
    <w:rsid w:val="00D107BE"/>
    <w:rsid w:val="00D1083F"/>
    <w:rsid w:val="00D119AB"/>
    <w:rsid w:val="00D11B00"/>
    <w:rsid w:val="00D11BBB"/>
    <w:rsid w:val="00D11DCA"/>
    <w:rsid w:val="00D1255B"/>
    <w:rsid w:val="00D129A0"/>
    <w:rsid w:val="00D12FE8"/>
    <w:rsid w:val="00D134D6"/>
    <w:rsid w:val="00D13C40"/>
    <w:rsid w:val="00D143E0"/>
    <w:rsid w:val="00D144B4"/>
    <w:rsid w:val="00D1482B"/>
    <w:rsid w:val="00D1494C"/>
    <w:rsid w:val="00D14E94"/>
    <w:rsid w:val="00D14F80"/>
    <w:rsid w:val="00D160D0"/>
    <w:rsid w:val="00D16169"/>
    <w:rsid w:val="00D17371"/>
    <w:rsid w:val="00D176C0"/>
    <w:rsid w:val="00D178D9"/>
    <w:rsid w:val="00D17CFB"/>
    <w:rsid w:val="00D2047A"/>
    <w:rsid w:val="00D20692"/>
    <w:rsid w:val="00D2166B"/>
    <w:rsid w:val="00D2232D"/>
    <w:rsid w:val="00D22AEF"/>
    <w:rsid w:val="00D22DD4"/>
    <w:rsid w:val="00D231CF"/>
    <w:rsid w:val="00D237F4"/>
    <w:rsid w:val="00D2393A"/>
    <w:rsid w:val="00D24020"/>
    <w:rsid w:val="00D2487F"/>
    <w:rsid w:val="00D24AE9"/>
    <w:rsid w:val="00D24E9E"/>
    <w:rsid w:val="00D25755"/>
    <w:rsid w:val="00D2597F"/>
    <w:rsid w:val="00D25EC0"/>
    <w:rsid w:val="00D25FE1"/>
    <w:rsid w:val="00D2636C"/>
    <w:rsid w:val="00D2637A"/>
    <w:rsid w:val="00D266A6"/>
    <w:rsid w:val="00D26B58"/>
    <w:rsid w:val="00D26DF0"/>
    <w:rsid w:val="00D30CB5"/>
    <w:rsid w:val="00D3109E"/>
    <w:rsid w:val="00D3237F"/>
    <w:rsid w:val="00D32BC9"/>
    <w:rsid w:val="00D330D7"/>
    <w:rsid w:val="00D3380C"/>
    <w:rsid w:val="00D33886"/>
    <w:rsid w:val="00D33A84"/>
    <w:rsid w:val="00D34074"/>
    <w:rsid w:val="00D3467B"/>
    <w:rsid w:val="00D35387"/>
    <w:rsid w:val="00D35546"/>
    <w:rsid w:val="00D356A5"/>
    <w:rsid w:val="00D35B48"/>
    <w:rsid w:val="00D362A9"/>
    <w:rsid w:val="00D37B94"/>
    <w:rsid w:val="00D37FA1"/>
    <w:rsid w:val="00D40E1B"/>
    <w:rsid w:val="00D41D8A"/>
    <w:rsid w:val="00D420C9"/>
    <w:rsid w:val="00D42A75"/>
    <w:rsid w:val="00D431CB"/>
    <w:rsid w:val="00D4337D"/>
    <w:rsid w:val="00D44090"/>
    <w:rsid w:val="00D44F38"/>
    <w:rsid w:val="00D44F45"/>
    <w:rsid w:val="00D46AB9"/>
    <w:rsid w:val="00D512BB"/>
    <w:rsid w:val="00D5184B"/>
    <w:rsid w:val="00D52050"/>
    <w:rsid w:val="00D52888"/>
    <w:rsid w:val="00D52B72"/>
    <w:rsid w:val="00D52B9D"/>
    <w:rsid w:val="00D52CEA"/>
    <w:rsid w:val="00D53825"/>
    <w:rsid w:val="00D54D3B"/>
    <w:rsid w:val="00D55350"/>
    <w:rsid w:val="00D55E20"/>
    <w:rsid w:val="00D56343"/>
    <w:rsid w:val="00D56630"/>
    <w:rsid w:val="00D5676B"/>
    <w:rsid w:val="00D56F47"/>
    <w:rsid w:val="00D608BF"/>
    <w:rsid w:val="00D6157A"/>
    <w:rsid w:val="00D61CF2"/>
    <w:rsid w:val="00D620A7"/>
    <w:rsid w:val="00D62BDC"/>
    <w:rsid w:val="00D62EB4"/>
    <w:rsid w:val="00D63223"/>
    <w:rsid w:val="00D63A24"/>
    <w:rsid w:val="00D63DAF"/>
    <w:rsid w:val="00D642F2"/>
    <w:rsid w:val="00D64874"/>
    <w:rsid w:val="00D648CD"/>
    <w:rsid w:val="00D64C20"/>
    <w:rsid w:val="00D657B1"/>
    <w:rsid w:val="00D65932"/>
    <w:rsid w:val="00D65D8C"/>
    <w:rsid w:val="00D66BE1"/>
    <w:rsid w:val="00D676D2"/>
    <w:rsid w:val="00D67CB0"/>
    <w:rsid w:val="00D7061A"/>
    <w:rsid w:val="00D71468"/>
    <w:rsid w:val="00D724C3"/>
    <w:rsid w:val="00D72D86"/>
    <w:rsid w:val="00D73124"/>
    <w:rsid w:val="00D736F8"/>
    <w:rsid w:val="00D74CB7"/>
    <w:rsid w:val="00D75772"/>
    <w:rsid w:val="00D75F35"/>
    <w:rsid w:val="00D763E4"/>
    <w:rsid w:val="00D76C90"/>
    <w:rsid w:val="00D7721B"/>
    <w:rsid w:val="00D800DC"/>
    <w:rsid w:val="00D801A0"/>
    <w:rsid w:val="00D802A2"/>
    <w:rsid w:val="00D804B3"/>
    <w:rsid w:val="00D80CBC"/>
    <w:rsid w:val="00D81590"/>
    <w:rsid w:val="00D81E67"/>
    <w:rsid w:val="00D82034"/>
    <w:rsid w:val="00D82DAE"/>
    <w:rsid w:val="00D82E9C"/>
    <w:rsid w:val="00D84092"/>
    <w:rsid w:val="00D84B73"/>
    <w:rsid w:val="00D84C32"/>
    <w:rsid w:val="00D84F4E"/>
    <w:rsid w:val="00D854AF"/>
    <w:rsid w:val="00D85CE6"/>
    <w:rsid w:val="00D85F94"/>
    <w:rsid w:val="00D8609E"/>
    <w:rsid w:val="00D8673F"/>
    <w:rsid w:val="00D86BE3"/>
    <w:rsid w:val="00D86C23"/>
    <w:rsid w:val="00D86D17"/>
    <w:rsid w:val="00D87F3F"/>
    <w:rsid w:val="00D90191"/>
    <w:rsid w:val="00D915D3"/>
    <w:rsid w:val="00D91A58"/>
    <w:rsid w:val="00D91CEA"/>
    <w:rsid w:val="00D9292A"/>
    <w:rsid w:val="00D92A3D"/>
    <w:rsid w:val="00D92A45"/>
    <w:rsid w:val="00D92D2E"/>
    <w:rsid w:val="00D93036"/>
    <w:rsid w:val="00D932A6"/>
    <w:rsid w:val="00D93896"/>
    <w:rsid w:val="00D93B0A"/>
    <w:rsid w:val="00D93BDB"/>
    <w:rsid w:val="00D93F8C"/>
    <w:rsid w:val="00D9401B"/>
    <w:rsid w:val="00D940C5"/>
    <w:rsid w:val="00D94261"/>
    <w:rsid w:val="00D94C85"/>
    <w:rsid w:val="00D94DBC"/>
    <w:rsid w:val="00D957EF"/>
    <w:rsid w:val="00D95CEE"/>
    <w:rsid w:val="00D9681B"/>
    <w:rsid w:val="00DA023B"/>
    <w:rsid w:val="00DA0DAA"/>
    <w:rsid w:val="00DA1909"/>
    <w:rsid w:val="00DA19EB"/>
    <w:rsid w:val="00DA29E5"/>
    <w:rsid w:val="00DA2B92"/>
    <w:rsid w:val="00DA3260"/>
    <w:rsid w:val="00DA395D"/>
    <w:rsid w:val="00DA3C22"/>
    <w:rsid w:val="00DA437F"/>
    <w:rsid w:val="00DA52AC"/>
    <w:rsid w:val="00DA6270"/>
    <w:rsid w:val="00DA67E2"/>
    <w:rsid w:val="00DA6F54"/>
    <w:rsid w:val="00DB0163"/>
    <w:rsid w:val="00DB12C9"/>
    <w:rsid w:val="00DB1414"/>
    <w:rsid w:val="00DB14FC"/>
    <w:rsid w:val="00DB2123"/>
    <w:rsid w:val="00DB236B"/>
    <w:rsid w:val="00DB23DB"/>
    <w:rsid w:val="00DB2406"/>
    <w:rsid w:val="00DB24C7"/>
    <w:rsid w:val="00DB28C3"/>
    <w:rsid w:val="00DB3897"/>
    <w:rsid w:val="00DB5DAF"/>
    <w:rsid w:val="00DB5ECB"/>
    <w:rsid w:val="00DB6AF4"/>
    <w:rsid w:val="00DB764D"/>
    <w:rsid w:val="00DB7866"/>
    <w:rsid w:val="00DC02E5"/>
    <w:rsid w:val="00DC04F9"/>
    <w:rsid w:val="00DC078B"/>
    <w:rsid w:val="00DC1532"/>
    <w:rsid w:val="00DC1764"/>
    <w:rsid w:val="00DC1CAA"/>
    <w:rsid w:val="00DC219E"/>
    <w:rsid w:val="00DC2682"/>
    <w:rsid w:val="00DC2D88"/>
    <w:rsid w:val="00DC49AE"/>
    <w:rsid w:val="00DC4B44"/>
    <w:rsid w:val="00DC59E1"/>
    <w:rsid w:val="00DC67B5"/>
    <w:rsid w:val="00DC7315"/>
    <w:rsid w:val="00DD06D9"/>
    <w:rsid w:val="00DD07CD"/>
    <w:rsid w:val="00DD0929"/>
    <w:rsid w:val="00DD0CD1"/>
    <w:rsid w:val="00DD1871"/>
    <w:rsid w:val="00DD208F"/>
    <w:rsid w:val="00DD22D7"/>
    <w:rsid w:val="00DD2BA3"/>
    <w:rsid w:val="00DD39F0"/>
    <w:rsid w:val="00DD46EB"/>
    <w:rsid w:val="00DD4B29"/>
    <w:rsid w:val="00DD5320"/>
    <w:rsid w:val="00DD5DE3"/>
    <w:rsid w:val="00DD5E88"/>
    <w:rsid w:val="00DD60BD"/>
    <w:rsid w:val="00DD6160"/>
    <w:rsid w:val="00DD6ED4"/>
    <w:rsid w:val="00DD7071"/>
    <w:rsid w:val="00DD7708"/>
    <w:rsid w:val="00DD7D7F"/>
    <w:rsid w:val="00DE00C6"/>
    <w:rsid w:val="00DE095E"/>
    <w:rsid w:val="00DE0A50"/>
    <w:rsid w:val="00DE0AC0"/>
    <w:rsid w:val="00DE0CFD"/>
    <w:rsid w:val="00DE1000"/>
    <w:rsid w:val="00DE204F"/>
    <w:rsid w:val="00DE314E"/>
    <w:rsid w:val="00DE344B"/>
    <w:rsid w:val="00DE3509"/>
    <w:rsid w:val="00DE3898"/>
    <w:rsid w:val="00DE3A80"/>
    <w:rsid w:val="00DE3BEB"/>
    <w:rsid w:val="00DE3C2F"/>
    <w:rsid w:val="00DE421C"/>
    <w:rsid w:val="00DE4529"/>
    <w:rsid w:val="00DE4973"/>
    <w:rsid w:val="00DE4986"/>
    <w:rsid w:val="00DE4E8A"/>
    <w:rsid w:val="00DE4FF6"/>
    <w:rsid w:val="00DE54F9"/>
    <w:rsid w:val="00DE7161"/>
    <w:rsid w:val="00DE7A51"/>
    <w:rsid w:val="00DE7C2E"/>
    <w:rsid w:val="00DE7FDB"/>
    <w:rsid w:val="00DF103F"/>
    <w:rsid w:val="00DF1345"/>
    <w:rsid w:val="00DF1571"/>
    <w:rsid w:val="00DF171A"/>
    <w:rsid w:val="00DF1A93"/>
    <w:rsid w:val="00DF1F02"/>
    <w:rsid w:val="00DF237D"/>
    <w:rsid w:val="00DF246A"/>
    <w:rsid w:val="00DF262D"/>
    <w:rsid w:val="00DF298A"/>
    <w:rsid w:val="00DF3A4D"/>
    <w:rsid w:val="00DF3BB1"/>
    <w:rsid w:val="00DF4411"/>
    <w:rsid w:val="00DF483B"/>
    <w:rsid w:val="00DF53F3"/>
    <w:rsid w:val="00DF5B3A"/>
    <w:rsid w:val="00DF5DC4"/>
    <w:rsid w:val="00DF6AFC"/>
    <w:rsid w:val="00DF6DF5"/>
    <w:rsid w:val="00E01AFF"/>
    <w:rsid w:val="00E01D90"/>
    <w:rsid w:val="00E02773"/>
    <w:rsid w:val="00E027BB"/>
    <w:rsid w:val="00E0291E"/>
    <w:rsid w:val="00E03060"/>
    <w:rsid w:val="00E03429"/>
    <w:rsid w:val="00E03BCA"/>
    <w:rsid w:val="00E03DE4"/>
    <w:rsid w:val="00E043F4"/>
    <w:rsid w:val="00E0453F"/>
    <w:rsid w:val="00E04E75"/>
    <w:rsid w:val="00E0503D"/>
    <w:rsid w:val="00E05D39"/>
    <w:rsid w:val="00E062F6"/>
    <w:rsid w:val="00E06EE9"/>
    <w:rsid w:val="00E07055"/>
    <w:rsid w:val="00E0757E"/>
    <w:rsid w:val="00E079C8"/>
    <w:rsid w:val="00E079FF"/>
    <w:rsid w:val="00E10360"/>
    <w:rsid w:val="00E10D55"/>
    <w:rsid w:val="00E11AB4"/>
    <w:rsid w:val="00E12B46"/>
    <w:rsid w:val="00E132DD"/>
    <w:rsid w:val="00E1332B"/>
    <w:rsid w:val="00E13675"/>
    <w:rsid w:val="00E13D2A"/>
    <w:rsid w:val="00E1405B"/>
    <w:rsid w:val="00E143A9"/>
    <w:rsid w:val="00E148BC"/>
    <w:rsid w:val="00E14D06"/>
    <w:rsid w:val="00E150D6"/>
    <w:rsid w:val="00E15209"/>
    <w:rsid w:val="00E1593D"/>
    <w:rsid w:val="00E15A17"/>
    <w:rsid w:val="00E167B7"/>
    <w:rsid w:val="00E16948"/>
    <w:rsid w:val="00E16CCD"/>
    <w:rsid w:val="00E17499"/>
    <w:rsid w:val="00E17D4D"/>
    <w:rsid w:val="00E2005E"/>
    <w:rsid w:val="00E213F4"/>
    <w:rsid w:val="00E227C3"/>
    <w:rsid w:val="00E23C44"/>
    <w:rsid w:val="00E24537"/>
    <w:rsid w:val="00E24684"/>
    <w:rsid w:val="00E24D6F"/>
    <w:rsid w:val="00E25349"/>
    <w:rsid w:val="00E25870"/>
    <w:rsid w:val="00E25D31"/>
    <w:rsid w:val="00E25F33"/>
    <w:rsid w:val="00E26A86"/>
    <w:rsid w:val="00E26B22"/>
    <w:rsid w:val="00E2788A"/>
    <w:rsid w:val="00E27A58"/>
    <w:rsid w:val="00E27AFF"/>
    <w:rsid w:val="00E3015D"/>
    <w:rsid w:val="00E3191E"/>
    <w:rsid w:val="00E31E84"/>
    <w:rsid w:val="00E32577"/>
    <w:rsid w:val="00E3299A"/>
    <w:rsid w:val="00E33033"/>
    <w:rsid w:val="00E33532"/>
    <w:rsid w:val="00E347A3"/>
    <w:rsid w:val="00E34C47"/>
    <w:rsid w:val="00E3566F"/>
    <w:rsid w:val="00E357B6"/>
    <w:rsid w:val="00E359EE"/>
    <w:rsid w:val="00E35ED3"/>
    <w:rsid w:val="00E368E0"/>
    <w:rsid w:val="00E3782A"/>
    <w:rsid w:val="00E37BF1"/>
    <w:rsid w:val="00E37E46"/>
    <w:rsid w:val="00E4025B"/>
    <w:rsid w:val="00E4071F"/>
    <w:rsid w:val="00E4182B"/>
    <w:rsid w:val="00E41C91"/>
    <w:rsid w:val="00E43011"/>
    <w:rsid w:val="00E433EE"/>
    <w:rsid w:val="00E43976"/>
    <w:rsid w:val="00E44942"/>
    <w:rsid w:val="00E451AE"/>
    <w:rsid w:val="00E451B7"/>
    <w:rsid w:val="00E454B3"/>
    <w:rsid w:val="00E4555D"/>
    <w:rsid w:val="00E45684"/>
    <w:rsid w:val="00E46F26"/>
    <w:rsid w:val="00E46F70"/>
    <w:rsid w:val="00E475B7"/>
    <w:rsid w:val="00E5054E"/>
    <w:rsid w:val="00E50BA7"/>
    <w:rsid w:val="00E5100A"/>
    <w:rsid w:val="00E5119D"/>
    <w:rsid w:val="00E51CCB"/>
    <w:rsid w:val="00E526A8"/>
    <w:rsid w:val="00E52833"/>
    <w:rsid w:val="00E53198"/>
    <w:rsid w:val="00E54368"/>
    <w:rsid w:val="00E5530B"/>
    <w:rsid w:val="00E5660E"/>
    <w:rsid w:val="00E56D68"/>
    <w:rsid w:val="00E605CC"/>
    <w:rsid w:val="00E60B94"/>
    <w:rsid w:val="00E60C43"/>
    <w:rsid w:val="00E60DA3"/>
    <w:rsid w:val="00E61892"/>
    <w:rsid w:val="00E62EB2"/>
    <w:rsid w:val="00E62ECB"/>
    <w:rsid w:val="00E6355E"/>
    <w:rsid w:val="00E63EE5"/>
    <w:rsid w:val="00E64D77"/>
    <w:rsid w:val="00E650A4"/>
    <w:rsid w:val="00E6543E"/>
    <w:rsid w:val="00E65809"/>
    <w:rsid w:val="00E65856"/>
    <w:rsid w:val="00E65D6C"/>
    <w:rsid w:val="00E65D7B"/>
    <w:rsid w:val="00E66E99"/>
    <w:rsid w:val="00E67688"/>
    <w:rsid w:val="00E70F4D"/>
    <w:rsid w:val="00E717CD"/>
    <w:rsid w:val="00E7184E"/>
    <w:rsid w:val="00E74D11"/>
    <w:rsid w:val="00E74FF2"/>
    <w:rsid w:val="00E760F3"/>
    <w:rsid w:val="00E76653"/>
    <w:rsid w:val="00E76977"/>
    <w:rsid w:val="00E7766D"/>
    <w:rsid w:val="00E77D38"/>
    <w:rsid w:val="00E810ED"/>
    <w:rsid w:val="00E811A1"/>
    <w:rsid w:val="00E8123A"/>
    <w:rsid w:val="00E81837"/>
    <w:rsid w:val="00E81A3C"/>
    <w:rsid w:val="00E81B21"/>
    <w:rsid w:val="00E83B26"/>
    <w:rsid w:val="00E843A8"/>
    <w:rsid w:val="00E85D8C"/>
    <w:rsid w:val="00E86E5D"/>
    <w:rsid w:val="00E87204"/>
    <w:rsid w:val="00E8733F"/>
    <w:rsid w:val="00E878AD"/>
    <w:rsid w:val="00E87AD7"/>
    <w:rsid w:val="00E900CC"/>
    <w:rsid w:val="00E91310"/>
    <w:rsid w:val="00E9148E"/>
    <w:rsid w:val="00E916CF"/>
    <w:rsid w:val="00E918D8"/>
    <w:rsid w:val="00E91AF6"/>
    <w:rsid w:val="00E923FF"/>
    <w:rsid w:val="00E92867"/>
    <w:rsid w:val="00E92B55"/>
    <w:rsid w:val="00E92BAB"/>
    <w:rsid w:val="00E92F5E"/>
    <w:rsid w:val="00E936B8"/>
    <w:rsid w:val="00E93F25"/>
    <w:rsid w:val="00E94913"/>
    <w:rsid w:val="00E95623"/>
    <w:rsid w:val="00E959F0"/>
    <w:rsid w:val="00E95BC3"/>
    <w:rsid w:val="00E96338"/>
    <w:rsid w:val="00E96429"/>
    <w:rsid w:val="00E96EDC"/>
    <w:rsid w:val="00E972F8"/>
    <w:rsid w:val="00E97878"/>
    <w:rsid w:val="00EA0317"/>
    <w:rsid w:val="00EA0CCC"/>
    <w:rsid w:val="00EA0EBB"/>
    <w:rsid w:val="00EA175E"/>
    <w:rsid w:val="00EA2D7E"/>
    <w:rsid w:val="00EA3EA4"/>
    <w:rsid w:val="00EA4311"/>
    <w:rsid w:val="00EA45D4"/>
    <w:rsid w:val="00EA4850"/>
    <w:rsid w:val="00EA50CA"/>
    <w:rsid w:val="00EA5556"/>
    <w:rsid w:val="00EA58C3"/>
    <w:rsid w:val="00EA5FD2"/>
    <w:rsid w:val="00EA612F"/>
    <w:rsid w:val="00EA62A5"/>
    <w:rsid w:val="00EA68D4"/>
    <w:rsid w:val="00EA6D54"/>
    <w:rsid w:val="00EA6D8C"/>
    <w:rsid w:val="00EA7440"/>
    <w:rsid w:val="00EA7B5E"/>
    <w:rsid w:val="00EB0ED2"/>
    <w:rsid w:val="00EB0FAD"/>
    <w:rsid w:val="00EB149D"/>
    <w:rsid w:val="00EB15E4"/>
    <w:rsid w:val="00EB18CD"/>
    <w:rsid w:val="00EB2635"/>
    <w:rsid w:val="00EB274E"/>
    <w:rsid w:val="00EB2EB2"/>
    <w:rsid w:val="00EB3CBE"/>
    <w:rsid w:val="00EB3F55"/>
    <w:rsid w:val="00EB3FE8"/>
    <w:rsid w:val="00EB4972"/>
    <w:rsid w:val="00EB55EF"/>
    <w:rsid w:val="00EB5EC0"/>
    <w:rsid w:val="00EB6034"/>
    <w:rsid w:val="00EB6062"/>
    <w:rsid w:val="00EB62EB"/>
    <w:rsid w:val="00EB72A6"/>
    <w:rsid w:val="00EB7376"/>
    <w:rsid w:val="00EB7A43"/>
    <w:rsid w:val="00EC00E2"/>
    <w:rsid w:val="00EC01AC"/>
    <w:rsid w:val="00EC1CE7"/>
    <w:rsid w:val="00EC1EE9"/>
    <w:rsid w:val="00EC21B5"/>
    <w:rsid w:val="00EC2226"/>
    <w:rsid w:val="00EC22AF"/>
    <w:rsid w:val="00EC2451"/>
    <w:rsid w:val="00EC2597"/>
    <w:rsid w:val="00EC2B14"/>
    <w:rsid w:val="00EC2BD7"/>
    <w:rsid w:val="00EC2E28"/>
    <w:rsid w:val="00EC3B80"/>
    <w:rsid w:val="00EC4766"/>
    <w:rsid w:val="00EC55E9"/>
    <w:rsid w:val="00EC5A02"/>
    <w:rsid w:val="00EC5B92"/>
    <w:rsid w:val="00EC5BC7"/>
    <w:rsid w:val="00EC6057"/>
    <w:rsid w:val="00EC63C5"/>
    <w:rsid w:val="00EC6D7F"/>
    <w:rsid w:val="00EC6FBD"/>
    <w:rsid w:val="00ED0F50"/>
    <w:rsid w:val="00ED1411"/>
    <w:rsid w:val="00ED1D66"/>
    <w:rsid w:val="00ED2C3B"/>
    <w:rsid w:val="00ED2EEE"/>
    <w:rsid w:val="00ED365F"/>
    <w:rsid w:val="00ED36D0"/>
    <w:rsid w:val="00ED3861"/>
    <w:rsid w:val="00ED3B21"/>
    <w:rsid w:val="00ED4BAB"/>
    <w:rsid w:val="00ED5765"/>
    <w:rsid w:val="00ED628D"/>
    <w:rsid w:val="00ED6F7A"/>
    <w:rsid w:val="00ED7B87"/>
    <w:rsid w:val="00ED7BD7"/>
    <w:rsid w:val="00ED7C02"/>
    <w:rsid w:val="00EE0D7B"/>
    <w:rsid w:val="00EE16C2"/>
    <w:rsid w:val="00EE1A42"/>
    <w:rsid w:val="00EE242F"/>
    <w:rsid w:val="00EE25D6"/>
    <w:rsid w:val="00EE2F15"/>
    <w:rsid w:val="00EE328D"/>
    <w:rsid w:val="00EE3E60"/>
    <w:rsid w:val="00EE4126"/>
    <w:rsid w:val="00EE4334"/>
    <w:rsid w:val="00EE481B"/>
    <w:rsid w:val="00EE4BF9"/>
    <w:rsid w:val="00EE4F02"/>
    <w:rsid w:val="00EE5613"/>
    <w:rsid w:val="00EE58A9"/>
    <w:rsid w:val="00EE5F38"/>
    <w:rsid w:val="00EE611E"/>
    <w:rsid w:val="00EE6BE5"/>
    <w:rsid w:val="00EE7D0C"/>
    <w:rsid w:val="00EF1465"/>
    <w:rsid w:val="00EF172A"/>
    <w:rsid w:val="00EF188E"/>
    <w:rsid w:val="00EF2148"/>
    <w:rsid w:val="00EF3A62"/>
    <w:rsid w:val="00EF3B9B"/>
    <w:rsid w:val="00EF3F92"/>
    <w:rsid w:val="00EF40F9"/>
    <w:rsid w:val="00EF40FC"/>
    <w:rsid w:val="00EF543F"/>
    <w:rsid w:val="00EF5764"/>
    <w:rsid w:val="00EF5C15"/>
    <w:rsid w:val="00EF5E36"/>
    <w:rsid w:val="00EF6353"/>
    <w:rsid w:val="00EF7055"/>
    <w:rsid w:val="00EF731A"/>
    <w:rsid w:val="00EF7495"/>
    <w:rsid w:val="00EF7957"/>
    <w:rsid w:val="00EF7E25"/>
    <w:rsid w:val="00F0056F"/>
    <w:rsid w:val="00F00580"/>
    <w:rsid w:val="00F00771"/>
    <w:rsid w:val="00F00CA2"/>
    <w:rsid w:val="00F00EC3"/>
    <w:rsid w:val="00F0127E"/>
    <w:rsid w:val="00F01488"/>
    <w:rsid w:val="00F01DDE"/>
    <w:rsid w:val="00F01E4B"/>
    <w:rsid w:val="00F02408"/>
    <w:rsid w:val="00F02C9F"/>
    <w:rsid w:val="00F04412"/>
    <w:rsid w:val="00F04898"/>
    <w:rsid w:val="00F04B03"/>
    <w:rsid w:val="00F04D41"/>
    <w:rsid w:val="00F0554D"/>
    <w:rsid w:val="00F05B32"/>
    <w:rsid w:val="00F05DE3"/>
    <w:rsid w:val="00F06234"/>
    <w:rsid w:val="00F0722C"/>
    <w:rsid w:val="00F10510"/>
    <w:rsid w:val="00F1128E"/>
    <w:rsid w:val="00F11B07"/>
    <w:rsid w:val="00F12F47"/>
    <w:rsid w:val="00F13836"/>
    <w:rsid w:val="00F143B0"/>
    <w:rsid w:val="00F147B2"/>
    <w:rsid w:val="00F150E9"/>
    <w:rsid w:val="00F15766"/>
    <w:rsid w:val="00F16627"/>
    <w:rsid w:val="00F17795"/>
    <w:rsid w:val="00F1792A"/>
    <w:rsid w:val="00F17C32"/>
    <w:rsid w:val="00F17C8A"/>
    <w:rsid w:val="00F206D5"/>
    <w:rsid w:val="00F207DF"/>
    <w:rsid w:val="00F20E75"/>
    <w:rsid w:val="00F20F72"/>
    <w:rsid w:val="00F222EB"/>
    <w:rsid w:val="00F233E8"/>
    <w:rsid w:val="00F235E0"/>
    <w:rsid w:val="00F23E17"/>
    <w:rsid w:val="00F24138"/>
    <w:rsid w:val="00F24A67"/>
    <w:rsid w:val="00F24B60"/>
    <w:rsid w:val="00F24DD7"/>
    <w:rsid w:val="00F24E20"/>
    <w:rsid w:val="00F25F60"/>
    <w:rsid w:val="00F26B13"/>
    <w:rsid w:val="00F27047"/>
    <w:rsid w:val="00F2712C"/>
    <w:rsid w:val="00F27159"/>
    <w:rsid w:val="00F27D6C"/>
    <w:rsid w:val="00F30011"/>
    <w:rsid w:val="00F300AD"/>
    <w:rsid w:val="00F30166"/>
    <w:rsid w:val="00F3072D"/>
    <w:rsid w:val="00F30A3F"/>
    <w:rsid w:val="00F3162B"/>
    <w:rsid w:val="00F31893"/>
    <w:rsid w:val="00F31ABE"/>
    <w:rsid w:val="00F32375"/>
    <w:rsid w:val="00F3272C"/>
    <w:rsid w:val="00F32A7C"/>
    <w:rsid w:val="00F33430"/>
    <w:rsid w:val="00F33743"/>
    <w:rsid w:val="00F337D6"/>
    <w:rsid w:val="00F340F5"/>
    <w:rsid w:val="00F34160"/>
    <w:rsid w:val="00F3428D"/>
    <w:rsid w:val="00F35496"/>
    <w:rsid w:val="00F36038"/>
    <w:rsid w:val="00F360B7"/>
    <w:rsid w:val="00F36EAE"/>
    <w:rsid w:val="00F40316"/>
    <w:rsid w:val="00F4047E"/>
    <w:rsid w:val="00F406D7"/>
    <w:rsid w:val="00F40FF4"/>
    <w:rsid w:val="00F4164A"/>
    <w:rsid w:val="00F417E8"/>
    <w:rsid w:val="00F41B0A"/>
    <w:rsid w:val="00F42798"/>
    <w:rsid w:val="00F42D4D"/>
    <w:rsid w:val="00F43BC3"/>
    <w:rsid w:val="00F43E02"/>
    <w:rsid w:val="00F44377"/>
    <w:rsid w:val="00F44852"/>
    <w:rsid w:val="00F44D9A"/>
    <w:rsid w:val="00F44DBC"/>
    <w:rsid w:val="00F4519F"/>
    <w:rsid w:val="00F459FF"/>
    <w:rsid w:val="00F461AF"/>
    <w:rsid w:val="00F46FF1"/>
    <w:rsid w:val="00F473C0"/>
    <w:rsid w:val="00F47A79"/>
    <w:rsid w:val="00F5031E"/>
    <w:rsid w:val="00F50CC9"/>
    <w:rsid w:val="00F521C7"/>
    <w:rsid w:val="00F52397"/>
    <w:rsid w:val="00F52DC2"/>
    <w:rsid w:val="00F52E9A"/>
    <w:rsid w:val="00F53233"/>
    <w:rsid w:val="00F540D0"/>
    <w:rsid w:val="00F5508B"/>
    <w:rsid w:val="00F55321"/>
    <w:rsid w:val="00F5621E"/>
    <w:rsid w:val="00F57590"/>
    <w:rsid w:val="00F575DA"/>
    <w:rsid w:val="00F57A56"/>
    <w:rsid w:val="00F57DF1"/>
    <w:rsid w:val="00F601A3"/>
    <w:rsid w:val="00F602F6"/>
    <w:rsid w:val="00F604EE"/>
    <w:rsid w:val="00F60849"/>
    <w:rsid w:val="00F60B8D"/>
    <w:rsid w:val="00F60CAB"/>
    <w:rsid w:val="00F61127"/>
    <w:rsid w:val="00F613D7"/>
    <w:rsid w:val="00F6142F"/>
    <w:rsid w:val="00F616A4"/>
    <w:rsid w:val="00F619C2"/>
    <w:rsid w:val="00F61FFC"/>
    <w:rsid w:val="00F62035"/>
    <w:rsid w:val="00F6240E"/>
    <w:rsid w:val="00F62A90"/>
    <w:rsid w:val="00F62CD4"/>
    <w:rsid w:val="00F6383D"/>
    <w:rsid w:val="00F642A6"/>
    <w:rsid w:val="00F6550D"/>
    <w:rsid w:val="00F6593D"/>
    <w:rsid w:val="00F65A01"/>
    <w:rsid w:val="00F66942"/>
    <w:rsid w:val="00F671BD"/>
    <w:rsid w:val="00F6744D"/>
    <w:rsid w:val="00F706A5"/>
    <w:rsid w:val="00F70853"/>
    <w:rsid w:val="00F70977"/>
    <w:rsid w:val="00F70B32"/>
    <w:rsid w:val="00F70D03"/>
    <w:rsid w:val="00F70EBC"/>
    <w:rsid w:val="00F71116"/>
    <w:rsid w:val="00F7123C"/>
    <w:rsid w:val="00F71939"/>
    <w:rsid w:val="00F71A0B"/>
    <w:rsid w:val="00F71A24"/>
    <w:rsid w:val="00F71C72"/>
    <w:rsid w:val="00F728DB"/>
    <w:rsid w:val="00F7342C"/>
    <w:rsid w:val="00F7353A"/>
    <w:rsid w:val="00F73811"/>
    <w:rsid w:val="00F73EC0"/>
    <w:rsid w:val="00F74236"/>
    <w:rsid w:val="00F747F5"/>
    <w:rsid w:val="00F749F4"/>
    <w:rsid w:val="00F74A45"/>
    <w:rsid w:val="00F74E1A"/>
    <w:rsid w:val="00F756CA"/>
    <w:rsid w:val="00F76227"/>
    <w:rsid w:val="00F76736"/>
    <w:rsid w:val="00F76AD2"/>
    <w:rsid w:val="00F77C84"/>
    <w:rsid w:val="00F77F85"/>
    <w:rsid w:val="00F801C7"/>
    <w:rsid w:val="00F804F2"/>
    <w:rsid w:val="00F809B7"/>
    <w:rsid w:val="00F80B1A"/>
    <w:rsid w:val="00F81F7C"/>
    <w:rsid w:val="00F820E7"/>
    <w:rsid w:val="00F8220C"/>
    <w:rsid w:val="00F825A7"/>
    <w:rsid w:val="00F83027"/>
    <w:rsid w:val="00F83806"/>
    <w:rsid w:val="00F8417D"/>
    <w:rsid w:val="00F847E9"/>
    <w:rsid w:val="00F85504"/>
    <w:rsid w:val="00F85A78"/>
    <w:rsid w:val="00F87263"/>
    <w:rsid w:val="00F90470"/>
    <w:rsid w:val="00F90601"/>
    <w:rsid w:val="00F90706"/>
    <w:rsid w:val="00F908A7"/>
    <w:rsid w:val="00F90C6A"/>
    <w:rsid w:val="00F9132D"/>
    <w:rsid w:val="00F918D2"/>
    <w:rsid w:val="00F9238A"/>
    <w:rsid w:val="00F92B66"/>
    <w:rsid w:val="00F92E2F"/>
    <w:rsid w:val="00F9362F"/>
    <w:rsid w:val="00F93902"/>
    <w:rsid w:val="00F93ED2"/>
    <w:rsid w:val="00F94483"/>
    <w:rsid w:val="00F94DE6"/>
    <w:rsid w:val="00F950DA"/>
    <w:rsid w:val="00F955AD"/>
    <w:rsid w:val="00F97420"/>
    <w:rsid w:val="00F974E4"/>
    <w:rsid w:val="00F97C69"/>
    <w:rsid w:val="00FA002F"/>
    <w:rsid w:val="00FA160A"/>
    <w:rsid w:val="00FA1E8D"/>
    <w:rsid w:val="00FA223D"/>
    <w:rsid w:val="00FA330A"/>
    <w:rsid w:val="00FA3EC1"/>
    <w:rsid w:val="00FA4AFD"/>
    <w:rsid w:val="00FA5FC6"/>
    <w:rsid w:val="00FA661D"/>
    <w:rsid w:val="00FA7451"/>
    <w:rsid w:val="00FB023D"/>
    <w:rsid w:val="00FB0EAD"/>
    <w:rsid w:val="00FB0FE0"/>
    <w:rsid w:val="00FB1028"/>
    <w:rsid w:val="00FB1EBB"/>
    <w:rsid w:val="00FB21E9"/>
    <w:rsid w:val="00FB238F"/>
    <w:rsid w:val="00FB2C94"/>
    <w:rsid w:val="00FB2FFF"/>
    <w:rsid w:val="00FB3844"/>
    <w:rsid w:val="00FB4642"/>
    <w:rsid w:val="00FB48D4"/>
    <w:rsid w:val="00FB493B"/>
    <w:rsid w:val="00FB494D"/>
    <w:rsid w:val="00FB4A40"/>
    <w:rsid w:val="00FB4FD8"/>
    <w:rsid w:val="00FB6135"/>
    <w:rsid w:val="00FB6D20"/>
    <w:rsid w:val="00FB709B"/>
    <w:rsid w:val="00FC0311"/>
    <w:rsid w:val="00FC0D50"/>
    <w:rsid w:val="00FC1964"/>
    <w:rsid w:val="00FC1ADB"/>
    <w:rsid w:val="00FC23EC"/>
    <w:rsid w:val="00FC2C46"/>
    <w:rsid w:val="00FC308E"/>
    <w:rsid w:val="00FC3E01"/>
    <w:rsid w:val="00FC45C9"/>
    <w:rsid w:val="00FC4A66"/>
    <w:rsid w:val="00FC4AE3"/>
    <w:rsid w:val="00FC5009"/>
    <w:rsid w:val="00FC53B1"/>
    <w:rsid w:val="00FC5BF6"/>
    <w:rsid w:val="00FC6475"/>
    <w:rsid w:val="00FC6F33"/>
    <w:rsid w:val="00FC793C"/>
    <w:rsid w:val="00FC7BB7"/>
    <w:rsid w:val="00FC7F99"/>
    <w:rsid w:val="00FD0F9B"/>
    <w:rsid w:val="00FD437C"/>
    <w:rsid w:val="00FD4B60"/>
    <w:rsid w:val="00FD4EEF"/>
    <w:rsid w:val="00FD69CA"/>
    <w:rsid w:val="00FD6A27"/>
    <w:rsid w:val="00FD6FE8"/>
    <w:rsid w:val="00FE0301"/>
    <w:rsid w:val="00FE0A8D"/>
    <w:rsid w:val="00FE13EC"/>
    <w:rsid w:val="00FE16FA"/>
    <w:rsid w:val="00FE1F4E"/>
    <w:rsid w:val="00FE2411"/>
    <w:rsid w:val="00FE27FC"/>
    <w:rsid w:val="00FE2F1D"/>
    <w:rsid w:val="00FE3563"/>
    <w:rsid w:val="00FE413B"/>
    <w:rsid w:val="00FE464A"/>
    <w:rsid w:val="00FE47DE"/>
    <w:rsid w:val="00FE4BB3"/>
    <w:rsid w:val="00FE4C4C"/>
    <w:rsid w:val="00FE4D49"/>
    <w:rsid w:val="00FE4FC7"/>
    <w:rsid w:val="00FE51EC"/>
    <w:rsid w:val="00FE68CB"/>
    <w:rsid w:val="00FE7303"/>
    <w:rsid w:val="00FF1173"/>
    <w:rsid w:val="00FF1372"/>
    <w:rsid w:val="00FF2BBE"/>
    <w:rsid w:val="00FF4609"/>
    <w:rsid w:val="00FF474F"/>
    <w:rsid w:val="00FF5FFE"/>
    <w:rsid w:val="00FF6D76"/>
    <w:rsid w:val="01385C75"/>
    <w:rsid w:val="01595511"/>
    <w:rsid w:val="016B0724"/>
    <w:rsid w:val="01787A7F"/>
    <w:rsid w:val="018329BF"/>
    <w:rsid w:val="01A13C55"/>
    <w:rsid w:val="01A56CE5"/>
    <w:rsid w:val="01C81B3E"/>
    <w:rsid w:val="01E67C12"/>
    <w:rsid w:val="023C4552"/>
    <w:rsid w:val="02592A71"/>
    <w:rsid w:val="026D4FFB"/>
    <w:rsid w:val="02756EBE"/>
    <w:rsid w:val="028D7CFC"/>
    <w:rsid w:val="03030482"/>
    <w:rsid w:val="03245EE1"/>
    <w:rsid w:val="033F233D"/>
    <w:rsid w:val="03864F9A"/>
    <w:rsid w:val="039E1030"/>
    <w:rsid w:val="03A37A5B"/>
    <w:rsid w:val="03B34611"/>
    <w:rsid w:val="03BC53EA"/>
    <w:rsid w:val="03CD7292"/>
    <w:rsid w:val="03E9736D"/>
    <w:rsid w:val="043B2EB9"/>
    <w:rsid w:val="048D6668"/>
    <w:rsid w:val="049921FC"/>
    <w:rsid w:val="04CF63E5"/>
    <w:rsid w:val="052E13E9"/>
    <w:rsid w:val="0572331C"/>
    <w:rsid w:val="05BA204F"/>
    <w:rsid w:val="060C7D98"/>
    <w:rsid w:val="06355F0B"/>
    <w:rsid w:val="06424DF2"/>
    <w:rsid w:val="0643496F"/>
    <w:rsid w:val="06561515"/>
    <w:rsid w:val="06D449A5"/>
    <w:rsid w:val="06E01B1D"/>
    <w:rsid w:val="06EA5A19"/>
    <w:rsid w:val="072A3DD9"/>
    <w:rsid w:val="07376E91"/>
    <w:rsid w:val="0742623D"/>
    <w:rsid w:val="07BC0AB6"/>
    <w:rsid w:val="07FA1AEC"/>
    <w:rsid w:val="07FE39CF"/>
    <w:rsid w:val="08266C56"/>
    <w:rsid w:val="08384EFF"/>
    <w:rsid w:val="08386408"/>
    <w:rsid w:val="087E3CBC"/>
    <w:rsid w:val="08856388"/>
    <w:rsid w:val="08D86797"/>
    <w:rsid w:val="08DE5323"/>
    <w:rsid w:val="092B15AC"/>
    <w:rsid w:val="092B290E"/>
    <w:rsid w:val="093848FE"/>
    <w:rsid w:val="09582AA4"/>
    <w:rsid w:val="09894A1C"/>
    <w:rsid w:val="09D25E52"/>
    <w:rsid w:val="09D90E77"/>
    <w:rsid w:val="09E66D72"/>
    <w:rsid w:val="0A13209A"/>
    <w:rsid w:val="0A48751D"/>
    <w:rsid w:val="0A9603C8"/>
    <w:rsid w:val="0B0536BA"/>
    <w:rsid w:val="0B120F57"/>
    <w:rsid w:val="0B196D0F"/>
    <w:rsid w:val="0B294564"/>
    <w:rsid w:val="0B2A42EF"/>
    <w:rsid w:val="0B444CF6"/>
    <w:rsid w:val="0B9F5B37"/>
    <w:rsid w:val="0BC30446"/>
    <w:rsid w:val="0BC426FF"/>
    <w:rsid w:val="0BEC4737"/>
    <w:rsid w:val="0BEF7B39"/>
    <w:rsid w:val="0C006D85"/>
    <w:rsid w:val="0C260FC2"/>
    <w:rsid w:val="0C525891"/>
    <w:rsid w:val="0C71662C"/>
    <w:rsid w:val="0C7B6E89"/>
    <w:rsid w:val="0C886B1E"/>
    <w:rsid w:val="0CB52B11"/>
    <w:rsid w:val="0CD568F6"/>
    <w:rsid w:val="0CEC4D67"/>
    <w:rsid w:val="0D337C52"/>
    <w:rsid w:val="0D6743DB"/>
    <w:rsid w:val="0D7872B8"/>
    <w:rsid w:val="0D9F33C8"/>
    <w:rsid w:val="0DF77921"/>
    <w:rsid w:val="0E0A7C83"/>
    <w:rsid w:val="0E636660"/>
    <w:rsid w:val="0EB8063A"/>
    <w:rsid w:val="0EC77A2B"/>
    <w:rsid w:val="0ECF6EBC"/>
    <w:rsid w:val="0EE37B07"/>
    <w:rsid w:val="0F2C7FEF"/>
    <w:rsid w:val="0F3F20E3"/>
    <w:rsid w:val="0F5E1EC7"/>
    <w:rsid w:val="0F7B44ED"/>
    <w:rsid w:val="0F9752F6"/>
    <w:rsid w:val="0FCA0BEA"/>
    <w:rsid w:val="0FD40BAC"/>
    <w:rsid w:val="0FEA6D87"/>
    <w:rsid w:val="100B1A88"/>
    <w:rsid w:val="1038264B"/>
    <w:rsid w:val="103F5F82"/>
    <w:rsid w:val="1057216E"/>
    <w:rsid w:val="10585482"/>
    <w:rsid w:val="105F3F61"/>
    <w:rsid w:val="10992654"/>
    <w:rsid w:val="10A52A93"/>
    <w:rsid w:val="10D628A5"/>
    <w:rsid w:val="10D87A0C"/>
    <w:rsid w:val="10D9162B"/>
    <w:rsid w:val="10E46606"/>
    <w:rsid w:val="112F3722"/>
    <w:rsid w:val="118400F5"/>
    <w:rsid w:val="118568E7"/>
    <w:rsid w:val="11D420A5"/>
    <w:rsid w:val="11E9459D"/>
    <w:rsid w:val="12525779"/>
    <w:rsid w:val="128B7A41"/>
    <w:rsid w:val="129E3777"/>
    <w:rsid w:val="12B807AE"/>
    <w:rsid w:val="12C401AC"/>
    <w:rsid w:val="12DA4C6F"/>
    <w:rsid w:val="132137D7"/>
    <w:rsid w:val="133A2D9A"/>
    <w:rsid w:val="13403CE7"/>
    <w:rsid w:val="13624725"/>
    <w:rsid w:val="13874A36"/>
    <w:rsid w:val="13B71090"/>
    <w:rsid w:val="13B94E1F"/>
    <w:rsid w:val="142565BF"/>
    <w:rsid w:val="144947A7"/>
    <w:rsid w:val="145113C9"/>
    <w:rsid w:val="1473221A"/>
    <w:rsid w:val="14EE12AD"/>
    <w:rsid w:val="14F64A56"/>
    <w:rsid w:val="15574B43"/>
    <w:rsid w:val="159D0CCB"/>
    <w:rsid w:val="15C94D02"/>
    <w:rsid w:val="15CF3458"/>
    <w:rsid w:val="1647252A"/>
    <w:rsid w:val="1665481E"/>
    <w:rsid w:val="16654F72"/>
    <w:rsid w:val="1690423C"/>
    <w:rsid w:val="16B30356"/>
    <w:rsid w:val="170055B3"/>
    <w:rsid w:val="17594FF4"/>
    <w:rsid w:val="178E32D5"/>
    <w:rsid w:val="179A1166"/>
    <w:rsid w:val="17A10C76"/>
    <w:rsid w:val="17DC0805"/>
    <w:rsid w:val="184162EE"/>
    <w:rsid w:val="18CC2B89"/>
    <w:rsid w:val="18D01ACA"/>
    <w:rsid w:val="18E06DC5"/>
    <w:rsid w:val="190B744C"/>
    <w:rsid w:val="19384F02"/>
    <w:rsid w:val="19BB4CC1"/>
    <w:rsid w:val="19F37992"/>
    <w:rsid w:val="1A076553"/>
    <w:rsid w:val="1A23422E"/>
    <w:rsid w:val="1A4E1809"/>
    <w:rsid w:val="1A657BF6"/>
    <w:rsid w:val="1A7E32C7"/>
    <w:rsid w:val="1AA12D6E"/>
    <w:rsid w:val="1AE17650"/>
    <w:rsid w:val="1AF90B95"/>
    <w:rsid w:val="1AFB19FE"/>
    <w:rsid w:val="1B1338E0"/>
    <w:rsid w:val="1B2650E7"/>
    <w:rsid w:val="1B324EC6"/>
    <w:rsid w:val="1B5F3A80"/>
    <w:rsid w:val="1BD15190"/>
    <w:rsid w:val="1C3579CD"/>
    <w:rsid w:val="1C812D9B"/>
    <w:rsid w:val="1CB970F4"/>
    <w:rsid w:val="1CCA2A2B"/>
    <w:rsid w:val="1CE860EE"/>
    <w:rsid w:val="1D2C2B24"/>
    <w:rsid w:val="1D3C0012"/>
    <w:rsid w:val="1D5E2DDB"/>
    <w:rsid w:val="1D68098B"/>
    <w:rsid w:val="1D8855DD"/>
    <w:rsid w:val="1D8A02A5"/>
    <w:rsid w:val="1DC1395B"/>
    <w:rsid w:val="1DCC2038"/>
    <w:rsid w:val="1DF843B7"/>
    <w:rsid w:val="1E1B53D4"/>
    <w:rsid w:val="1E2D1107"/>
    <w:rsid w:val="1E9D4C74"/>
    <w:rsid w:val="1F371FBF"/>
    <w:rsid w:val="1F4574C5"/>
    <w:rsid w:val="1F682159"/>
    <w:rsid w:val="1F68596C"/>
    <w:rsid w:val="1F8D15BB"/>
    <w:rsid w:val="1F951028"/>
    <w:rsid w:val="1FEA3CD6"/>
    <w:rsid w:val="1FF11DB2"/>
    <w:rsid w:val="1FFB30AF"/>
    <w:rsid w:val="20201306"/>
    <w:rsid w:val="20795DF3"/>
    <w:rsid w:val="207E6615"/>
    <w:rsid w:val="20812A94"/>
    <w:rsid w:val="2088541F"/>
    <w:rsid w:val="209F3B4F"/>
    <w:rsid w:val="21414A1D"/>
    <w:rsid w:val="21541183"/>
    <w:rsid w:val="218C0191"/>
    <w:rsid w:val="21993E3A"/>
    <w:rsid w:val="219E051A"/>
    <w:rsid w:val="21A0735F"/>
    <w:rsid w:val="21C336D4"/>
    <w:rsid w:val="21D041FD"/>
    <w:rsid w:val="21E34C68"/>
    <w:rsid w:val="22073F3D"/>
    <w:rsid w:val="22202595"/>
    <w:rsid w:val="222B4025"/>
    <w:rsid w:val="22777B1D"/>
    <w:rsid w:val="228C2600"/>
    <w:rsid w:val="22D8384D"/>
    <w:rsid w:val="232927B0"/>
    <w:rsid w:val="235962A9"/>
    <w:rsid w:val="23C37763"/>
    <w:rsid w:val="23D27C7F"/>
    <w:rsid w:val="23FE3EB0"/>
    <w:rsid w:val="240D657B"/>
    <w:rsid w:val="24536259"/>
    <w:rsid w:val="24757456"/>
    <w:rsid w:val="24955320"/>
    <w:rsid w:val="24A37943"/>
    <w:rsid w:val="24CE0F32"/>
    <w:rsid w:val="24E516A6"/>
    <w:rsid w:val="24EA1439"/>
    <w:rsid w:val="24ED43B8"/>
    <w:rsid w:val="2532599A"/>
    <w:rsid w:val="257206C1"/>
    <w:rsid w:val="25CE5F03"/>
    <w:rsid w:val="25F35FB1"/>
    <w:rsid w:val="26171189"/>
    <w:rsid w:val="2642308B"/>
    <w:rsid w:val="26476233"/>
    <w:rsid w:val="2660270E"/>
    <w:rsid w:val="266572D4"/>
    <w:rsid w:val="268339A7"/>
    <w:rsid w:val="26A25C73"/>
    <w:rsid w:val="26B76E97"/>
    <w:rsid w:val="26C43045"/>
    <w:rsid w:val="271C2158"/>
    <w:rsid w:val="274A1A70"/>
    <w:rsid w:val="27584ABA"/>
    <w:rsid w:val="27666215"/>
    <w:rsid w:val="276F65FA"/>
    <w:rsid w:val="27870D9D"/>
    <w:rsid w:val="279B7914"/>
    <w:rsid w:val="27B006E7"/>
    <w:rsid w:val="280B09D9"/>
    <w:rsid w:val="281C41DD"/>
    <w:rsid w:val="282E6422"/>
    <w:rsid w:val="283B3400"/>
    <w:rsid w:val="283D75E9"/>
    <w:rsid w:val="28424179"/>
    <w:rsid w:val="28770D18"/>
    <w:rsid w:val="28A14BB0"/>
    <w:rsid w:val="28AE2B6D"/>
    <w:rsid w:val="28BF5FA1"/>
    <w:rsid w:val="28C52FEC"/>
    <w:rsid w:val="28CB6095"/>
    <w:rsid w:val="28F935F9"/>
    <w:rsid w:val="291B11E8"/>
    <w:rsid w:val="2958177D"/>
    <w:rsid w:val="296F79C7"/>
    <w:rsid w:val="29873A55"/>
    <w:rsid w:val="299D3A5F"/>
    <w:rsid w:val="29EE52C5"/>
    <w:rsid w:val="29FF2DFD"/>
    <w:rsid w:val="2A000F9C"/>
    <w:rsid w:val="2A0D2B48"/>
    <w:rsid w:val="2A17035E"/>
    <w:rsid w:val="2AC07A7B"/>
    <w:rsid w:val="2ADE67C4"/>
    <w:rsid w:val="2B146BC7"/>
    <w:rsid w:val="2B18263B"/>
    <w:rsid w:val="2B3B4D49"/>
    <w:rsid w:val="2B471CED"/>
    <w:rsid w:val="2B675300"/>
    <w:rsid w:val="2BDB020C"/>
    <w:rsid w:val="2C0D3286"/>
    <w:rsid w:val="2C3833BC"/>
    <w:rsid w:val="2C3C210D"/>
    <w:rsid w:val="2C5A125B"/>
    <w:rsid w:val="2CB50AB9"/>
    <w:rsid w:val="2CB52621"/>
    <w:rsid w:val="2D13731C"/>
    <w:rsid w:val="2D443E99"/>
    <w:rsid w:val="2D9A35CC"/>
    <w:rsid w:val="2DA90118"/>
    <w:rsid w:val="2E371BD3"/>
    <w:rsid w:val="2E3A5130"/>
    <w:rsid w:val="2E590BD4"/>
    <w:rsid w:val="2E7D2993"/>
    <w:rsid w:val="2ED4600F"/>
    <w:rsid w:val="2F07694D"/>
    <w:rsid w:val="2F2034BE"/>
    <w:rsid w:val="2F2F32D0"/>
    <w:rsid w:val="2F656DF2"/>
    <w:rsid w:val="2F800E5A"/>
    <w:rsid w:val="2F986A34"/>
    <w:rsid w:val="2FCD483E"/>
    <w:rsid w:val="2FCE5B57"/>
    <w:rsid w:val="3010593E"/>
    <w:rsid w:val="3014568E"/>
    <w:rsid w:val="3017552D"/>
    <w:rsid w:val="302E3A32"/>
    <w:rsid w:val="305478E2"/>
    <w:rsid w:val="30683D4F"/>
    <w:rsid w:val="30717296"/>
    <w:rsid w:val="308B605B"/>
    <w:rsid w:val="30A32065"/>
    <w:rsid w:val="30F17CE1"/>
    <w:rsid w:val="30FC6132"/>
    <w:rsid w:val="313335A4"/>
    <w:rsid w:val="315038AE"/>
    <w:rsid w:val="31BC46FE"/>
    <w:rsid w:val="31CF25A3"/>
    <w:rsid w:val="321B69B6"/>
    <w:rsid w:val="325003F7"/>
    <w:rsid w:val="32775E1E"/>
    <w:rsid w:val="32847218"/>
    <w:rsid w:val="32CF35E3"/>
    <w:rsid w:val="335350D0"/>
    <w:rsid w:val="338611A2"/>
    <w:rsid w:val="339239B7"/>
    <w:rsid w:val="33AF1C03"/>
    <w:rsid w:val="33E664BC"/>
    <w:rsid w:val="33EC190B"/>
    <w:rsid w:val="34034788"/>
    <w:rsid w:val="342B2050"/>
    <w:rsid w:val="343157DB"/>
    <w:rsid w:val="3441073A"/>
    <w:rsid w:val="344863D0"/>
    <w:rsid w:val="34916759"/>
    <w:rsid w:val="34B71397"/>
    <w:rsid w:val="34E6213C"/>
    <w:rsid w:val="35130F9B"/>
    <w:rsid w:val="35175C9F"/>
    <w:rsid w:val="355F1ECE"/>
    <w:rsid w:val="35663BD4"/>
    <w:rsid w:val="35844683"/>
    <w:rsid w:val="359A4364"/>
    <w:rsid w:val="359E1F96"/>
    <w:rsid w:val="359F3C2C"/>
    <w:rsid w:val="35F43C6D"/>
    <w:rsid w:val="35F51B64"/>
    <w:rsid w:val="36011DE9"/>
    <w:rsid w:val="36AD602A"/>
    <w:rsid w:val="36B116B2"/>
    <w:rsid w:val="36C85432"/>
    <w:rsid w:val="36E843CC"/>
    <w:rsid w:val="376F630C"/>
    <w:rsid w:val="37B9516F"/>
    <w:rsid w:val="37F0668A"/>
    <w:rsid w:val="37FB1B93"/>
    <w:rsid w:val="388B57A8"/>
    <w:rsid w:val="38CA7C55"/>
    <w:rsid w:val="38E1133A"/>
    <w:rsid w:val="39322D24"/>
    <w:rsid w:val="393B4937"/>
    <w:rsid w:val="394F79BA"/>
    <w:rsid w:val="396127F9"/>
    <w:rsid w:val="396C5373"/>
    <w:rsid w:val="39824D38"/>
    <w:rsid w:val="39A101EB"/>
    <w:rsid w:val="39CA4427"/>
    <w:rsid w:val="39E6274E"/>
    <w:rsid w:val="3A2C1DD4"/>
    <w:rsid w:val="3AA33107"/>
    <w:rsid w:val="3AD46BBF"/>
    <w:rsid w:val="3AEC349F"/>
    <w:rsid w:val="3B2E76C3"/>
    <w:rsid w:val="3B3374B3"/>
    <w:rsid w:val="3B4E3A1E"/>
    <w:rsid w:val="3B661D94"/>
    <w:rsid w:val="3B671DC6"/>
    <w:rsid w:val="3B752BE2"/>
    <w:rsid w:val="3BA74D0E"/>
    <w:rsid w:val="3BD400AB"/>
    <w:rsid w:val="3BDD74AF"/>
    <w:rsid w:val="3BE40142"/>
    <w:rsid w:val="3C2A042C"/>
    <w:rsid w:val="3C375757"/>
    <w:rsid w:val="3C6375FF"/>
    <w:rsid w:val="3C6A6001"/>
    <w:rsid w:val="3C70119C"/>
    <w:rsid w:val="3C79014D"/>
    <w:rsid w:val="3C8477F1"/>
    <w:rsid w:val="3C976DBB"/>
    <w:rsid w:val="3CAC32FB"/>
    <w:rsid w:val="3CB174B3"/>
    <w:rsid w:val="3CB344C3"/>
    <w:rsid w:val="3D367F87"/>
    <w:rsid w:val="3D5E50F4"/>
    <w:rsid w:val="3D6B6084"/>
    <w:rsid w:val="3D917498"/>
    <w:rsid w:val="3DD222CA"/>
    <w:rsid w:val="3E154FC6"/>
    <w:rsid w:val="3E575683"/>
    <w:rsid w:val="3EC330C5"/>
    <w:rsid w:val="3EC71702"/>
    <w:rsid w:val="3EE90F80"/>
    <w:rsid w:val="3F347D1A"/>
    <w:rsid w:val="3F5E7143"/>
    <w:rsid w:val="3FA0291D"/>
    <w:rsid w:val="404575C7"/>
    <w:rsid w:val="40575D58"/>
    <w:rsid w:val="408764C4"/>
    <w:rsid w:val="40D5462F"/>
    <w:rsid w:val="40F903DA"/>
    <w:rsid w:val="40F95A7D"/>
    <w:rsid w:val="40FC6C00"/>
    <w:rsid w:val="41270B50"/>
    <w:rsid w:val="41401AAE"/>
    <w:rsid w:val="4141754F"/>
    <w:rsid w:val="41714DAB"/>
    <w:rsid w:val="417C1BAC"/>
    <w:rsid w:val="4187059D"/>
    <w:rsid w:val="427C242F"/>
    <w:rsid w:val="42D46748"/>
    <w:rsid w:val="42EA4114"/>
    <w:rsid w:val="430567A7"/>
    <w:rsid w:val="43071476"/>
    <w:rsid w:val="432C0824"/>
    <w:rsid w:val="43352FC6"/>
    <w:rsid w:val="43422BA0"/>
    <w:rsid w:val="441B35CC"/>
    <w:rsid w:val="442B4A27"/>
    <w:rsid w:val="445777AD"/>
    <w:rsid w:val="446C1042"/>
    <w:rsid w:val="4492239E"/>
    <w:rsid w:val="44AA5C9D"/>
    <w:rsid w:val="44D943F1"/>
    <w:rsid w:val="44F87E2F"/>
    <w:rsid w:val="450960D6"/>
    <w:rsid w:val="4540477B"/>
    <w:rsid w:val="45BA33DB"/>
    <w:rsid w:val="45C2136D"/>
    <w:rsid w:val="45DC0130"/>
    <w:rsid w:val="460C0CA3"/>
    <w:rsid w:val="461A3437"/>
    <w:rsid w:val="46282708"/>
    <w:rsid w:val="462E23FE"/>
    <w:rsid w:val="4667196F"/>
    <w:rsid w:val="468B1C22"/>
    <w:rsid w:val="46D261E5"/>
    <w:rsid w:val="46DF76D8"/>
    <w:rsid w:val="46E224DF"/>
    <w:rsid w:val="46F62C7A"/>
    <w:rsid w:val="46F9309C"/>
    <w:rsid w:val="46FD5BDE"/>
    <w:rsid w:val="47117654"/>
    <w:rsid w:val="4789391F"/>
    <w:rsid w:val="479D2CBC"/>
    <w:rsid w:val="47A8150F"/>
    <w:rsid w:val="47CB0354"/>
    <w:rsid w:val="480A6BD7"/>
    <w:rsid w:val="482D6CDE"/>
    <w:rsid w:val="484433CE"/>
    <w:rsid w:val="48F96FBD"/>
    <w:rsid w:val="4945176C"/>
    <w:rsid w:val="494A3C30"/>
    <w:rsid w:val="49643A1B"/>
    <w:rsid w:val="498A548C"/>
    <w:rsid w:val="49A25CB6"/>
    <w:rsid w:val="49E17739"/>
    <w:rsid w:val="4A4009BB"/>
    <w:rsid w:val="4ABA4176"/>
    <w:rsid w:val="4B12725F"/>
    <w:rsid w:val="4B3922C3"/>
    <w:rsid w:val="4B632837"/>
    <w:rsid w:val="4B832780"/>
    <w:rsid w:val="4B912AD1"/>
    <w:rsid w:val="4BA94395"/>
    <w:rsid w:val="4BAD783B"/>
    <w:rsid w:val="4BC46AA8"/>
    <w:rsid w:val="4BCB7AAC"/>
    <w:rsid w:val="4BD45BD2"/>
    <w:rsid w:val="4BF65BCD"/>
    <w:rsid w:val="4C0965C8"/>
    <w:rsid w:val="4C2E4E05"/>
    <w:rsid w:val="4C4D2D93"/>
    <w:rsid w:val="4C5554B5"/>
    <w:rsid w:val="4C5B5E6C"/>
    <w:rsid w:val="4C65455C"/>
    <w:rsid w:val="4CB00F2A"/>
    <w:rsid w:val="4CD44A0F"/>
    <w:rsid w:val="4CEE5586"/>
    <w:rsid w:val="4D7B7AA4"/>
    <w:rsid w:val="4DC81405"/>
    <w:rsid w:val="4E150121"/>
    <w:rsid w:val="4E586B92"/>
    <w:rsid w:val="4E78295E"/>
    <w:rsid w:val="4E826952"/>
    <w:rsid w:val="4EAC0DE6"/>
    <w:rsid w:val="4EAC12B6"/>
    <w:rsid w:val="4F3B33BD"/>
    <w:rsid w:val="4F5E3C3E"/>
    <w:rsid w:val="4FA95E2F"/>
    <w:rsid w:val="50436FED"/>
    <w:rsid w:val="504A6E70"/>
    <w:rsid w:val="50515C11"/>
    <w:rsid w:val="50821DFC"/>
    <w:rsid w:val="508E2679"/>
    <w:rsid w:val="50956C30"/>
    <w:rsid w:val="50E6422D"/>
    <w:rsid w:val="50F07B62"/>
    <w:rsid w:val="51172305"/>
    <w:rsid w:val="512463CC"/>
    <w:rsid w:val="51414A9B"/>
    <w:rsid w:val="515F2A32"/>
    <w:rsid w:val="519159E1"/>
    <w:rsid w:val="51964615"/>
    <w:rsid w:val="51D32373"/>
    <w:rsid w:val="51FC397D"/>
    <w:rsid w:val="51FE28AE"/>
    <w:rsid w:val="52171915"/>
    <w:rsid w:val="52196341"/>
    <w:rsid w:val="5280058E"/>
    <w:rsid w:val="52BE7E69"/>
    <w:rsid w:val="52CC7EF3"/>
    <w:rsid w:val="52E60C62"/>
    <w:rsid w:val="533321D3"/>
    <w:rsid w:val="53A2065D"/>
    <w:rsid w:val="53A41698"/>
    <w:rsid w:val="53A950CD"/>
    <w:rsid w:val="53D80256"/>
    <w:rsid w:val="540B7D6D"/>
    <w:rsid w:val="544C4F34"/>
    <w:rsid w:val="54600FEA"/>
    <w:rsid w:val="54CB3CA0"/>
    <w:rsid w:val="54E52EFA"/>
    <w:rsid w:val="54F072FB"/>
    <w:rsid w:val="55027F4E"/>
    <w:rsid w:val="552427BA"/>
    <w:rsid w:val="5557153B"/>
    <w:rsid w:val="555D7934"/>
    <w:rsid w:val="558948A5"/>
    <w:rsid w:val="558C411A"/>
    <w:rsid w:val="55A425AB"/>
    <w:rsid w:val="55F27079"/>
    <w:rsid w:val="5632131C"/>
    <w:rsid w:val="5640765F"/>
    <w:rsid w:val="568A1BA6"/>
    <w:rsid w:val="56907A33"/>
    <w:rsid w:val="56D565FC"/>
    <w:rsid w:val="570C3DF4"/>
    <w:rsid w:val="578329A3"/>
    <w:rsid w:val="57870335"/>
    <w:rsid w:val="578C40DF"/>
    <w:rsid w:val="57915E59"/>
    <w:rsid w:val="57C56B5F"/>
    <w:rsid w:val="58524431"/>
    <w:rsid w:val="58A43B01"/>
    <w:rsid w:val="58BA5372"/>
    <w:rsid w:val="58DD7727"/>
    <w:rsid w:val="59245A24"/>
    <w:rsid w:val="59251DE7"/>
    <w:rsid w:val="597E5066"/>
    <w:rsid w:val="59871119"/>
    <w:rsid w:val="59927314"/>
    <w:rsid w:val="59D66441"/>
    <w:rsid w:val="5A3D621D"/>
    <w:rsid w:val="5A3F02CA"/>
    <w:rsid w:val="5A542561"/>
    <w:rsid w:val="5A5C6811"/>
    <w:rsid w:val="5A8D4E40"/>
    <w:rsid w:val="5AB07D77"/>
    <w:rsid w:val="5AB83561"/>
    <w:rsid w:val="5B042590"/>
    <w:rsid w:val="5B9A2DEE"/>
    <w:rsid w:val="5C3A4451"/>
    <w:rsid w:val="5C6C3CEE"/>
    <w:rsid w:val="5CD451B4"/>
    <w:rsid w:val="5D12413D"/>
    <w:rsid w:val="5D1B0719"/>
    <w:rsid w:val="5D330CDB"/>
    <w:rsid w:val="5D3A2854"/>
    <w:rsid w:val="5D7D1419"/>
    <w:rsid w:val="5E05572E"/>
    <w:rsid w:val="5E1262DA"/>
    <w:rsid w:val="5E196618"/>
    <w:rsid w:val="5E3147AC"/>
    <w:rsid w:val="5E3C02D0"/>
    <w:rsid w:val="5E637BAE"/>
    <w:rsid w:val="5E706D50"/>
    <w:rsid w:val="5E8A3E44"/>
    <w:rsid w:val="5E9C2770"/>
    <w:rsid w:val="5F0951F8"/>
    <w:rsid w:val="5F190D3C"/>
    <w:rsid w:val="5F906DF9"/>
    <w:rsid w:val="5FE405BC"/>
    <w:rsid w:val="60924519"/>
    <w:rsid w:val="60D7536D"/>
    <w:rsid w:val="60E1748A"/>
    <w:rsid w:val="60E66CC2"/>
    <w:rsid w:val="610F56C6"/>
    <w:rsid w:val="6128438B"/>
    <w:rsid w:val="61301C9B"/>
    <w:rsid w:val="6145545D"/>
    <w:rsid w:val="61890F92"/>
    <w:rsid w:val="619744C9"/>
    <w:rsid w:val="61C97384"/>
    <w:rsid w:val="61CF5F7E"/>
    <w:rsid w:val="61D12969"/>
    <w:rsid w:val="6228708F"/>
    <w:rsid w:val="62484689"/>
    <w:rsid w:val="62917939"/>
    <w:rsid w:val="629855F0"/>
    <w:rsid w:val="62FF3455"/>
    <w:rsid w:val="634820D7"/>
    <w:rsid w:val="63AF1A50"/>
    <w:rsid w:val="63D55C94"/>
    <w:rsid w:val="63DD445D"/>
    <w:rsid w:val="63EC3178"/>
    <w:rsid w:val="64635EC7"/>
    <w:rsid w:val="64987AE7"/>
    <w:rsid w:val="64A05D96"/>
    <w:rsid w:val="64AC01E1"/>
    <w:rsid w:val="64BC7E53"/>
    <w:rsid w:val="64EF171C"/>
    <w:rsid w:val="64FF2068"/>
    <w:rsid w:val="65DD4733"/>
    <w:rsid w:val="666E5859"/>
    <w:rsid w:val="667D4B4D"/>
    <w:rsid w:val="667F1544"/>
    <w:rsid w:val="668D3ECD"/>
    <w:rsid w:val="66DE06D9"/>
    <w:rsid w:val="67561465"/>
    <w:rsid w:val="679C3854"/>
    <w:rsid w:val="679F476F"/>
    <w:rsid w:val="67F84E3F"/>
    <w:rsid w:val="67F97F1D"/>
    <w:rsid w:val="68564F89"/>
    <w:rsid w:val="690A1586"/>
    <w:rsid w:val="690E6A1C"/>
    <w:rsid w:val="6910185C"/>
    <w:rsid w:val="69A435A0"/>
    <w:rsid w:val="6A6808DE"/>
    <w:rsid w:val="6A715C0C"/>
    <w:rsid w:val="6A7E5EE1"/>
    <w:rsid w:val="6A8E2937"/>
    <w:rsid w:val="6A9628AC"/>
    <w:rsid w:val="6AB22F09"/>
    <w:rsid w:val="6AC05632"/>
    <w:rsid w:val="6ADB3395"/>
    <w:rsid w:val="6B4125A5"/>
    <w:rsid w:val="6B4C7223"/>
    <w:rsid w:val="6BAA75A5"/>
    <w:rsid w:val="6C237873"/>
    <w:rsid w:val="6C741650"/>
    <w:rsid w:val="6C7B4228"/>
    <w:rsid w:val="6C7D53F2"/>
    <w:rsid w:val="6CA002E5"/>
    <w:rsid w:val="6CCA5742"/>
    <w:rsid w:val="6CE14CA6"/>
    <w:rsid w:val="6CE61DA8"/>
    <w:rsid w:val="6D6D285F"/>
    <w:rsid w:val="6D730914"/>
    <w:rsid w:val="6D782A2A"/>
    <w:rsid w:val="6D804BED"/>
    <w:rsid w:val="6D8148DD"/>
    <w:rsid w:val="6DA07FD7"/>
    <w:rsid w:val="6DBF68A5"/>
    <w:rsid w:val="6E015543"/>
    <w:rsid w:val="6E186A1D"/>
    <w:rsid w:val="6E262705"/>
    <w:rsid w:val="6E8469F2"/>
    <w:rsid w:val="6E8A218D"/>
    <w:rsid w:val="6F014901"/>
    <w:rsid w:val="6F1A3D42"/>
    <w:rsid w:val="6F887C56"/>
    <w:rsid w:val="6F905316"/>
    <w:rsid w:val="6FEF6E81"/>
    <w:rsid w:val="6FFD6350"/>
    <w:rsid w:val="70211D4B"/>
    <w:rsid w:val="705741F9"/>
    <w:rsid w:val="70695F06"/>
    <w:rsid w:val="70754E46"/>
    <w:rsid w:val="70BE6564"/>
    <w:rsid w:val="70D514FA"/>
    <w:rsid w:val="712A15EA"/>
    <w:rsid w:val="7143634E"/>
    <w:rsid w:val="71637120"/>
    <w:rsid w:val="71E248D8"/>
    <w:rsid w:val="722723E0"/>
    <w:rsid w:val="722A74E1"/>
    <w:rsid w:val="72406733"/>
    <w:rsid w:val="7251683C"/>
    <w:rsid w:val="72A030F5"/>
    <w:rsid w:val="72E671CA"/>
    <w:rsid w:val="73181B1D"/>
    <w:rsid w:val="733D7BEC"/>
    <w:rsid w:val="734F6E61"/>
    <w:rsid w:val="735F19BD"/>
    <w:rsid w:val="738A785F"/>
    <w:rsid w:val="73A277B7"/>
    <w:rsid w:val="73CD5575"/>
    <w:rsid w:val="742A410B"/>
    <w:rsid w:val="744D2D35"/>
    <w:rsid w:val="74BE7BA0"/>
    <w:rsid w:val="74C12BB4"/>
    <w:rsid w:val="74E358C3"/>
    <w:rsid w:val="75023A0D"/>
    <w:rsid w:val="75037689"/>
    <w:rsid w:val="75130CA5"/>
    <w:rsid w:val="751B01E0"/>
    <w:rsid w:val="75355AC0"/>
    <w:rsid w:val="753A62CD"/>
    <w:rsid w:val="75480AC9"/>
    <w:rsid w:val="7553276D"/>
    <w:rsid w:val="75730F2D"/>
    <w:rsid w:val="757A761C"/>
    <w:rsid w:val="757C6FC9"/>
    <w:rsid w:val="75AB791C"/>
    <w:rsid w:val="75BD0745"/>
    <w:rsid w:val="75D14A39"/>
    <w:rsid w:val="75E1159B"/>
    <w:rsid w:val="75F12DC2"/>
    <w:rsid w:val="75FA4C39"/>
    <w:rsid w:val="7601247D"/>
    <w:rsid w:val="76220084"/>
    <w:rsid w:val="765326FE"/>
    <w:rsid w:val="765E78C5"/>
    <w:rsid w:val="76A22905"/>
    <w:rsid w:val="76DA2EAB"/>
    <w:rsid w:val="76E85F9D"/>
    <w:rsid w:val="77086D94"/>
    <w:rsid w:val="772D49E5"/>
    <w:rsid w:val="772E2B7E"/>
    <w:rsid w:val="7734380F"/>
    <w:rsid w:val="775A5B0E"/>
    <w:rsid w:val="77842221"/>
    <w:rsid w:val="77B405FC"/>
    <w:rsid w:val="77B751A0"/>
    <w:rsid w:val="77BB373A"/>
    <w:rsid w:val="782447FB"/>
    <w:rsid w:val="783C4454"/>
    <w:rsid w:val="78AC0187"/>
    <w:rsid w:val="78CB1D2C"/>
    <w:rsid w:val="78CF35FA"/>
    <w:rsid w:val="78D16C87"/>
    <w:rsid w:val="78D56D30"/>
    <w:rsid w:val="792370B2"/>
    <w:rsid w:val="79606581"/>
    <w:rsid w:val="7975406C"/>
    <w:rsid w:val="79766686"/>
    <w:rsid w:val="79CC5650"/>
    <w:rsid w:val="79E108B5"/>
    <w:rsid w:val="79FC62EE"/>
    <w:rsid w:val="79FF28BF"/>
    <w:rsid w:val="7A33473D"/>
    <w:rsid w:val="7A775A5B"/>
    <w:rsid w:val="7A8E6593"/>
    <w:rsid w:val="7AAB3740"/>
    <w:rsid w:val="7BEA68CD"/>
    <w:rsid w:val="7C3F7374"/>
    <w:rsid w:val="7C467023"/>
    <w:rsid w:val="7C74115B"/>
    <w:rsid w:val="7C9918D6"/>
    <w:rsid w:val="7CB229DC"/>
    <w:rsid w:val="7CCF0334"/>
    <w:rsid w:val="7D1E5E00"/>
    <w:rsid w:val="7D220A36"/>
    <w:rsid w:val="7D772DEB"/>
    <w:rsid w:val="7DEA4349"/>
    <w:rsid w:val="7E193064"/>
    <w:rsid w:val="7E2925A8"/>
    <w:rsid w:val="7E3B071E"/>
    <w:rsid w:val="7EE15648"/>
    <w:rsid w:val="7EE53379"/>
    <w:rsid w:val="7EF07669"/>
    <w:rsid w:val="7F152D76"/>
    <w:rsid w:val="7F3149B4"/>
    <w:rsid w:val="7F3A44E9"/>
    <w:rsid w:val="7FE70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Times New Roman" w:hAnsi="Times New Roman" w:eastAsia="宋体" w:cs="Times New Roman"/>
      <w:kern w:val="2"/>
      <w:sz w:val="24"/>
      <w:szCs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next w:val="1"/>
    <w:semiHidden/>
    <w:unhideWhenUsed/>
    <w:qFormat/>
    <w:uiPriority w:val="9"/>
    <w:pPr>
      <w:keepNext/>
      <w:keepLines/>
      <w:spacing w:before="60" w:after="60" w:line="460" w:lineRule="exact"/>
      <w:outlineLvl w:val="1"/>
    </w:pPr>
    <w:rPr>
      <w:rFonts w:ascii="Times New Roman" w:hAnsi="Times New Roman" w:eastAsia="宋体" w:cs="Times New Roman"/>
      <w:b/>
      <w:sz w:val="24"/>
      <w:lang w:val="en-US" w:eastAsia="zh-CN" w:bidi="ar-SA"/>
    </w:rPr>
  </w:style>
  <w:style w:type="paragraph" w:styleId="4">
    <w:name w:val="heading 3"/>
    <w:next w:val="1"/>
    <w:semiHidden/>
    <w:unhideWhenUsed/>
    <w:qFormat/>
    <w:uiPriority w:val="9"/>
    <w:pPr>
      <w:keepNext/>
      <w:keepLines/>
      <w:spacing w:before="20" w:after="20" w:line="460" w:lineRule="exact"/>
      <w:outlineLvl w:val="2"/>
    </w:pPr>
    <w:rPr>
      <w:rFonts w:ascii="Times New Roman" w:hAnsi="Times New Roman" w:eastAsia="宋体" w:cs="Times New Roman"/>
      <w:b/>
      <w:kern w:val="2"/>
      <w:sz w:val="24"/>
      <w:szCs w:val="24"/>
      <w:lang w:val="en-US" w:eastAsia="zh-CN" w:bidi="ar-SA"/>
    </w:rPr>
  </w:style>
  <w:style w:type="paragraph" w:styleId="5">
    <w:name w:val="heading 4"/>
    <w:basedOn w:val="1"/>
    <w:next w:val="1"/>
    <w:link w:val="46"/>
    <w:semiHidden/>
    <w:unhideWhenUsed/>
    <w:qFormat/>
    <w:uiPriority w:val="9"/>
    <w:pPr>
      <w:keepNext/>
      <w:keepLines/>
      <w:spacing w:before="280" w:after="290" w:line="372" w:lineRule="auto"/>
      <w:outlineLvl w:val="3"/>
    </w:pPr>
    <w:rPr>
      <w:rFonts w:ascii="Arial" w:hAnsi="Arial" w:eastAsia="黑体"/>
      <w:b/>
      <w:sz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41"/>
    <w:semiHidden/>
    <w:unhideWhenUsed/>
    <w:uiPriority w:val="99"/>
    <w:pPr>
      <w:jc w:val="left"/>
    </w:pPr>
  </w:style>
  <w:style w:type="paragraph" w:styleId="7">
    <w:name w:val="Body Text Indent"/>
    <w:basedOn w:val="1"/>
    <w:link w:val="53"/>
    <w:semiHidden/>
    <w:unhideWhenUsed/>
    <w:uiPriority w:val="99"/>
    <w:pPr>
      <w:spacing w:after="120"/>
      <w:ind w:left="420" w:leftChars="200"/>
    </w:pPr>
  </w:style>
  <w:style w:type="paragraph" w:styleId="8">
    <w:name w:val="Plain Text"/>
    <w:basedOn w:val="1"/>
    <w:link w:val="37"/>
    <w:semiHidden/>
    <w:unhideWhenUsed/>
    <w:uiPriority w:val="99"/>
    <w:pPr>
      <w:adjustRightInd w:val="0"/>
      <w:snapToGrid w:val="0"/>
      <w:spacing w:line="480" w:lineRule="atLeast"/>
      <w:ind w:firstLine="200" w:firstLineChars="200"/>
    </w:pPr>
    <w:rPr>
      <w:rFonts w:ascii="宋体" w:hAnsi="Courier New"/>
      <w:sz w:val="26"/>
      <w:szCs w:val="26"/>
    </w:rPr>
  </w:style>
  <w:style w:type="paragraph" w:styleId="9">
    <w:name w:val="Body Text Indent 2"/>
    <w:basedOn w:val="1"/>
    <w:link w:val="47"/>
    <w:semiHidden/>
    <w:unhideWhenUsed/>
    <w:uiPriority w:val="99"/>
    <w:pPr>
      <w:spacing w:after="120" w:line="480" w:lineRule="auto"/>
      <w:ind w:left="420" w:leftChars="200"/>
    </w:pPr>
    <w:rPr>
      <w:sz w:val="21"/>
      <w:szCs w:val="24"/>
    </w:rPr>
  </w:style>
  <w:style w:type="paragraph" w:styleId="10">
    <w:name w:val="Balloon Text"/>
    <w:basedOn w:val="1"/>
    <w:link w:val="27"/>
    <w:semiHidden/>
    <w:unhideWhenUsed/>
    <w:uiPriority w:val="99"/>
    <w:pPr>
      <w:spacing w:line="240" w:lineRule="auto"/>
    </w:pPr>
    <w:rPr>
      <w:sz w:val="18"/>
      <w:szCs w:val="18"/>
    </w:rPr>
  </w:style>
  <w:style w:type="paragraph" w:styleId="11">
    <w:name w:val="footer"/>
    <w:basedOn w:val="1"/>
    <w:link w:val="23"/>
    <w:semiHidden/>
    <w:unhideWhenUsed/>
    <w:uiPriority w:val="99"/>
    <w:pPr>
      <w:tabs>
        <w:tab w:val="center" w:pos="4153"/>
        <w:tab w:val="right" w:pos="8306"/>
      </w:tabs>
      <w:snapToGrid w:val="0"/>
      <w:jc w:val="left"/>
    </w:pPr>
    <w:rPr>
      <w:sz w:val="18"/>
      <w:szCs w:val="18"/>
    </w:rPr>
  </w:style>
  <w:style w:type="paragraph" w:styleId="12">
    <w:name w:val="header"/>
    <w:basedOn w:val="1"/>
    <w:link w:val="22"/>
    <w:semiHidden/>
    <w:unhideWhenUsed/>
    <w:uiPriority w:val="99"/>
    <w:pPr>
      <w:pBdr>
        <w:bottom w:val="single" w:color="auto" w:sz="6" w:space="1"/>
      </w:pBdr>
      <w:tabs>
        <w:tab w:val="center" w:pos="4153"/>
        <w:tab w:val="right" w:pos="8306"/>
      </w:tabs>
      <w:snapToGrid w:val="0"/>
      <w:jc w:val="center"/>
    </w:pPr>
    <w:rPr>
      <w:sz w:val="18"/>
      <w:szCs w:val="18"/>
    </w:rPr>
  </w:style>
  <w:style w:type="paragraph" w:styleId="13">
    <w:name w:val="Subtitle"/>
    <w:next w:val="1"/>
    <w:link w:val="24"/>
    <w:qFormat/>
    <w:uiPriority w:val="11"/>
    <w:pPr>
      <w:spacing w:line="460" w:lineRule="exact"/>
      <w:jc w:val="center"/>
      <w:outlineLvl w:val="2"/>
    </w:pPr>
    <w:rPr>
      <w:rFonts w:ascii="Times New Roman" w:hAnsi="Times New Roman" w:eastAsia="宋体" w:cstheme="majorBidi"/>
      <w:b/>
      <w:bCs/>
      <w:kern w:val="28"/>
      <w:sz w:val="24"/>
      <w:szCs w:val="32"/>
      <w:lang w:val="en-US" w:eastAsia="zh-CN" w:bidi="ar-SA"/>
    </w:rPr>
  </w:style>
  <w:style w:type="paragraph" w:styleId="14">
    <w:name w:val="Body Text 2"/>
    <w:basedOn w:val="1"/>
    <w:link w:val="38"/>
    <w:semiHidden/>
    <w:unhideWhenUsed/>
    <w:uiPriority w:val="99"/>
    <w:pPr>
      <w:spacing w:line="240" w:lineRule="auto"/>
    </w:pPr>
    <w:rPr>
      <w:color w:val="FF0000"/>
      <w:kern w:val="0"/>
      <w:szCs w:val="20"/>
    </w:rPr>
  </w:style>
  <w:style w:type="paragraph" w:styleId="15">
    <w:name w:val="Title"/>
    <w:next w:val="1"/>
    <w:link w:val="25"/>
    <w:qFormat/>
    <w:uiPriority w:val="10"/>
    <w:pPr>
      <w:jc w:val="center"/>
    </w:pPr>
    <w:rPr>
      <w:rFonts w:ascii="Times New Roman" w:hAnsi="Times New Roman" w:eastAsia="宋体" w:cstheme="majorBidi"/>
      <w:bCs/>
      <w:kern w:val="2"/>
      <w:sz w:val="21"/>
      <w:szCs w:val="32"/>
      <w:lang w:val="en-US" w:eastAsia="zh-CN" w:bidi="ar-SA"/>
    </w:rPr>
  </w:style>
  <w:style w:type="paragraph" w:styleId="16">
    <w:name w:val="annotation subject"/>
    <w:basedOn w:val="6"/>
    <w:next w:val="6"/>
    <w:link w:val="42"/>
    <w:semiHidden/>
    <w:unhideWhenUsed/>
    <w:uiPriority w:val="99"/>
    <w:rPr>
      <w:b/>
      <w:bCs/>
    </w:rPr>
  </w:style>
  <w:style w:type="paragraph" w:styleId="17">
    <w:name w:val="Body Text First Indent 2"/>
    <w:basedOn w:val="7"/>
    <w:next w:val="1"/>
    <w:link w:val="54"/>
    <w:semiHidden/>
    <w:unhideWhenUsed/>
    <w:uiPriority w:val="99"/>
    <w:pPr>
      <w:spacing w:line="240" w:lineRule="auto"/>
      <w:ind w:firstLine="420" w:firstLineChars="200"/>
    </w:pPr>
    <w:rPr>
      <w:rFonts w:ascii="Calibri" w:hAnsi="Calibri"/>
      <w:sz w:val="21"/>
      <w:szCs w:val="24"/>
    </w:rPr>
  </w:style>
  <w:style w:type="table" w:styleId="19">
    <w:name w:val="Table Grid"/>
    <w:basedOn w:val="1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annotation reference"/>
    <w:basedOn w:val="20"/>
    <w:semiHidden/>
    <w:unhideWhenUsed/>
    <w:uiPriority w:val="99"/>
    <w:rPr>
      <w:sz w:val="21"/>
      <w:szCs w:val="21"/>
    </w:rPr>
  </w:style>
  <w:style w:type="character" w:customStyle="1" w:styleId="22">
    <w:name w:val="页眉 Char"/>
    <w:basedOn w:val="20"/>
    <w:link w:val="12"/>
    <w:qFormat/>
    <w:uiPriority w:val="99"/>
    <w:rPr>
      <w:sz w:val="18"/>
      <w:szCs w:val="18"/>
    </w:rPr>
  </w:style>
  <w:style w:type="character" w:customStyle="1" w:styleId="23">
    <w:name w:val="页脚 Char"/>
    <w:basedOn w:val="20"/>
    <w:link w:val="11"/>
    <w:qFormat/>
    <w:uiPriority w:val="99"/>
    <w:rPr>
      <w:sz w:val="18"/>
      <w:szCs w:val="18"/>
    </w:rPr>
  </w:style>
  <w:style w:type="character" w:customStyle="1" w:styleId="24">
    <w:name w:val="副标题 Char"/>
    <w:basedOn w:val="20"/>
    <w:link w:val="13"/>
    <w:qFormat/>
    <w:uiPriority w:val="11"/>
    <w:rPr>
      <w:rFonts w:ascii="Times New Roman" w:hAnsi="Times New Roman" w:eastAsia="宋体" w:cstheme="majorBidi"/>
      <w:b/>
      <w:bCs/>
      <w:kern w:val="28"/>
      <w:sz w:val="24"/>
      <w:szCs w:val="32"/>
    </w:rPr>
  </w:style>
  <w:style w:type="character" w:customStyle="1" w:styleId="25">
    <w:name w:val="标题 Char"/>
    <w:basedOn w:val="20"/>
    <w:link w:val="15"/>
    <w:qFormat/>
    <w:uiPriority w:val="0"/>
    <w:rPr>
      <w:rFonts w:ascii="Times New Roman" w:hAnsi="Times New Roman" w:eastAsia="宋体" w:cstheme="majorBidi"/>
      <w:bCs/>
      <w:szCs w:val="32"/>
    </w:rPr>
  </w:style>
  <w:style w:type="paragraph" w:customStyle="1" w:styleId="26">
    <w:name w:val="表格标题1"/>
    <w:qFormat/>
    <w:uiPriority w:val="0"/>
    <w:pPr>
      <w:spacing w:line="360" w:lineRule="auto"/>
      <w:jc w:val="center"/>
    </w:pPr>
    <w:rPr>
      <w:rFonts w:ascii="Times New Roman" w:hAnsi="Times New Roman" w:eastAsia="宋体" w:cs="Times New Roman"/>
      <w:b/>
      <w:sz w:val="24"/>
      <w:lang w:val="en-US" w:eastAsia="zh-CN" w:bidi="ar-SA"/>
    </w:rPr>
  </w:style>
  <w:style w:type="character" w:customStyle="1" w:styleId="27">
    <w:name w:val="批注框文本 Char"/>
    <w:basedOn w:val="20"/>
    <w:link w:val="10"/>
    <w:qFormat/>
    <w:uiPriority w:val="0"/>
    <w:rPr>
      <w:kern w:val="2"/>
      <w:sz w:val="18"/>
      <w:szCs w:val="18"/>
    </w:rPr>
  </w:style>
  <w:style w:type="paragraph" w:customStyle="1" w:styleId="28">
    <w:name w:val="样式 居中"/>
    <w:basedOn w:val="1"/>
    <w:qFormat/>
    <w:uiPriority w:val="0"/>
    <w:pPr>
      <w:adjustRightInd w:val="0"/>
      <w:snapToGrid w:val="0"/>
      <w:spacing w:line="240" w:lineRule="auto"/>
      <w:jc w:val="center"/>
    </w:pPr>
    <w:rPr>
      <w:rFonts w:ascii="Arial" w:hAnsi="Arial" w:cs="宋体"/>
      <w:sz w:val="21"/>
    </w:rPr>
  </w:style>
  <w:style w:type="paragraph" w:customStyle="1" w:styleId="29">
    <w:name w:val="正文1"/>
    <w:qFormat/>
    <w:uiPriority w:val="0"/>
    <w:pPr>
      <w:jc w:val="both"/>
    </w:pPr>
    <w:rPr>
      <w:rFonts w:ascii="Times New Roman" w:hAnsi="Times New Roman" w:eastAsia="宋体" w:cs="Times New Roman"/>
      <w:kern w:val="2"/>
      <w:sz w:val="24"/>
      <w:szCs w:val="21"/>
      <w:lang w:val="en-US" w:eastAsia="zh-CN" w:bidi="ar-SA"/>
    </w:rPr>
  </w:style>
  <w:style w:type="paragraph" w:customStyle="1" w:styleId="30">
    <w:name w:val="表格文字"/>
    <w:basedOn w:val="1"/>
    <w:qFormat/>
    <w:uiPriority w:val="0"/>
    <w:pPr>
      <w:widowControl/>
      <w:spacing w:line="240" w:lineRule="auto"/>
      <w:jc w:val="center"/>
    </w:pPr>
    <w:rPr>
      <w:sz w:val="21"/>
    </w:rPr>
  </w:style>
  <w:style w:type="character" w:styleId="31">
    <w:name w:val="Placeholder Text"/>
    <w:basedOn w:val="20"/>
    <w:unhideWhenUsed/>
    <w:qFormat/>
    <w:uiPriority w:val="99"/>
    <w:rPr>
      <w:color w:val="808080"/>
    </w:rPr>
  </w:style>
  <w:style w:type="paragraph" w:styleId="32">
    <w:name w:val="List Paragraph"/>
    <w:basedOn w:val="1"/>
    <w:qFormat/>
    <w:uiPriority w:val="99"/>
    <w:pPr>
      <w:spacing w:line="360" w:lineRule="auto"/>
      <w:ind w:firstLine="420" w:firstLineChars="200"/>
    </w:pPr>
  </w:style>
  <w:style w:type="paragraph" w:customStyle="1" w:styleId="33">
    <w:name w:val="表头"/>
    <w:basedOn w:val="1"/>
    <w:next w:val="1"/>
    <w:link w:val="34"/>
    <w:qFormat/>
    <w:uiPriority w:val="0"/>
    <w:pPr>
      <w:tabs>
        <w:tab w:val="left" w:pos="7380"/>
      </w:tabs>
      <w:adjustRightInd w:val="0"/>
      <w:snapToGrid w:val="0"/>
      <w:spacing w:line="320" w:lineRule="atLeast"/>
      <w:jc w:val="center"/>
      <w:outlineLvl w:val="5"/>
    </w:pPr>
    <w:rPr>
      <w:sz w:val="26"/>
      <w:szCs w:val="20"/>
    </w:rPr>
  </w:style>
  <w:style w:type="character" w:customStyle="1" w:styleId="34">
    <w:name w:val="表头 Char1"/>
    <w:link w:val="33"/>
    <w:qFormat/>
    <w:uiPriority w:val="0"/>
    <w:rPr>
      <w:kern w:val="2"/>
      <w:sz w:val="26"/>
    </w:rPr>
  </w:style>
  <w:style w:type="paragraph" w:customStyle="1" w:styleId="35">
    <w:name w:val="样式13"/>
    <w:basedOn w:val="1"/>
    <w:link w:val="36"/>
    <w:qFormat/>
    <w:uiPriority w:val="0"/>
    <w:pPr>
      <w:spacing w:line="440" w:lineRule="exact"/>
      <w:ind w:firstLine="520" w:firstLineChars="200"/>
    </w:pPr>
    <w:rPr>
      <w:color w:val="FF0000"/>
      <w:kern w:val="0"/>
      <w:sz w:val="26"/>
      <w:szCs w:val="26"/>
    </w:rPr>
  </w:style>
  <w:style w:type="character" w:customStyle="1" w:styleId="36">
    <w:name w:val="样式13 Char"/>
    <w:link w:val="35"/>
    <w:qFormat/>
    <w:uiPriority w:val="0"/>
    <w:rPr>
      <w:color w:val="FF0000"/>
      <w:sz w:val="26"/>
      <w:szCs w:val="26"/>
    </w:rPr>
  </w:style>
  <w:style w:type="character" w:customStyle="1" w:styleId="37">
    <w:name w:val="纯文本 Char"/>
    <w:basedOn w:val="20"/>
    <w:link w:val="8"/>
    <w:qFormat/>
    <w:uiPriority w:val="0"/>
    <w:rPr>
      <w:rFonts w:ascii="宋体" w:hAnsi="Courier New"/>
      <w:kern w:val="2"/>
      <w:sz w:val="26"/>
      <w:szCs w:val="26"/>
    </w:rPr>
  </w:style>
  <w:style w:type="character" w:customStyle="1" w:styleId="38">
    <w:name w:val="正文文本 2 Char"/>
    <w:basedOn w:val="20"/>
    <w:link w:val="14"/>
    <w:qFormat/>
    <w:uiPriority w:val="0"/>
    <w:rPr>
      <w:color w:val="FF0000"/>
      <w:sz w:val="24"/>
    </w:rPr>
  </w:style>
  <w:style w:type="character" w:customStyle="1" w:styleId="39">
    <w:name w:val="Body text_"/>
    <w:basedOn w:val="20"/>
    <w:link w:val="40"/>
    <w:qFormat/>
    <w:uiPriority w:val="0"/>
    <w:rPr>
      <w:rFonts w:ascii="MingLiU" w:hAnsi="MingLiU" w:eastAsia="MingLiU" w:cs="MingLiU"/>
      <w:shd w:val="clear" w:color="auto" w:fill="FFFFFF"/>
    </w:rPr>
  </w:style>
  <w:style w:type="paragraph" w:customStyle="1" w:styleId="40">
    <w:name w:val="正文文本1"/>
    <w:basedOn w:val="1"/>
    <w:link w:val="39"/>
    <w:qFormat/>
    <w:uiPriority w:val="0"/>
    <w:pPr>
      <w:shd w:val="clear" w:color="auto" w:fill="FFFFFF"/>
      <w:spacing w:after="360" w:line="0" w:lineRule="atLeast"/>
      <w:jc w:val="left"/>
    </w:pPr>
    <w:rPr>
      <w:rFonts w:ascii="MingLiU" w:hAnsi="MingLiU" w:eastAsia="MingLiU" w:cs="MingLiU"/>
      <w:kern w:val="0"/>
      <w:sz w:val="20"/>
      <w:szCs w:val="20"/>
    </w:rPr>
  </w:style>
  <w:style w:type="character" w:customStyle="1" w:styleId="41">
    <w:name w:val="批注文字 Char"/>
    <w:basedOn w:val="20"/>
    <w:link w:val="6"/>
    <w:semiHidden/>
    <w:qFormat/>
    <w:uiPriority w:val="99"/>
    <w:rPr>
      <w:kern w:val="2"/>
      <w:sz w:val="24"/>
      <w:szCs w:val="21"/>
    </w:rPr>
  </w:style>
  <w:style w:type="character" w:customStyle="1" w:styleId="42">
    <w:name w:val="批注主题 Char"/>
    <w:basedOn w:val="41"/>
    <w:link w:val="16"/>
    <w:semiHidden/>
    <w:qFormat/>
    <w:uiPriority w:val="99"/>
    <w:rPr>
      <w:b/>
      <w:bCs/>
      <w:kern w:val="2"/>
      <w:sz w:val="24"/>
      <w:szCs w:val="21"/>
    </w:rPr>
  </w:style>
  <w:style w:type="paragraph" w:customStyle="1" w:styleId="43">
    <w:name w:val="1L表格"/>
    <w:basedOn w:val="1"/>
    <w:qFormat/>
    <w:uiPriority w:val="0"/>
    <w:pPr>
      <w:adjustRightInd w:val="0"/>
      <w:snapToGrid w:val="0"/>
      <w:spacing w:line="240" w:lineRule="auto"/>
      <w:jc w:val="center"/>
    </w:pPr>
    <w:rPr>
      <w:rFonts w:ascii="Calibri" w:hAnsi="Calibri" w:eastAsia="Times New Roman"/>
      <w:sz w:val="21"/>
      <w:szCs w:val="24"/>
      <w:lang w:val="zh-CN"/>
    </w:rPr>
  </w:style>
  <w:style w:type="paragraph" w:customStyle="1" w:styleId="44">
    <w:name w:val="ns正文"/>
    <w:basedOn w:val="1"/>
    <w:qFormat/>
    <w:uiPriority w:val="0"/>
    <w:pPr>
      <w:spacing w:line="360" w:lineRule="auto"/>
      <w:ind w:firstLine="200" w:firstLineChars="200"/>
    </w:pPr>
    <w:rPr>
      <w:szCs w:val="22"/>
    </w:rPr>
  </w:style>
  <w:style w:type="paragraph" w:customStyle="1" w:styleId="45">
    <w:name w:val="Table Paragraph"/>
    <w:basedOn w:val="1"/>
    <w:qFormat/>
    <w:uiPriority w:val="1"/>
    <w:pPr>
      <w:autoSpaceDE w:val="0"/>
      <w:autoSpaceDN w:val="0"/>
      <w:spacing w:line="240" w:lineRule="auto"/>
      <w:jc w:val="center"/>
    </w:pPr>
    <w:rPr>
      <w:rFonts w:ascii="宋体" w:hAnsi="宋体" w:cs="宋体"/>
      <w:kern w:val="0"/>
      <w:sz w:val="22"/>
      <w:szCs w:val="22"/>
    </w:rPr>
  </w:style>
  <w:style w:type="character" w:customStyle="1" w:styleId="46">
    <w:name w:val="标题 4 Char"/>
    <w:link w:val="5"/>
    <w:uiPriority w:val="9"/>
    <w:rPr>
      <w:rFonts w:ascii="Arial" w:hAnsi="Arial" w:eastAsia="黑体"/>
      <w:b/>
      <w:kern w:val="2"/>
      <w:sz w:val="28"/>
      <w:szCs w:val="21"/>
    </w:rPr>
  </w:style>
  <w:style w:type="character" w:customStyle="1" w:styleId="47">
    <w:name w:val="正文文本缩进 2 Char"/>
    <w:basedOn w:val="20"/>
    <w:link w:val="9"/>
    <w:qFormat/>
    <w:uiPriority w:val="0"/>
    <w:rPr>
      <w:kern w:val="2"/>
      <w:sz w:val="21"/>
      <w:szCs w:val="24"/>
    </w:rPr>
  </w:style>
  <w:style w:type="character" w:customStyle="1" w:styleId="48">
    <w:name w:val="样式5 Char Char"/>
    <w:link w:val="49"/>
    <w:uiPriority w:val="0"/>
    <w:rPr>
      <w:sz w:val="24"/>
    </w:rPr>
  </w:style>
  <w:style w:type="paragraph" w:customStyle="1" w:styleId="49">
    <w:name w:val="样式5 Char"/>
    <w:basedOn w:val="9"/>
    <w:next w:val="1"/>
    <w:link w:val="48"/>
    <w:qFormat/>
    <w:uiPriority w:val="0"/>
    <w:pPr>
      <w:adjustRightInd w:val="0"/>
      <w:snapToGrid w:val="0"/>
      <w:spacing w:after="0" w:line="500" w:lineRule="exact"/>
      <w:ind w:left="0" w:leftChars="0" w:firstLine="200" w:firstLineChars="200"/>
    </w:pPr>
    <w:rPr>
      <w:kern w:val="0"/>
      <w:sz w:val="24"/>
      <w:szCs w:val="20"/>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1">
    <w:name w:val="样式 正文 首行缩进:  2 字符 SL CON + 首行缩进:  2 字符 Char Char"/>
    <w:link w:val="52"/>
    <w:qFormat/>
    <w:uiPriority w:val="0"/>
    <w:rPr>
      <w:kern w:val="2"/>
      <w:sz w:val="24"/>
      <w:szCs w:val="21"/>
    </w:rPr>
  </w:style>
  <w:style w:type="paragraph" w:customStyle="1" w:styleId="52">
    <w:name w:val="样式 正文 首行缩进:  2 字符 SL CON + 首行缩进:  2 字符"/>
    <w:basedOn w:val="1"/>
    <w:link w:val="51"/>
    <w:qFormat/>
    <w:uiPriority w:val="0"/>
    <w:pPr>
      <w:widowControl/>
      <w:tabs>
        <w:tab w:val="left" w:pos="377"/>
      </w:tabs>
      <w:spacing w:line="360" w:lineRule="auto"/>
      <w:ind w:firstLine="480" w:firstLineChars="200"/>
    </w:pPr>
  </w:style>
  <w:style w:type="character" w:customStyle="1" w:styleId="53">
    <w:name w:val="正文文本缩进 Char"/>
    <w:basedOn w:val="20"/>
    <w:link w:val="7"/>
    <w:semiHidden/>
    <w:uiPriority w:val="99"/>
    <w:rPr>
      <w:kern w:val="2"/>
      <w:sz w:val="24"/>
      <w:szCs w:val="21"/>
    </w:rPr>
  </w:style>
  <w:style w:type="character" w:customStyle="1" w:styleId="54">
    <w:name w:val="正文首行缩进 2 Char"/>
    <w:basedOn w:val="53"/>
    <w:link w:val="17"/>
    <w:qFormat/>
    <w:uiPriority w:val="0"/>
    <w:rPr>
      <w:rFonts w:ascii="Calibri" w:hAnsi="Calibri"/>
      <w:kern w:val="2"/>
      <w:sz w:val="21"/>
      <w:szCs w:val="24"/>
    </w:rPr>
  </w:style>
  <w:style w:type="paragraph" w:customStyle="1" w:styleId="55">
    <w:name w:val="样式 标题ljm + 首行缩进:  2 字符"/>
    <w:basedOn w:val="1"/>
    <w:qFormat/>
    <w:uiPriority w:val="0"/>
    <w:pPr>
      <w:spacing w:line="360" w:lineRule="auto"/>
      <w:ind w:firstLine="482" w:firstLineChars="200"/>
    </w:pPr>
    <w:rPr>
      <w:rFonts w:ascii="Calibri" w:hAnsi="Calibri"/>
      <w:b/>
      <w:bCs/>
      <w:kern w:val="0"/>
      <w:szCs w:val="20"/>
    </w:rPr>
  </w:style>
  <w:style w:type="character" w:customStyle="1" w:styleId="56">
    <w:name w:val="样式 正文 首行缩进:  2 字符 SL CON + 首行缩进:  2 字符 Char"/>
    <w:uiPriority w:val="0"/>
    <w:rPr>
      <w:rFonts w:ascii="Calibri"/>
      <w:sz w:val="24"/>
      <w:szCs w:val="21"/>
    </w:rPr>
  </w:style>
  <w:style w:type="paragraph" w:customStyle="1" w:styleId="57">
    <w:name w:val="分类号"/>
    <w:basedOn w:val="1"/>
    <w:qFormat/>
    <w:uiPriority w:val="0"/>
    <w:pPr>
      <w:spacing w:line="240" w:lineRule="auto"/>
    </w:pPr>
    <w:rPr>
      <w:rFonts w:ascii="仿宋_GB2312" w:eastAsia="仿宋_GB2312"/>
      <w:sz w:val="28"/>
      <w:szCs w:val="28"/>
    </w:rPr>
  </w:style>
  <w:style w:type="paragraph" w:customStyle="1" w:styleId="58">
    <w:name w:val="封面日期"/>
    <w:basedOn w:val="1"/>
    <w:qFormat/>
    <w:uiPriority w:val="0"/>
    <w:pPr>
      <w:spacing w:line="240" w:lineRule="auto"/>
      <w:jc w:val="center"/>
    </w:pPr>
    <w:rPr>
      <w:rFonts w:ascii="黑体" w:eastAsia="黑体"/>
      <w:sz w:val="32"/>
      <w:szCs w:val="32"/>
    </w:rPr>
  </w:style>
  <w:style w:type="paragraph" w:customStyle="1" w:styleId="59">
    <w:name w:val="论文标题"/>
    <w:basedOn w:val="1"/>
    <w:uiPriority w:val="0"/>
    <w:pPr>
      <w:spacing w:line="240" w:lineRule="auto"/>
      <w:jc w:val="center"/>
    </w:pPr>
    <w:rPr>
      <w:rFonts w:eastAsia="楷体_GB2312"/>
      <w:b/>
      <w:kern w:val="36"/>
      <w:sz w:val="52"/>
      <w:szCs w:val="52"/>
    </w:rPr>
  </w:style>
  <w:style w:type="paragraph" w:customStyle="1" w:styleId="60">
    <w:name w:val="硕士学位论文"/>
    <w:basedOn w:val="1"/>
    <w:qFormat/>
    <w:uiPriority w:val="0"/>
    <w:pPr>
      <w:spacing w:before="240" w:line="240" w:lineRule="auto"/>
      <w:jc w:val="center"/>
    </w:pPr>
    <w:rPr>
      <w:sz w:val="44"/>
      <w:szCs w:val="44"/>
    </w:rPr>
  </w:style>
  <w:style w:type="paragraph" w:customStyle="1" w:styleId="61">
    <w:name w:val="研究生姓名"/>
    <w:basedOn w:val="1"/>
    <w:qFormat/>
    <w:uiPriority w:val="0"/>
    <w:pPr>
      <w:spacing w:line="240" w:lineRule="auto"/>
      <w:ind w:firstLine="700" w:firstLineChars="7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emf"/><Relationship Id="rId27" Type="http://schemas.openxmlformats.org/officeDocument/2006/relationships/oleObject" Target="embeddings/oleObject3.bin"/><Relationship Id="rId26" Type="http://schemas.openxmlformats.org/officeDocument/2006/relationships/image" Target="media/image6.emf"/><Relationship Id="rId25" Type="http://schemas.openxmlformats.org/officeDocument/2006/relationships/oleObject" Target="embeddings/oleObject2.bin"/><Relationship Id="rId24" Type="http://schemas.openxmlformats.org/officeDocument/2006/relationships/image" Target="media/image5.png"/><Relationship Id="rId23" Type="http://schemas.openxmlformats.org/officeDocument/2006/relationships/image" Target="media/image4.emf"/><Relationship Id="rId22" Type="http://schemas.openxmlformats.org/officeDocument/2006/relationships/oleObject" Target="embeddings/oleObject1.bin"/><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AA99DA-3D42-4AD7-BC08-B25AB77CA55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27</Words>
  <Characters>160</Characters>
  <Lines>1</Lines>
  <Paragraphs>1</Paragraphs>
  <TotalTime>5</TotalTime>
  <ScaleCrop>false</ScaleCrop>
  <LinksUpToDate>false</LinksUpToDate>
  <CharactersWithSpaces>186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Pikachu</cp:lastModifiedBy>
  <cp:lastPrinted>2023-03-17T03:05:00Z</cp:lastPrinted>
  <dcterms:modified xsi:type="dcterms:W3CDTF">2023-08-17T08:53:32Z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964CFE18941949EB89951685ADB41AFE</vt:lpwstr>
  </property>
</Properties>
</file>