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lang w:eastAsia="zh-CN"/>
        </w:rPr>
        <w:drawing>
          <wp:inline distT="0" distB="0" distL="114300" distR="114300">
            <wp:extent cx="5611495" cy="7717790"/>
            <wp:effectExtent l="0" t="0" r="8255" b="16510"/>
            <wp:docPr id="3" name="图片 3" descr="公示版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示版封面"/>
                    <pic:cNvPicPr>
                      <a:picLocks noChangeAspect="1"/>
                    </pic:cNvPicPr>
                  </pic:nvPicPr>
                  <pic:blipFill>
                    <a:blip r:embed="rId6"/>
                    <a:stretch>
                      <a:fillRect/>
                    </a:stretch>
                  </pic:blipFill>
                  <pic:spPr>
                    <a:xfrm>
                      <a:off x="0" y="0"/>
                      <a:ext cx="5611495" cy="7717790"/>
                    </a:xfrm>
                    <a:prstGeom prst="rect">
                      <a:avLst/>
                    </a:prstGeom>
                  </pic:spPr>
                </pic:pic>
              </a:graphicData>
            </a:graphic>
          </wp:inline>
        </w:drawing>
      </w:r>
      <w:r>
        <w:rPr>
          <w:rFonts w:hint="eastAsia" w:ascii="Times New Roman" w:hAnsi="Times New Roman" w:eastAsia="黑体" w:cs="Times New Roman"/>
          <w:snapToGrid w:val="0"/>
          <w:color w:val="auto"/>
          <w:sz w:val="30"/>
          <w:szCs w:val="30"/>
          <w:lang w:eastAsia="zh-CN"/>
        </w:rPr>
        <w:drawing>
          <wp:inline distT="0" distB="0" distL="114300" distR="114300">
            <wp:extent cx="5611495" cy="7717790"/>
            <wp:effectExtent l="0" t="0" r="8255" b="16510"/>
            <wp:docPr id="4" name="图片 4"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资质"/>
                    <pic:cNvPicPr>
                      <a:picLocks noChangeAspect="1"/>
                    </pic:cNvPicPr>
                  </pic:nvPicPr>
                  <pic:blipFill>
                    <a:blip r:embed="rId7"/>
                    <a:stretch>
                      <a:fillRect/>
                    </a:stretch>
                  </pic:blipFill>
                  <pic:spPr>
                    <a:xfrm>
                      <a:off x="0" y="0"/>
                      <a:ext cx="5611495" cy="7717790"/>
                    </a:xfrm>
                    <a:prstGeom prst="rect">
                      <a:avLst/>
                    </a:prstGeom>
                  </pic:spPr>
                </pic:pic>
              </a:graphicData>
            </a:graphic>
          </wp:inline>
        </w:drawing>
      </w:r>
      <w:r>
        <w:rPr>
          <w:rFonts w:hint="eastAsia" w:ascii="Times New Roman" w:hAnsi="Times New Roman" w:eastAsia="黑体" w:cs="Times New Roman"/>
          <w:snapToGrid w:val="0"/>
          <w:color w:val="auto"/>
          <w:sz w:val="30"/>
          <w:szCs w:val="30"/>
          <w:lang w:eastAsia="zh-CN"/>
        </w:rPr>
        <w:drawing>
          <wp:inline distT="0" distB="0" distL="114300" distR="114300">
            <wp:extent cx="5611495" cy="7717790"/>
            <wp:effectExtent l="0" t="0" r="8255" b="16510"/>
            <wp:docPr id="1" name="图片 1" descr="有日期，关于建设项目环境影响报告书（表）中删除不宜公开信息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有日期，关于建设项目环境影响报告书（表）中删除不宜公开信息的说明"/>
                    <pic:cNvPicPr>
                      <a:picLocks noChangeAspect="1"/>
                    </pic:cNvPicPr>
                  </pic:nvPicPr>
                  <pic:blipFill>
                    <a:blip r:embed="rId8"/>
                    <a:stretch>
                      <a:fillRect/>
                    </a:stretch>
                  </pic:blipFill>
                  <pic:spPr>
                    <a:xfrm>
                      <a:off x="0" y="0"/>
                      <a:ext cx="5611495" cy="7717790"/>
                    </a:xfrm>
                    <a:prstGeom prst="rect">
                      <a:avLst/>
                    </a:prstGeom>
                  </pic:spPr>
                </pic:pic>
              </a:graphicData>
            </a:graphic>
          </wp:inline>
        </w:drawing>
      </w:r>
      <w:bookmarkStart w:id="4" w:name="_GoBack"/>
      <w:bookmarkEnd w:id="4"/>
      <w:r>
        <w:rPr>
          <w:rFonts w:hint="eastAsia" w:ascii="Times New Roman" w:hAnsi="Times New Roman" w:eastAsia="黑体" w:cs="Times New Roman"/>
          <w:snapToGrid w:val="0"/>
          <w:color w:val="auto"/>
          <w:sz w:val="30"/>
          <w:szCs w:val="30"/>
          <w:lang w:eastAsia="zh-CN"/>
        </w:rPr>
        <w:drawing>
          <wp:inline distT="0" distB="0" distL="114300" distR="114300">
            <wp:extent cx="5611495" cy="8383905"/>
            <wp:effectExtent l="0" t="0" r="8255" b="17145"/>
            <wp:docPr id="6" name="图片 6" descr="建设项目环评文件公开信息情况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设项目环评文件公开信息情况确认表"/>
                    <pic:cNvPicPr>
                      <a:picLocks noChangeAspect="1"/>
                    </pic:cNvPicPr>
                  </pic:nvPicPr>
                  <pic:blipFill>
                    <a:blip r:embed="rId9"/>
                    <a:stretch>
                      <a:fillRect/>
                    </a:stretch>
                  </pic:blipFill>
                  <pic:spPr>
                    <a:xfrm>
                      <a:off x="0" y="0"/>
                      <a:ext cx="5611495" cy="8383905"/>
                    </a:xfrm>
                    <a:prstGeom prst="rect">
                      <a:avLst/>
                    </a:prstGeom>
                  </pic:spPr>
                </pic:pic>
              </a:graphicData>
            </a:graphic>
          </wp:inline>
        </w:drawing>
      </w:r>
      <w:r>
        <w:rPr>
          <w:rFonts w:hint="default" w:ascii="Times New Roman" w:hAnsi="Times New Roman" w:eastAsia="黑体" w:cs="Times New Roman"/>
          <w:snapToGrid w:val="0"/>
          <w:color w:val="auto"/>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740"/>
        <w:gridCol w:w="2109"/>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建设项目名称</w:t>
            </w:r>
          </w:p>
        </w:tc>
        <w:tc>
          <w:tcPr>
            <w:tcW w:w="6488" w:type="dxa"/>
            <w:gridSpan w:val="3"/>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重庆爵狼摩托车配件生产项目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项目代码</w:t>
            </w:r>
          </w:p>
        </w:tc>
        <w:tc>
          <w:tcPr>
            <w:tcW w:w="6488" w:type="dxa"/>
            <w:gridSpan w:val="3"/>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2310-500151-04-01-785466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建设单位联系人</w:t>
            </w:r>
          </w:p>
        </w:tc>
        <w:tc>
          <w:tcPr>
            <w:tcW w:w="1740"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颜霞</w:t>
            </w:r>
          </w:p>
        </w:tc>
        <w:tc>
          <w:tcPr>
            <w:tcW w:w="210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联系方式</w:t>
            </w:r>
          </w:p>
        </w:tc>
        <w:tc>
          <w:tcPr>
            <w:tcW w:w="263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Cs/>
                <w:color w:val="auto"/>
                <w:sz w:val="21"/>
                <w:szCs w:val="21"/>
                <w:lang w:val="en-US" w:eastAsia="zh-CN"/>
              </w:rPr>
              <w:t>15923188883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建设地点</w:t>
            </w:r>
          </w:p>
        </w:tc>
        <w:tc>
          <w:tcPr>
            <w:tcW w:w="6488" w:type="dxa"/>
            <w:gridSpan w:val="3"/>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Cs/>
                <w:color w:val="auto"/>
                <w:sz w:val="21"/>
                <w:szCs w:val="21"/>
                <w:lang w:eastAsia="zh-CN"/>
              </w:rPr>
              <w:t>重庆市铜梁区蒲吕街道产业大道55号附27号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地理坐标</w:t>
            </w:r>
          </w:p>
        </w:tc>
        <w:tc>
          <w:tcPr>
            <w:tcW w:w="6488" w:type="dxa"/>
            <w:gridSpan w:val="3"/>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u w:val="single"/>
                <w:lang w:val="en-US" w:eastAsia="zh-CN"/>
              </w:rPr>
              <w:t>106</w:t>
            </w:r>
            <w:r>
              <w:rPr>
                <w:rFonts w:hint="default" w:ascii="Times New Roman" w:hAnsi="Times New Roman" w:eastAsia="宋体" w:cs="Times New Roman"/>
                <w:b w:val="0"/>
                <w:bCs w:val="0"/>
                <w:color w:val="auto"/>
                <w:sz w:val="21"/>
                <w:szCs w:val="21"/>
                <w:u w:val="single"/>
              </w:rPr>
              <w:t xml:space="preserve"> </w:t>
            </w:r>
            <w:r>
              <w:rPr>
                <w:rFonts w:hint="default" w:ascii="Times New Roman" w:hAnsi="Times New Roman" w:eastAsia="宋体" w:cs="Times New Roman"/>
                <w:b w:val="0"/>
                <w:bCs w:val="0"/>
                <w:color w:val="auto"/>
                <w:sz w:val="21"/>
                <w:szCs w:val="21"/>
              </w:rPr>
              <w:t>度</w:t>
            </w:r>
            <w:r>
              <w:rPr>
                <w:rFonts w:hint="eastAsia" w:cs="Times New Roman"/>
                <w:b w:val="0"/>
                <w:bCs w:val="0"/>
                <w:color w:val="auto"/>
                <w:sz w:val="21"/>
                <w:szCs w:val="21"/>
                <w:u w:val="single"/>
                <w:lang w:val="en-US" w:eastAsia="zh-CN"/>
              </w:rPr>
              <w:t>8</w:t>
            </w:r>
            <w:r>
              <w:rPr>
                <w:rFonts w:hint="default" w:ascii="Times New Roman" w:hAnsi="Times New Roman" w:eastAsia="宋体" w:cs="Times New Roman"/>
                <w:b w:val="0"/>
                <w:bCs w:val="0"/>
                <w:color w:val="auto"/>
                <w:sz w:val="21"/>
                <w:szCs w:val="21"/>
                <w:u w:val="single"/>
              </w:rPr>
              <w:t xml:space="preserve"> </w:t>
            </w:r>
            <w:r>
              <w:rPr>
                <w:rFonts w:hint="default" w:ascii="Times New Roman" w:hAnsi="Times New Roman" w:eastAsia="宋体" w:cs="Times New Roman"/>
                <w:b w:val="0"/>
                <w:bCs w:val="0"/>
                <w:color w:val="auto"/>
                <w:sz w:val="21"/>
                <w:szCs w:val="21"/>
              </w:rPr>
              <w:t>分</w:t>
            </w:r>
            <w:r>
              <w:rPr>
                <w:rFonts w:hint="default" w:ascii="Times New Roman" w:hAnsi="Times New Roman" w:eastAsia="宋体" w:cs="Times New Roman"/>
                <w:b w:val="0"/>
                <w:bCs w:val="0"/>
                <w:color w:val="auto"/>
                <w:sz w:val="21"/>
                <w:szCs w:val="21"/>
                <w:u w:val="single"/>
              </w:rPr>
              <w:t xml:space="preserve">5.010 </w:t>
            </w:r>
            <w:r>
              <w:rPr>
                <w:rFonts w:hint="default" w:ascii="Times New Roman" w:hAnsi="Times New Roman" w:eastAsia="宋体" w:cs="Times New Roman"/>
                <w:b w:val="0"/>
                <w:bCs w:val="0"/>
                <w:color w:val="auto"/>
                <w:sz w:val="21"/>
                <w:szCs w:val="21"/>
              </w:rPr>
              <w:t>秒，</w:t>
            </w:r>
            <w:r>
              <w:rPr>
                <w:rFonts w:hint="default" w:ascii="Times New Roman" w:hAnsi="Times New Roman" w:eastAsia="宋体" w:cs="Times New Roman"/>
                <w:b w:val="0"/>
                <w:bCs w:val="0"/>
                <w:color w:val="auto"/>
                <w:sz w:val="21"/>
                <w:szCs w:val="21"/>
                <w:u w:val="single"/>
              </w:rPr>
              <w:t xml:space="preserve"> </w:t>
            </w:r>
            <w:r>
              <w:rPr>
                <w:rFonts w:hint="default" w:ascii="Times New Roman" w:hAnsi="Times New Roman" w:eastAsia="宋体" w:cs="Times New Roman"/>
                <w:b w:val="0"/>
                <w:bCs w:val="0"/>
                <w:color w:val="auto"/>
                <w:sz w:val="21"/>
                <w:szCs w:val="21"/>
                <w:u w:val="single"/>
                <w:lang w:val="en-US" w:eastAsia="zh-CN"/>
              </w:rPr>
              <w:t>29</w:t>
            </w:r>
            <w:r>
              <w:rPr>
                <w:rFonts w:hint="default" w:ascii="Times New Roman" w:hAnsi="Times New Roman" w:eastAsia="宋体" w:cs="Times New Roman"/>
                <w:b w:val="0"/>
                <w:bCs w:val="0"/>
                <w:color w:val="auto"/>
                <w:sz w:val="21"/>
                <w:szCs w:val="21"/>
              </w:rPr>
              <w:t>度</w:t>
            </w:r>
            <w:r>
              <w:rPr>
                <w:rFonts w:hint="default" w:ascii="Times New Roman" w:hAnsi="Times New Roman" w:eastAsia="宋体" w:cs="Times New Roman"/>
                <w:b w:val="0"/>
                <w:bCs w:val="0"/>
                <w:color w:val="auto"/>
                <w:sz w:val="21"/>
                <w:szCs w:val="21"/>
                <w:u w:val="single"/>
              </w:rPr>
              <w:t xml:space="preserve"> </w:t>
            </w:r>
            <w:r>
              <w:rPr>
                <w:rFonts w:hint="eastAsia" w:cs="Times New Roman"/>
                <w:b w:val="0"/>
                <w:bCs w:val="0"/>
                <w:color w:val="auto"/>
                <w:sz w:val="21"/>
                <w:szCs w:val="21"/>
                <w:u w:val="single"/>
                <w:lang w:val="en-US" w:eastAsia="zh-CN"/>
              </w:rPr>
              <w:t>50</w:t>
            </w:r>
            <w:r>
              <w:rPr>
                <w:rFonts w:hint="default" w:ascii="Times New Roman" w:hAnsi="Times New Roman" w:eastAsia="宋体" w:cs="Times New Roman"/>
                <w:b w:val="0"/>
                <w:bCs w:val="0"/>
                <w:color w:val="auto"/>
                <w:sz w:val="21"/>
                <w:szCs w:val="21"/>
                <w:u w:val="single"/>
              </w:rPr>
              <w:t xml:space="preserve"> </w:t>
            </w:r>
            <w:r>
              <w:rPr>
                <w:rFonts w:hint="default" w:ascii="Times New Roman" w:hAnsi="Times New Roman" w:eastAsia="宋体" w:cs="Times New Roman"/>
                <w:b w:val="0"/>
                <w:bCs w:val="0"/>
                <w:color w:val="auto"/>
                <w:sz w:val="21"/>
                <w:szCs w:val="21"/>
              </w:rPr>
              <w:t>分</w:t>
            </w:r>
            <w:r>
              <w:rPr>
                <w:rFonts w:hint="default" w:ascii="Times New Roman" w:hAnsi="Times New Roman" w:eastAsia="宋体" w:cs="Times New Roman"/>
                <w:b w:val="0"/>
                <w:bCs w:val="0"/>
                <w:color w:val="auto"/>
                <w:sz w:val="21"/>
                <w:szCs w:val="21"/>
                <w:u w:val="single"/>
              </w:rPr>
              <w:t xml:space="preserve"> 17.090</w:t>
            </w:r>
            <w:r>
              <w:rPr>
                <w:rFonts w:hint="default" w:ascii="Times New Roman" w:hAnsi="Times New Roman" w:eastAsia="宋体" w:cs="Times New Roman"/>
                <w:b w:val="0"/>
                <w:bCs w:val="0"/>
                <w:color w:val="auto"/>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国民经济</w:t>
            </w:r>
          </w:p>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行业类别</w:t>
            </w:r>
          </w:p>
        </w:tc>
        <w:tc>
          <w:tcPr>
            <w:tcW w:w="1740"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C3752 摩托车零部件及配件制造</w:t>
            </w:r>
          </w:p>
        </w:tc>
        <w:tc>
          <w:tcPr>
            <w:tcW w:w="210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bookmarkStart w:id="0" w:name="_Hlk49843745"/>
            <w:r>
              <w:rPr>
                <w:rFonts w:hint="default" w:ascii="Times New Roman" w:hAnsi="Times New Roman" w:eastAsia="宋体" w:cs="Times New Roman"/>
                <w:b w:val="0"/>
                <w:bCs w:val="0"/>
                <w:color w:val="auto"/>
                <w:sz w:val="21"/>
                <w:szCs w:val="21"/>
              </w:rPr>
              <w:t>建设项目</w:t>
            </w:r>
          </w:p>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行业类别</w:t>
            </w:r>
            <w:bookmarkEnd w:id="0"/>
          </w:p>
        </w:tc>
        <w:tc>
          <w:tcPr>
            <w:tcW w:w="2639" w:type="dxa"/>
            <w:noWrap w:val="0"/>
            <w:vAlign w:val="center"/>
          </w:tcPr>
          <w:p>
            <w:pPr>
              <w:pStyle w:val="10"/>
              <w:keepNext w:val="0"/>
              <w:keepLines w:val="0"/>
              <w:pageBreakBefore w:val="0"/>
              <w:wordWrap/>
              <w:topLinePunct w:val="0"/>
              <w:bidi w:val="0"/>
              <w:adjustRightInd w:val="0"/>
              <w:snapToGrid w:val="0"/>
              <w:spacing w:line="300" w:lineRule="atLeas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三十四、铁路、船舶、航空航天和其他运输设备制造业 37</w:t>
            </w:r>
            <w:r>
              <w:rPr>
                <w:rFonts w:hint="default" w:ascii="Times New Roman" w:hAnsi="Times New Roman"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lang w:eastAsia="zh-CN"/>
              </w:rPr>
              <w:t>摩托车制造 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建设性质</w:t>
            </w:r>
          </w:p>
        </w:tc>
        <w:tc>
          <w:tcPr>
            <w:tcW w:w="1740" w:type="dxa"/>
            <w:noWrap w:val="0"/>
            <w:vAlign w:val="center"/>
          </w:tcPr>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52"/>
            </w:r>
            <w:r>
              <w:rPr>
                <w:rFonts w:hint="default" w:ascii="Times New Roman" w:hAnsi="Times New Roman" w:eastAsia="宋体" w:cs="Times New Roman"/>
                <w:b w:val="0"/>
                <w:bCs w:val="0"/>
                <w:color w:val="auto"/>
                <w:sz w:val="21"/>
                <w:szCs w:val="21"/>
              </w:rPr>
              <w:t>新建</w:t>
            </w:r>
          </w:p>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□改建</w:t>
            </w:r>
          </w:p>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□扩建</w:t>
            </w:r>
          </w:p>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□技术改造</w:t>
            </w:r>
          </w:p>
        </w:tc>
        <w:tc>
          <w:tcPr>
            <w:tcW w:w="210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w:t>
            </w:r>
          </w:p>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申报情形</w:t>
            </w:r>
          </w:p>
        </w:tc>
        <w:tc>
          <w:tcPr>
            <w:tcW w:w="2639" w:type="dxa"/>
            <w:noWrap w:val="0"/>
            <w:vAlign w:val="center"/>
          </w:tcPr>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52"/>
            </w:r>
            <w:r>
              <w:rPr>
                <w:rFonts w:hint="default" w:ascii="Times New Roman" w:hAnsi="Times New Roman" w:eastAsia="宋体" w:cs="Times New Roman"/>
                <w:b w:val="0"/>
                <w:bCs w:val="0"/>
                <w:color w:val="auto"/>
                <w:sz w:val="21"/>
                <w:szCs w:val="21"/>
              </w:rPr>
              <w:t xml:space="preserve">首次申报项目             </w:t>
            </w:r>
          </w:p>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不予批准后再次申报项目</w:t>
            </w:r>
          </w:p>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 xml:space="preserve">超五年重新审核项目     </w:t>
            </w:r>
          </w:p>
          <w:p>
            <w:pPr>
              <w:keepNext w:val="0"/>
              <w:keepLines w:val="0"/>
              <w:pageBreakBefore w:val="0"/>
              <w:wordWrap/>
              <w:topLinePunct w:val="0"/>
              <w:bidi w:val="0"/>
              <w:adjustRightInd w:val="0"/>
              <w:snapToGrid w:val="0"/>
              <w:spacing w:line="300" w:lineRule="atLeas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项目审批（核准/</w:t>
            </w:r>
          </w:p>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备案）部门（选填）</w:t>
            </w:r>
          </w:p>
        </w:tc>
        <w:tc>
          <w:tcPr>
            <w:tcW w:w="1740"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重庆市</w:t>
            </w:r>
            <w:r>
              <w:rPr>
                <w:rFonts w:hint="default" w:ascii="Times New Roman" w:hAnsi="Times New Roman" w:cs="Times New Roman"/>
                <w:b w:val="0"/>
                <w:bCs w:val="0"/>
                <w:color w:val="auto"/>
                <w:sz w:val="21"/>
                <w:szCs w:val="21"/>
                <w:lang w:eastAsia="zh-CN"/>
              </w:rPr>
              <w:t>铜梁</w:t>
            </w:r>
            <w:r>
              <w:rPr>
                <w:rFonts w:hint="default" w:ascii="Times New Roman" w:hAnsi="Times New Roman" w:eastAsia="宋体" w:cs="Times New Roman"/>
                <w:b w:val="0"/>
                <w:bCs w:val="0"/>
                <w:color w:val="auto"/>
                <w:sz w:val="21"/>
                <w:szCs w:val="21"/>
              </w:rPr>
              <w:t>区发展和改革委员会</w:t>
            </w:r>
          </w:p>
        </w:tc>
        <w:tc>
          <w:tcPr>
            <w:tcW w:w="210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项目审批（核准/</w:t>
            </w:r>
          </w:p>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备案）文号（选填）</w:t>
            </w:r>
          </w:p>
        </w:tc>
        <w:tc>
          <w:tcPr>
            <w:tcW w:w="263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2310-500151-04-01-785466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总投资（万元）</w:t>
            </w:r>
          </w:p>
        </w:tc>
        <w:tc>
          <w:tcPr>
            <w:tcW w:w="1740"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r>
              <w:rPr>
                <w:rFonts w:hint="default" w:ascii="Times New Roman" w:hAnsi="Times New Roman" w:eastAsia="宋体" w:cs="Times New Roman"/>
                <w:b w:val="0"/>
                <w:bCs w:val="0"/>
                <w:color w:val="auto"/>
                <w:sz w:val="21"/>
                <w:szCs w:val="21"/>
                <w:lang w:val="en-US" w:eastAsia="zh-CN"/>
              </w:rPr>
              <w:t>0</w:t>
            </w:r>
          </w:p>
        </w:tc>
        <w:tc>
          <w:tcPr>
            <w:tcW w:w="2109"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环保投资（万元）</w:t>
            </w:r>
          </w:p>
        </w:tc>
        <w:tc>
          <w:tcPr>
            <w:tcW w:w="263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环保投资占比（%）</w:t>
            </w:r>
          </w:p>
        </w:tc>
        <w:tc>
          <w:tcPr>
            <w:tcW w:w="1740"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w:t>
            </w:r>
          </w:p>
        </w:tc>
        <w:tc>
          <w:tcPr>
            <w:tcW w:w="2109"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施工工期</w:t>
            </w:r>
          </w:p>
        </w:tc>
        <w:tc>
          <w:tcPr>
            <w:tcW w:w="263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82"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是否开工建设</w:t>
            </w:r>
          </w:p>
        </w:tc>
        <w:tc>
          <w:tcPr>
            <w:tcW w:w="1740" w:type="dxa"/>
            <w:noWrap w:val="0"/>
            <w:vAlign w:val="center"/>
          </w:tcPr>
          <w:p>
            <w:pPr>
              <w:keepNext w:val="0"/>
              <w:keepLines w:val="0"/>
              <w:pageBreakBefore w:val="0"/>
              <w:wordWrap/>
              <w:topLinePunct w:val="0"/>
              <w:bidi w:val="0"/>
              <w:adjustRightInd w:val="0"/>
              <w:snapToGrid w:val="0"/>
              <w:spacing w:line="300" w:lineRule="atLeas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52"/>
            </w:r>
            <w:r>
              <w:rPr>
                <w:rFonts w:hint="default" w:ascii="Times New Roman" w:hAnsi="Times New Roman" w:eastAsia="宋体" w:cs="Times New Roman"/>
                <w:b w:val="0"/>
                <w:bCs w:val="0"/>
                <w:color w:val="auto"/>
                <w:sz w:val="21"/>
                <w:szCs w:val="21"/>
              </w:rPr>
              <w:t>否</w:t>
            </w:r>
          </w:p>
          <w:p>
            <w:pPr>
              <w:keepNext w:val="0"/>
              <w:keepLines w:val="0"/>
              <w:pageBreakBefore w:val="0"/>
              <w:wordWrap/>
              <w:topLinePunct w:val="0"/>
              <w:bidi w:val="0"/>
              <w:adjustRightInd w:val="0"/>
              <w:snapToGrid w:val="0"/>
              <w:spacing w:line="300" w:lineRule="atLeas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是：</w:t>
            </w:r>
            <w:r>
              <w:rPr>
                <w:rFonts w:hint="default" w:ascii="Times New Roman" w:hAnsi="Times New Roman" w:eastAsia="宋体" w:cs="Times New Roman"/>
                <w:b w:val="0"/>
                <w:bCs w:val="0"/>
                <w:color w:val="auto"/>
                <w:sz w:val="21"/>
                <w:szCs w:val="21"/>
                <w:u w:val="single"/>
              </w:rPr>
              <w:t xml:space="preserve">             </w:t>
            </w:r>
          </w:p>
        </w:tc>
        <w:tc>
          <w:tcPr>
            <w:tcW w:w="2109" w:type="dxa"/>
            <w:noWrap w:val="0"/>
            <w:tcMar>
              <w:top w:w="16" w:type="dxa"/>
              <w:left w:w="16" w:type="dxa"/>
              <w:right w:w="16" w:type="dxa"/>
            </w:tcMar>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用地面积（m</w:t>
            </w:r>
            <w:r>
              <w:rPr>
                <w:rFonts w:hint="default" w:ascii="Times New Roman" w:hAnsi="Times New Roman" w:eastAsia="宋体" w:cs="Times New Roman"/>
                <w:b w:val="0"/>
                <w:bCs w:val="0"/>
                <w:color w:val="auto"/>
                <w:spacing w:val="-6"/>
                <w:sz w:val="21"/>
                <w:szCs w:val="21"/>
                <w:vertAlign w:val="superscript"/>
              </w:rPr>
              <w:t>2</w:t>
            </w:r>
            <w:r>
              <w:rPr>
                <w:rFonts w:hint="default" w:ascii="Times New Roman" w:hAnsi="Times New Roman" w:eastAsia="宋体" w:cs="Times New Roman"/>
                <w:b w:val="0"/>
                <w:bCs w:val="0"/>
                <w:color w:val="auto"/>
                <w:spacing w:val="-6"/>
                <w:sz w:val="21"/>
                <w:szCs w:val="21"/>
              </w:rPr>
              <w:t>）</w:t>
            </w:r>
          </w:p>
        </w:tc>
        <w:tc>
          <w:tcPr>
            <w:tcW w:w="2639"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w:t>
            </w:r>
            <w:r>
              <w:rPr>
                <w:rFonts w:hint="default" w:ascii="Times New Roman" w:hAnsi="Times New Roman" w:cs="Times New Roman"/>
                <w:b w:val="0"/>
                <w:bCs w:val="0"/>
                <w:color w:val="auto"/>
                <w:sz w:val="21"/>
                <w:szCs w:val="21"/>
                <w:lang w:val="en-US" w:eastAsia="zh-CN"/>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82" w:type="dxa"/>
            <w:noWrap w:val="0"/>
            <w:vAlign w:val="center"/>
          </w:tcPr>
          <w:p>
            <w:pPr>
              <w:keepNext w:val="0"/>
              <w:keepLines w:val="0"/>
              <w:pageBreakBefore w:val="0"/>
              <w:wordWrap/>
              <w:topLinePunct w:val="0"/>
              <w:autoSpaceDE w:val="0"/>
              <w:autoSpaceDN w:val="0"/>
              <w:bidi w:val="0"/>
              <w:adjustRightInd w:val="0"/>
              <w:snapToGrid w:val="0"/>
              <w:spacing w:line="300" w:lineRule="atLeast"/>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专项评价设置情况</w:t>
            </w:r>
          </w:p>
        </w:tc>
        <w:tc>
          <w:tcPr>
            <w:tcW w:w="6488" w:type="dxa"/>
            <w:gridSpan w:val="3"/>
            <w:noWrap w:val="0"/>
            <w:vAlign w:val="center"/>
          </w:tcPr>
          <w:p>
            <w:pPr>
              <w:keepNext w:val="0"/>
              <w:keepLines w:val="0"/>
              <w:pageBreakBefore w:val="0"/>
              <w:widowControl/>
              <w:tabs>
                <w:tab w:val="left" w:pos="540"/>
                <w:tab w:val="left" w:pos="1080"/>
                <w:tab w:val="left" w:pos="1800"/>
              </w:tabs>
              <w:wordWrap/>
              <w:topLinePunct w:val="0"/>
              <w:bidi w:val="0"/>
              <w:adjustRightInd w:val="0"/>
              <w:snapToGrid w:val="0"/>
              <w:spacing w:line="300" w:lineRule="atLeast"/>
              <w:ind w:lef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根据建设项目环境影响报告表编制技术指南（污染影响类）（试行）表1，本项目</w:t>
            </w:r>
            <w:r>
              <w:rPr>
                <w:rFonts w:hint="eastAsia" w:cs="Times New Roman"/>
                <w:color w:val="auto"/>
                <w:kern w:val="0"/>
                <w:sz w:val="21"/>
                <w:szCs w:val="21"/>
                <w:lang w:eastAsia="zh-CN"/>
              </w:rPr>
              <w:t>无须设置</w:t>
            </w:r>
            <w:r>
              <w:rPr>
                <w:rFonts w:hint="default" w:ascii="Times New Roman" w:hAnsi="Times New Roman" w:cs="Times New Roman"/>
                <w:bCs/>
                <w:color w:val="auto"/>
                <w:sz w:val="21"/>
                <w:szCs w:val="21"/>
              </w:rPr>
              <w:t>专项评价</w:t>
            </w:r>
          </w:p>
          <w:tbl>
            <w:tblPr>
              <w:tblStyle w:val="27"/>
              <w:tblW w:w="6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160"/>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316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设置原则</w:t>
                  </w:r>
                </w:p>
              </w:tc>
              <w:tc>
                <w:tcPr>
                  <w:tcW w:w="24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项目情况对照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0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316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排放废气含有毒有害污染物、二噁英、苯并</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芘、氰化物、氯气且厂界外500米范围内有环境空气保护目标的建设项目</w:t>
                  </w:r>
                </w:p>
              </w:tc>
              <w:tc>
                <w:tcPr>
                  <w:tcW w:w="24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本项目不排放《有毒有害大气污染物名录》中有毒有害污染物，不设专项评价</w:t>
                  </w:r>
                  <w:r>
                    <w:rPr>
                      <w:rFonts w:hint="eastAsia"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70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316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新增工业废水直排建设项目（槽罐车外送污水处理厂的除外）；新增废水直排的污水集中处理厂</w:t>
                  </w:r>
                </w:p>
              </w:tc>
              <w:tc>
                <w:tcPr>
                  <w:tcW w:w="24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本项目废水排放方式为间接排放，不设专项评价。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0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316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有毒有害和易燃易爆危险物质存储量超过临界量的建设项目</w:t>
                  </w:r>
                </w:p>
              </w:tc>
              <w:tc>
                <w:tcPr>
                  <w:tcW w:w="24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本项目危险物质储存量未超过临界量，不设专项评价。</w:t>
                  </w:r>
                </w:p>
              </w:tc>
            </w:tr>
          </w:tbl>
          <w:p>
            <w:pPr>
              <w:keepNext w:val="0"/>
              <w:keepLines w:val="0"/>
              <w:pageBreakBefore w:val="0"/>
              <w:wordWrap/>
              <w:topLinePunct w:val="0"/>
              <w:autoSpaceDE w:val="0"/>
              <w:autoSpaceDN w:val="0"/>
              <w:bidi w:val="0"/>
              <w:adjustRightInd w:val="0"/>
              <w:snapToGrid w:val="0"/>
              <w:spacing w:line="300" w:lineRule="atLeast"/>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2" w:type="dxa"/>
            <w:noWrap w:val="0"/>
            <w:vAlign w:val="center"/>
          </w:tcPr>
          <w:p>
            <w:pPr>
              <w:keepNext w:val="0"/>
              <w:keepLines w:val="0"/>
              <w:pageBreakBefore w:val="0"/>
              <w:wordWrap/>
              <w:topLinePunct w:val="0"/>
              <w:autoSpaceDE w:val="0"/>
              <w:autoSpaceDN w:val="0"/>
              <w:bidi w:val="0"/>
              <w:adjustRightInd w:val="0"/>
              <w:snapToGrid w:val="0"/>
              <w:spacing w:line="300" w:lineRule="atLeast"/>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规划情况</w:t>
            </w:r>
          </w:p>
        </w:tc>
        <w:tc>
          <w:tcPr>
            <w:tcW w:w="6488" w:type="dxa"/>
            <w:gridSpan w:val="3"/>
            <w:noWrap w:val="0"/>
            <w:vAlign w:val="top"/>
          </w:tcPr>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规划名称：《铜梁区工业发展规划》（2017-2025年）、《重庆市铜梁区中心城区控制性详细规划整合（2017年）》</w:t>
            </w:r>
          </w:p>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审批文件名称及文号：铜府</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2017</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175号。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82" w:type="dxa"/>
            <w:noWrap w:val="0"/>
            <w:vAlign w:val="center"/>
          </w:tcPr>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规划环境影响</w:t>
            </w:r>
          </w:p>
          <w:p>
            <w:pPr>
              <w:keepNext w:val="0"/>
              <w:keepLines w:val="0"/>
              <w:pageBreakBefore w:val="0"/>
              <w:wordWrap/>
              <w:topLinePunct w:val="0"/>
              <w:bidi w:val="0"/>
              <w:adjustRightInd w:val="0"/>
              <w:snapToGrid w:val="0"/>
              <w:spacing w:line="300" w:lineRule="atLeast"/>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评价情况</w:t>
            </w:r>
          </w:p>
        </w:tc>
        <w:tc>
          <w:tcPr>
            <w:tcW w:w="6488" w:type="dxa"/>
            <w:gridSpan w:val="3"/>
            <w:noWrap w:val="0"/>
            <w:vAlign w:val="top"/>
          </w:tcPr>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规划环评名称：《重庆铜梁高新区铜梁片区及全蒲片区规划环境影响跟踪评价报告书》</w:t>
            </w:r>
          </w:p>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审查机关：重庆市生态环境局</w:t>
            </w:r>
          </w:p>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审查文件名称：《重庆市生态环境局关于重庆铜梁高新区铜梁片区及全蒲片区规划环境影响跟踪评价报告书审查意见的函》</w:t>
            </w:r>
          </w:p>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文号：渝环函〔2019〕94号</w:t>
            </w:r>
          </w:p>
          <w:p>
            <w:pPr>
              <w:keepNext w:val="0"/>
              <w:keepLines w:val="0"/>
              <w:pageBreakBefore w:val="0"/>
              <w:widowControl/>
              <w:tabs>
                <w:tab w:val="left" w:pos="540"/>
                <w:tab w:val="left" w:pos="1080"/>
                <w:tab w:val="left" w:pos="1800"/>
              </w:tabs>
              <w:kinsoku/>
              <w:wordWrap/>
              <w:overflowPunct/>
              <w:topLinePunct w:val="0"/>
              <w:autoSpaceDE/>
              <w:autoSpaceDN/>
              <w:bidi w:val="0"/>
              <w:adjustRightInd w:val="0"/>
              <w:snapToGrid w:val="0"/>
              <w:spacing w:line="300" w:lineRule="atLeast"/>
              <w:ind w:left="0"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审查时间：2019年1月29日</w:t>
            </w:r>
          </w:p>
        </w:tc>
      </w:tr>
    </w:tbl>
    <w:p>
      <w:pPr>
        <w:spacing w:line="360" w:lineRule="auto"/>
        <w:outlineLvl w:val="0"/>
        <w:rPr>
          <w:rFonts w:hint="default" w:ascii="Times New Roman" w:hAnsi="Times New Roman" w:eastAsia="黑体" w:cs="Times New Roman"/>
          <w:color w:val="auto"/>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1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2" w:hRule="atLeast"/>
          <w:jc w:val="center"/>
        </w:trPr>
        <w:tc>
          <w:tcPr>
            <w:tcW w:w="1117"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规划及规划环境影响评价符合性分析</w:t>
            </w:r>
          </w:p>
        </w:tc>
        <w:tc>
          <w:tcPr>
            <w:tcW w:w="12140" w:type="dxa"/>
            <w:noWrap w:val="0"/>
            <w:vAlign w:val="top"/>
          </w:tcPr>
          <w:p>
            <w:pPr>
              <w:pStyle w:val="23"/>
              <w:widowControl w:val="0"/>
              <w:kinsoku w:val="0"/>
              <w:overflowPunct w:val="0"/>
              <w:autoSpaceDE w:val="0"/>
              <w:autoSpaceDN w:val="0"/>
              <w:adjustRightInd w:val="0"/>
              <w:spacing w:before="0" w:beforeAutospacing="0" w:after="0" w:afterAutospacing="0" w:line="460" w:lineRule="exact"/>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b/>
                <w:bCs/>
                <w:color w:val="auto"/>
                <w:spacing w:val="4"/>
                <w:kern w:val="18"/>
                <w:sz w:val="21"/>
                <w:szCs w:val="21"/>
              </w:rPr>
              <w:t>1</w:t>
            </w:r>
            <w:r>
              <w:rPr>
                <w:rFonts w:hint="eastAsia" w:ascii="Times New Roman" w:hAnsi="Times New Roman" w:cs="Times New Roman"/>
                <w:b/>
                <w:bCs/>
                <w:color w:val="auto"/>
                <w:spacing w:val="4"/>
                <w:kern w:val="18"/>
                <w:sz w:val="21"/>
                <w:szCs w:val="21"/>
                <w:lang w:val="en-US" w:eastAsia="zh-CN"/>
              </w:rPr>
              <w:t>.1</w:t>
            </w:r>
            <w:r>
              <w:rPr>
                <w:rFonts w:hint="default" w:ascii="Times New Roman" w:hAnsi="Times New Roman" w:eastAsia="宋体" w:cs="Times New Roman"/>
                <w:b/>
                <w:bCs/>
                <w:color w:val="auto"/>
                <w:spacing w:val="4"/>
                <w:kern w:val="18"/>
                <w:sz w:val="21"/>
                <w:szCs w:val="21"/>
              </w:rPr>
              <w:t>与《铜梁区工业发展规划》（2017-2025年）、《重庆市铜梁区中心城区控制性详细规划整合（2017年）》的符合性</w:t>
            </w:r>
          </w:p>
          <w:p>
            <w:pPr>
              <w:pStyle w:val="23"/>
              <w:keepNext w:val="0"/>
              <w:keepLines w:val="0"/>
              <w:pageBreakBefore w:val="0"/>
              <w:widowControl w:val="0"/>
              <w:kinsoku/>
              <w:wordWrap/>
              <w:overflowPunct w:val="0"/>
              <w:topLinePunct w:val="0"/>
              <w:autoSpaceDE w:val="0"/>
              <w:autoSpaceDN w:val="0"/>
              <w:bidi w:val="0"/>
              <w:adjustRightInd w:val="0"/>
              <w:snapToGrid/>
              <w:spacing w:before="0" w:beforeAutospacing="0" w:after="0" w:afterAutospacing="0" w:line="460" w:lineRule="exact"/>
              <w:ind w:firstLine="436" w:firstLineChars="200"/>
              <w:textAlignment w:val="auto"/>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重庆铜梁工业园区于2002年成立，是重庆市人民政府《关于同意渝北区等16个区县（市）设立特色工业园区的批复》（渝府</w:t>
            </w:r>
            <w:r>
              <w:rPr>
                <w:rFonts w:hint="eastAsia" w:ascii="Times New Roman" w:hAnsi="Times New Roman" w:cs="Times New Roman"/>
                <w:color w:val="auto"/>
                <w:spacing w:val="4"/>
                <w:kern w:val="18"/>
                <w:sz w:val="21"/>
                <w:szCs w:val="21"/>
                <w:lang w:eastAsia="zh-CN"/>
              </w:rPr>
              <w:t>〔</w:t>
            </w:r>
            <w:r>
              <w:rPr>
                <w:rFonts w:hint="default" w:ascii="Times New Roman" w:hAnsi="Times New Roman" w:eastAsia="宋体" w:cs="Times New Roman"/>
                <w:color w:val="auto"/>
                <w:spacing w:val="4"/>
                <w:kern w:val="18"/>
                <w:sz w:val="21"/>
                <w:szCs w:val="21"/>
              </w:rPr>
              <w:t>2002</w:t>
            </w:r>
            <w:r>
              <w:rPr>
                <w:rFonts w:hint="eastAsia" w:ascii="Times New Roman" w:hAnsi="Times New Roman" w:cs="Times New Roman"/>
                <w:color w:val="auto"/>
                <w:spacing w:val="4"/>
                <w:kern w:val="18"/>
                <w:sz w:val="21"/>
                <w:szCs w:val="21"/>
                <w:lang w:eastAsia="zh-CN"/>
              </w:rPr>
              <w:t>〕</w:t>
            </w:r>
            <w:r>
              <w:rPr>
                <w:rFonts w:hint="default" w:ascii="Times New Roman" w:hAnsi="Times New Roman" w:eastAsia="宋体" w:cs="Times New Roman"/>
                <w:color w:val="auto"/>
                <w:spacing w:val="4"/>
                <w:kern w:val="18"/>
                <w:sz w:val="21"/>
                <w:szCs w:val="21"/>
              </w:rPr>
              <w:t>210号）批准设立的首批市级特色工业园区，2016年成功创建市级高新区，根据《铜梁区工业发展规划》（2017-2025）及铜梁区各专项规划，铜梁高新区最新规划概要如下：</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（1）规划范围及面积</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以白土坝片区、姜家岩片区、蒲吕片区为核心，白土坝片区、姜家岩片区、蒲吕片区规划面积2233.48ha，远景规划面积50平方公里。</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（2）功能定位</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重庆市重要的先进制造业基地，具有国内竞争力的高新技术开发区，成渝大健康产业集聚区。</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（3）产业结构</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主要发展电子信息、装备制造、新材料、适当发展大健康等产业。</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（4）规划布局</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蒲吕片区：发展装备制造、电子信息、新材料、适当发展大健康产业，培育新型工业。电子信息主要依托蒲旧大道相对集中布局，约1700亩符合城市总规；装备制造主要沿渝遂高速、龙腾大道（东）延伸段进行连片布置，以形成相对连续的产业链，发挥集群效应，约2100亩符合城市总规，包含中车集团及拦河堰水库面积约600亩；新材料类企业用地主要规划于蒲旧大道与渝遂</w:t>
            </w:r>
            <w:r>
              <w:rPr>
                <w:rFonts w:hint="eastAsia" w:ascii="Times New Roman" w:hAnsi="Times New Roman" w:cs="Times New Roman"/>
                <w:color w:val="auto"/>
                <w:spacing w:val="4"/>
                <w:kern w:val="18"/>
                <w:sz w:val="21"/>
                <w:szCs w:val="21"/>
                <w:lang w:eastAsia="zh-CN"/>
              </w:rPr>
              <w:t>高速交会处</w:t>
            </w:r>
            <w:r>
              <w:rPr>
                <w:rFonts w:hint="default" w:ascii="Times New Roman" w:hAnsi="Times New Roman" w:eastAsia="宋体" w:cs="Times New Roman"/>
                <w:color w:val="auto"/>
                <w:spacing w:val="4"/>
                <w:kern w:val="18"/>
                <w:sz w:val="21"/>
                <w:szCs w:val="21"/>
              </w:rPr>
              <w:t>南侧及旧县场镇以西区域，约1700亩符合城市总规，剩余部分作为远景用地进行控制。</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白土坝片区：基本建成，采取“腾笼换鸟”的方式，发展以物流、生产资料交易为主的生产性服务业，推动传统产业提档升级，打造2.5代产业园。</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姜家岩片区：以改造提升现有产业为重点，对机械制造业、生物医药等企业进行改造升级，同时引进发展先进装备制造业，符合规划面积约0.8平方公里。其中大健康产业分两个区域分别规划布局于北环路周边及淮远河、小安溪交汇处。其中，依托腊梅园休闲农业及赛维药业等进行集中布局的北环路周边规划面积约1410亩，淮远河、小安溪交汇处区域规划面积约2060亩。其中约650亩符合城市总规，剩余部分作为远景用地进行控制。</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拟建项目位于</w:t>
            </w:r>
            <w:r>
              <w:rPr>
                <w:rFonts w:hint="default" w:ascii="Times New Roman" w:hAnsi="Times New Roman" w:cs="Times New Roman"/>
                <w:bCs/>
                <w:color w:val="auto"/>
                <w:sz w:val="21"/>
                <w:szCs w:val="21"/>
                <w:lang w:eastAsia="zh-CN"/>
              </w:rPr>
              <w:t>重庆市铜梁区蒲吕街道产业大道55号附27号</w:t>
            </w:r>
            <w:r>
              <w:rPr>
                <w:rFonts w:hint="default" w:ascii="Times New Roman" w:hAnsi="Times New Roman" w:eastAsia="宋体" w:cs="Times New Roman"/>
                <w:color w:val="auto"/>
                <w:spacing w:val="4"/>
                <w:kern w:val="18"/>
                <w:sz w:val="21"/>
                <w:szCs w:val="21"/>
              </w:rPr>
              <w:t>，所在地位于铜梁高新区蒲吕片区，</w:t>
            </w:r>
            <w:r>
              <w:rPr>
                <w:rFonts w:hint="default" w:ascii="Times New Roman" w:hAnsi="Times New Roman" w:eastAsia="宋体" w:cs="Times New Roman"/>
                <w:color w:val="auto"/>
                <w:spacing w:val="4"/>
                <w:kern w:val="18"/>
                <w:sz w:val="21"/>
                <w:szCs w:val="21"/>
                <w:lang w:val="en-US" w:eastAsia="zh-CN"/>
              </w:rPr>
              <w:t>本</w:t>
            </w:r>
            <w:r>
              <w:rPr>
                <w:rFonts w:hint="default" w:ascii="Times New Roman" w:hAnsi="Times New Roman" w:eastAsia="宋体" w:cs="Times New Roman"/>
                <w:color w:val="auto"/>
                <w:spacing w:val="4"/>
                <w:kern w:val="18"/>
                <w:sz w:val="21"/>
                <w:szCs w:val="21"/>
              </w:rPr>
              <w:t>属于</w:t>
            </w:r>
            <w:r>
              <w:rPr>
                <w:rFonts w:hint="default" w:ascii="Times New Roman" w:hAnsi="Times New Roman" w:cs="Times New Roman"/>
                <w:b w:val="0"/>
                <w:bCs w:val="0"/>
                <w:color w:val="auto"/>
                <w:sz w:val="21"/>
                <w:szCs w:val="21"/>
                <w:lang w:eastAsia="zh-CN"/>
              </w:rPr>
              <w:t>摩托车零部件及配件制造</w:t>
            </w:r>
            <w:r>
              <w:rPr>
                <w:rFonts w:hint="default" w:ascii="Times New Roman" w:hAnsi="Times New Roman" w:eastAsia="宋体" w:cs="Times New Roman"/>
                <w:color w:val="auto"/>
                <w:spacing w:val="4"/>
                <w:kern w:val="18"/>
                <w:sz w:val="21"/>
                <w:szCs w:val="21"/>
                <w:lang w:val="en-US" w:eastAsia="zh-CN"/>
              </w:rPr>
              <w:t>项目</w:t>
            </w:r>
            <w:r>
              <w:rPr>
                <w:rFonts w:hint="default" w:ascii="Times New Roman" w:hAnsi="Times New Roman" w:eastAsia="宋体" w:cs="Times New Roman"/>
                <w:color w:val="auto"/>
                <w:spacing w:val="4"/>
                <w:kern w:val="18"/>
                <w:sz w:val="21"/>
                <w:szCs w:val="21"/>
              </w:rPr>
              <w:t>。拟建项目清洁生产水平满足国内清洁生产企业水平，不属于高能耗、高污染和高水耗企业，项目与园区控制行业和禁入行业的产业定位不冲突。同时，拟建项目地块属于工业用地，周边交通方便，基础设施完善，便于企业日常运行，且项目符合《重庆市工业项目环境准入规定（修订）》要求，项目符合用地及园区入园规划要求。</w:t>
            </w:r>
          </w:p>
          <w:p>
            <w:pPr>
              <w:pStyle w:val="23"/>
              <w:widowControl w:val="0"/>
              <w:kinsoku w:val="0"/>
              <w:overflowPunct w:val="0"/>
              <w:autoSpaceDE w:val="0"/>
              <w:autoSpaceDN w:val="0"/>
              <w:adjustRightInd w:val="0"/>
              <w:spacing w:before="0" w:beforeAutospacing="0" w:after="0" w:afterAutospacing="0" w:line="460" w:lineRule="exact"/>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b/>
                <w:bCs/>
                <w:color w:val="auto"/>
                <w:spacing w:val="4"/>
                <w:kern w:val="18"/>
                <w:sz w:val="21"/>
                <w:szCs w:val="21"/>
              </w:rPr>
              <w:t>1</w:t>
            </w:r>
            <w:r>
              <w:rPr>
                <w:rFonts w:hint="eastAsia" w:ascii="Times New Roman" w:hAnsi="Times New Roman" w:cs="Times New Roman"/>
                <w:b/>
                <w:bCs/>
                <w:color w:val="auto"/>
                <w:spacing w:val="4"/>
                <w:kern w:val="18"/>
                <w:sz w:val="21"/>
                <w:szCs w:val="21"/>
                <w:lang w:val="en-US" w:eastAsia="zh-CN"/>
              </w:rPr>
              <w:t>.</w:t>
            </w:r>
            <w:r>
              <w:rPr>
                <w:rFonts w:hint="default" w:ascii="Times New Roman" w:hAnsi="Times New Roman" w:eastAsia="宋体" w:cs="Times New Roman"/>
                <w:b/>
                <w:bCs/>
                <w:color w:val="auto"/>
                <w:spacing w:val="4"/>
                <w:kern w:val="18"/>
                <w:sz w:val="21"/>
                <w:szCs w:val="21"/>
              </w:rPr>
              <w:t>2与《重庆铜梁高新区铜梁片区及全蒲片区规划环境影响跟踪评价报告书》结论符合性分析</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根据《重庆铜梁高新区铜梁片区及全蒲片区规划环境影响跟踪评价报告书》中可知，铜梁片区包含白土坝、姜家岩及蒲吕区域的原蒲吕工业园部分。全蒲片区包含蒲吕区域的全蒲部分。拟建项目所在的铜梁高新区蒲吕片区规划面积约7.5平方公里，已建成面积约3平方公里，主要集中发展电子信息、装备制造、新材料类企业。</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全蒲片区包含蒲吕区域限制羽绒、食品行业的发展，不再新引进该类产业企业，待区域内淮远河、小安溪流域水体得到有效改善的情况下，可予以适当引进。禁止发展装备制造、汽摩业产业链上游的冶炼等产业和印染业、原料药业、医药中间体等污染较重、耗水大和其它不符合国家产业政策的项目进入，以保证铜梁工业园区的可持续发展。</w:t>
            </w:r>
          </w:p>
          <w:p>
            <w:pPr>
              <w:pStyle w:val="23"/>
              <w:widowControl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拟建项目属于</w:t>
            </w:r>
            <w:r>
              <w:rPr>
                <w:rFonts w:hint="default" w:ascii="Times New Roman" w:hAnsi="Times New Roman" w:cs="Times New Roman"/>
                <w:b w:val="0"/>
                <w:bCs w:val="0"/>
                <w:color w:val="auto"/>
                <w:sz w:val="21"/>
                <w:szCs w:val="21"/>
                <w:lang w:eastAsia="zh-CN"/>
              </w:rPr>
              <w:t>摩托车零部件及配件制造</w:t>
            </w:r>
            <w:r>
              <w:rPr>
                <w:rFonts w:hint="default" w:ascii="Times New Roman" w:hAnsi="Times New Roman" w:eastAsia="宋体" w:cs="Times New Roman"/>
                <w:color w:val="auto"/>
                <w:spacing w:val="4"/>
                <w:kern w:val="18"/>
                <w:sz w:val="21"/>
                <w:szCs w:val="21"/>
              </w:rPr>
              <w:t>，不属于限制、禁止类项目，属于允许入驻类项目，</w:t>
            </w:r>
            <w:r>
              <w:rPr>
                <w:rFonts w:hint="eastAsia" w:ascii="Times New Roman" w:hAnsi="Times New Roman" w:cs="Times New Roman"/>
                <w:color w:val="auto"/>
                <w:spacing w:val="4"/>
                <w:kern w:val="18"/>
                <w:sz w:val="21"/>
                <w:szCs w:val="21"/>
                <w:lang w:val="en-US" w:eastAsia="zh-CN"/>
              </w:rPr>
              <w:t>符合</w:t>
            </w:r>
            <w:r>
              <w:rPr>
                <w:rFonts w:hint="default" w:ascii="Times New Roman" w:hAnsi="Times New Roman" w:eastAsia="宋体" w:cs="Times New Roman"/>
                <w:color w:val="auto"/>
                <w:spacing w:val="4"/>
                <w:kern w:val="18"/>
                <w:sz w:val="21"/>
                <w:szCs w:val="21"/>
              </w:rPr>
              <w:t>铜梁全蒲片区规划及入园要求。</w:t>
            </w:r>
          </w:p>
          <w:p>
            <w:pPr>
              <w:pStyle w:val="23"/>
              <w:widowControl w:val="0"/>
              <w:kinsoku w:val="0"/>
              <w:overflowPunct w:val="0"/>
              <w:autoSpaceDE w:val="0"/>
              <w:autoSpaceDN w:val="0"/>
              <w:adjustRightInd w:val="0"/>
              <w:spacing w:before="0" w:beforeAutospacing="0" w:after="0" w:afterAutospacing="0" w:line="460" w:lineRule="exact"/>
              <w:rPr>
                <w:rFonts w:hint="default" w:ascii="Times New Roman" w:hAnsi="Times New Roman" w:eastAsia="宋体" w:cs="Times New Roman"/>
                <w:b/>
                <w:bCs/>
                <w:color w:val="auto"/>
                <w:spacing w:val="4"/>
                <w:kern w:val="18"/>
                <w:sz w:val="21"/>
                <w:szCs w:val="21"/>
              </w:rPr>
            </w:pPr>
            <w:r>
              <w:rPr>
                <w:rFonts w:hint="default" w:ascii="Times New Roman" w:hAnsi="Times New Roman" w:eastAsia="宋体" w:cs="Times New Roman"/>
                <w:b/>
                <w:bCs/>
                <w:color w:val="auto"/>
                <w:spacing w:val="4"/>
                <w:kern w:val="18"/>
                <w:sz w:val="21"/>
                <w:szCs w:val="21"/>
              </w:rPr>
              <w:t>1</w:t>
            </w:r>
            <w:r>
              <w:rPr>
                <w:rFonts w:hint="eastAsia" w:ascii="Times New Roman" w:hAnsi="Times New Roman" w:cs="Times New Roman"/>
                <w:b/>
                <w:bCs/>
                <w:color w:val="auto"/>
                <w:spacing w:val="4"/>
                <w:kern w:val="18"/>
                <w:sz w:val="21"/>
                <w:szCs w:val="21"/>
                <w:lang w:val="en-US" w:eastAsia="zh-CN"/>
              </w:rPr>
              <w:t>.</w:t>
            </w:r>
            <w:r>
              <w:rPr>
                <w:rFonts w:hint="default" w:ascii="Times New Roman" w:hAnsi="Times New Roman" w:eastAsia="宋体" w:cs="Times New Roman"/>
                <w:b/>
                <w:bCs/>
                <w:color w:val="auto"/>
                <w:spacing w:val="4"/>
                <w:kern w:val="18"/>
                <w:sz w:val="21"/>
                <w:szCs w:val="21"/>
              </w:rPr>
              <w:t>3项目与《重庆市生态环境局关于重庆市铜梁高新区铜梁片区及全蒲片区规划环境影响跟踪评价报告书审查意见的函》（渝环函</w:t>
            </w:r>
            <w:r>
              <w:rPr>
                <w:rFonts w:hint="eastAsia" w:ascii="Times New Roman" w:hAnsi="Times New Roman" w:cs="Times New Roman"/>
                <w:b/>
                <w:bCs/>
                <w:color w:val="auto"/>
                <w:spacing w:val="4"/>
                <w:kern w:val="18"/>
                <w:sz w:val="21"/>
                <w:szCs w:val="21"/>
                <w:lang w:eastAsia="zh-CN"/>
              </w:rPr>
              <w:t>〔</w:t>
            </w:r>
            <w:r>
              <w:rPr>
                <w:rFonts w:hint="default" w:ascii="Times New Roman" w:hAnsi="Times New Roman" w:eastAsia="宋体" w:cs="Times New Roman"/>
                <w:b/>
                <w:bCs/>
                <w:color w:val="auto"/>
                <w:spacing w:val="4"/>
                <w:kern w:val="18"/>
                <w:sz w:val="21"/>
                <w:szCs w:val="21"/>
              </w:rPr>
              <w:t>2019</w:t>
            </w:r>
            <w:r>
              <w:rPr>
                <w:rFonts w:hint="eastAsia" w:ascii="Times New Roman" w:hAnsi="Times New Roman" w:cs="Times New Roman"/>
                <w:b/>
                <w:bCs/>
                <w:color w:val="auto"/>
                <w:spacing w:val="4"/>
                <w:kern w:val="18"/>
                <w:sz w:val="21"/>
                <w:szCs w:val="21"/>
                <w:lang w:eastAsia="zh-CN"/>
              </w:rPr>
              <w:t>〕</w:t>
            </w:r>
            <w:r>
              <w:rPr>
                <w:rFonts w:hint="default" w:ascii="Times New Roman" w:hAnsi="Times New Roman" w:eastAsia="宋体" w:cs="Times New Roman"/>
                <w:b/>
                <w:bCs/>
                <w:color w:val="auto"/>
                <w:spacing w:val="4"/>
                <w:kern w:val="18"/>
                <w:sz w:val="21"/>
                <w:szCs w:val="21"/>
              </w:rPr>
              <w:t>94号）的符合性分析</w:t>
            </w:r>
          </w:p>
          <w:p>
            <w:pPr>
              <w:pStyle w:val="23"/>
              <w:widowControl w:val="0"/>
              <w:kinsoku w:val="0"/>
              <w:overflowPunct w:val="0"/>
              <w:autoSpaceDE w:val="0"/>
              <w:autoSpaceDN w:val="0"/>
              <w:adjustRightInd w:val="0"/>
              <w:spacing w:before="0" w:beforeAutospacing="0" w:after="0" w:afterAutospacing="0" w:line="460" w:lineRule="exact"/>
              <w:ind w:firstLine="436" w:firstLineChars="200"/>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color w:val="auto"/>
                <w:spacing w:val="4"/>
                <w:kern w:val="18"/>
                <w:sz w:val="21"/>
                <w:szCs w:val="21"/>
              </w:rPr>
              <w:t>拟建项目与规划环评审查意见（渝环函</w:t>
            </w:r>
            <w:r>
              <w:rPr>
                <w:rFonts w:hint="eastAsia" w:ascii="Times New Roman" w:hAnsi="Times New Roman" w:cs="Times New Roman"/>
                <w:color w:val="auto"/>
                <w:spacing w:val="4"/>
                <w:kern w:val="18"/>
                <w:sz w:val="21"/>
                <w:szCs w:val="21"/>
                <w:lang w:eastAsia="zh-CN"/>
              </w:rPr>
              <w:t>〔</w:t>
            </w:r>
            <w:r>
              <w:rPr>
                <w:rFonts w:hint="default" w:ascii="Times New Roman" w:hAnsi="Times New Roman" w:eastAsia="宋体" w:cs="Times New Roman"/>
                <w:color w:val="auto"/>
                <w:spacing w:val="4"/>
                <w:kern w:val="18"/>
                <w:sz w:val="21"/>
                <w:szCs w:val="21"/>
              </w:rPr>
              <w:t>2019</w:t>
            </w:r>
            <w:r>
              <w:rPr>
                <w:rFonts w:hint="eastAsia" w:ascii="Times New Roman" w:hAnsi="Times New Roman" w:cs="Times New Roman"/>
                <w:color w:val="auto"/>
                <w:spacing w:val="4"/>
                <w:kern w:val="18"/>
                <w:sz w:val="21"/>
                <w:szCs w:val="21"/>
                <w:lang w:eastAsia="zh-CN"/>
              </w:rPr>
              <w:t>〕</w:t>
            </w:r>
            <w:r>
              <w:rPr>
                <w:rFonts w:hint="default" w:ascii="Times New Roman" w:hAnsi="Times New Roman" w:eastAsia="宋体" w:cs="Times New Roman"/>
                <w:color w:val="auto"/>
                <w:spacing w:val="4"/>
                <w:kern w:val="18"/>
                <w:sz w:val="21"/>
                <w:szCs w:val="21"/>
              </w:rPr>
              <w:t>94号）符合性分析见下表。</w:t>
            </w:r>
          </w:p>
          <w:p>
            <w:pPr>
              <w:pStyle w:val="23"/>
              <w:widowControl w:val="0"/>
              <w:kinsoku w:val="0"/>
              <w:overflowPunct w:val="0"/>
              <w:autoSpaceDE w:val="0"/>
              <w:autoSpaceDN w:val="0"/>
              <w:adjustRightInd w:val="0"/>
              <w:spacing w:before="0" w:beforeAutospacing="0" w:after="0" w:afterAutospacing="0" w:line="460" w:lineRule="exact"/>
              <w:jc w:val="center"/>
              <w:rPr>
                <w:rFonts w:hint="default" w:ascii="Times New Roman" w:hAnsi="Times New Roman" w:eastAsia="宋体" w:cs="Times New Roman"/>
                <w:color w:val="auto"/>
                <w:spacing w:val="4"/>
                <w:kern w:val="18"/>
                <w:sz w:val="21"/>
                <w:szCs w:val="21"/>
              </w:rPr>
            </w:pPr>
            <w:r>
              <w:rPr>
                <w:rFonts w:hint="default" w:ascii="Times New Roman" w:hAnsi="Times New Roman" w:eastAsia="宋体" w:cs="Times New Roman"/>
                <w:b/>
                <w:bCs/>
                <w:color w:val="auto"/>
                <w:spacing w:val="4"/>
                <w:kern w:val="18"/>
                <w:sz w:val="21"/>
                <w:szCs w:val="21"/>
              </w:rPr>
              <w:t>表1-</w:t>
            </w:r>
            <w:r>
              <w:rPr>
                <w:rFonts w:hint="eastAsia" w:ascii="Times New Roman" w:hAnsi="Times New Roman" w:cs="Times New Roman"/>
                <w:b/>
                <w:bCs/>
                <w:color w:val="auto"/>
                <w:spacing w:val="4"/>
                <w:kern w:val="18"/>
                <w:sz w:val="21"/>
                <w:szCs w:val="21"/>
                <w:lang w:val="en-US" w:eastAsia="zh-CN"/>
              </w:rPr>
              <w:t>1</w:t>
            </w:r>
            <w:r>
              <w:rPr>
                <w:rFonts w:hint="default" w:ascii="Times New Roman" w:hAnsi="Times New Roman" w:eastAsia="宋体" w:cs="Times New Roman"/>
                <w:b/>
                <w:bCs/>
                <w:color w:val="auto"/>
                <w:spacing w:val="4"/>
                <w:kern w:val="18"/>
                <w:sz w:val="21"/>
                <w:szCs w:val="21"/>
              </w:rPr>
              <w:t xml:space="preserve">  项目与规划环评审查意见符合性分析一览表</w:t>
            </w:r>
          </w:p>
          <w:tbl>
            <w:tblPr>
              <w:tblStyle w:val="27"/>
              <w:tblW w:w="5000" w:type="pct"/>
              <w:tblInd w:w="1"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064"/>
              <w:gridCol w:w="6414"/>
              <w:gridCol w:w="3380"/>
              <w:gridCol w:w="1060"/>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446" w:type="pct"/>
                  <w:tcBorders>
                    <w:top w:val="single" w:color="000000" w:sz="2" w:space="0"/>
                    <w:left w:val="single" w:color="000000" w:sz="2"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691" w:type="pct"/>
                  <w:tcBorders>
                    <w:top w:val="single" w:color="000000" w:sz="2"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环境准入条件</w:t>
                  </w:r>
                </w:p>
              </w:tc>
              <w:tc>
                <w:tcPr>
                  <w:tcW w:w="1418" w:type="pct"/>
                  <w:tcBorders>
                    <w:top w:val="single" w:color="000000" w:sz="2"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项目的准入条件分析</w:t>
                  </w:r>
                </w:p>
              </w:tc>
              <w:tc>
                <w:tcPr>
                  <w:tcW w:w="445" w:type="pct"/>
                  <w:tcBorders>
                    <w:top w:val="single" w:color="000000" w:sz="2" w:space="0"/>
                    <w:left w:val="single" w:color="000000" w:sz="6" w:space="0"/>
                    <w:bottom w:val="single" w:color="000000" w:sz="6" w:space="0"/>
                    <w:right w:val="single" w:color="000000" w:sz="2" w:space="0"/>
                  </w:tcBorders>
                  <w:noWrap w:val="0"/>
                  <w:vAlign w:val="center"/>
                </w:tcPr>
                <w:p>
                  <w:pPr>
                    <w:pStyle w:val="48"/>
                    <w:ind w:left="-105" w:leftChars="-50" w:right="-105" w:rightChars="-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46" w:type="pct"/>
                  <w:tcBorders>
                    <w:top w:val="single" w:color="000000" w:sz="6" w:space="0"/>
                    <w:left w:val="single" w:color="000000" w:sz="2"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严格建设项目环境准入</w:t>
                  </w:r>
                </w:p>
              </w:tc>
              <w:tc>
                <w:tcPr>
                  <w:tcW w:w="2691" w:type="pct"/>
                  <w:tcBorders>
                    <w:top w:val="single" w:color="000000" w:sz="6" w:space="0"/>
                    <w:left w:val="single" w:color="000000" w:sz="6" w:space="0"/>
                    <w:bottom w:val="single" w:color="000000" w:sz="6" w:space="0"/>
                    <w:right w:val="single" w:color="000000" w:sz="6" w:space="0"/>
                  </w:tcBorders>
                  <w:noWrap w:val="0"/>
                  <w:vAlign w:val="center"/>
                </w:tcPr>
                <w:p>
                  <w:pPr>
                    <w:pStyle w:val="48"/>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应不断优化产业发展方向，按照报告书提出的“三线一单”管理要求，以资源利用上线、环境质量底线为约束，严格建设项目环境准入，入驻工业企业应满足《重庆市工业项目环境准入规定（修订）》《报告书》确定的环境准入清单要求，禁止发展印染，化学合成药类等重污染企业，限制引进食品发酵业等耗水量大、水污染物排放强度高的项目。</w:t>
                  </w:r>
                </w:p>
              </w:tc>
              <w:tc>
                <w:tcPr>
                  <w:tcW w:w="1418" w:type="pct"/>
                  <w:tcBorders>
                    <w:top w:val="single" w:color="000000" w:sz="6" w:space="0"/>
                    <w:left w:val="single" w:color="000000" w:sz="6" w:space="0"/>
                    <w:bottom w:val="single" w:color="000000" w:sz="6" w:space="0"/>
                    <w:right w:val="single" w:color="000000" w:sz="6" w:space="0"/>
                  </w:tcBorders>
                  <w:noWrap w:val="0"/>
                  <w:vAlign w:val="center"/>
                </w:tcPr>
                <w:p>
                  <w:pPr>
                    <w:pStyle w:val="4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满足《重庆市产业投资准入工作手册》，符合园区环境准入清单要求，不属于印染、化学合成药类等重污染企业，不属于食品发酵业等耗水量大、水污染物排放强度高的项目。</w:t>
                  </w:r>
                </w:p>
              </w:tc>
              <w:tc>
                <w:tcPr>
                  <w:tcW w:w="445" w:type="pct"/>
                  <w:tcBorders>
                    <w:top w:val="single" w:color="000000" w:sz="6" w:space="0"/>
                    <w:left w:val="single" w:color="000000" w:sz="6" w:space="0"/>
                    <w:bottom w:val="single" w:color="000000" w:sz="6"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46" w:type="pct"/>
                  <w:tcBorders>
                    <w:top w:val="single" w:color="000000" w:sz="6" w:space="0"/>
                    <w:left w:val="single" w:color="000000" w:sz="2"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强化生态空间管控和景观优化</w:t>
                  </w:r>
                </w:p>
              </w:tc>
              <w:tc>
                <w:tcPr>
                  <w:tcW w:w="2691" w:type="pct"/>
                  <w:tcBorders>
                    <w:top w:val="single" w:color="000000" w:sz="6" w:space="0"/>
                    <w:left w:val="single" w:color="000000" w:sz="6" w:space="0"/>
                    <w:bottom w:val="single" w:color="000000" w:sz="6" w:space="0"/>
                    <w:right w:val="single" w:color="000000" w:sz="6" w:space="0"/>
                  </w:tcBorders>
                  <w:noWrap w:val="0"/>
                  <w:vAlign w:val="center"/>
                </w:tcPr>
                <w:p>
                  <w:pPr>
                    <w:pStyle w:val="48"/>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内淮远河、小安溪等河流两岸以及拦河堰水库、生基嘴水库库岸应设置一定宽度的绿化缓冲带，绿化缓冲带要保持原有的状况和自然形态，原则上应为绿地，除护岸工程及必要的市政设施外，禁止修建任何建筑物和构筑物。规划区要优化区域内的工业景观设计和建设，调整不和谐的建筑因素，按国务院实现全域旅游景观的原则要求，逐步调整工业园区与城市的景观和谐、自然，达到园区工业景观的“产业美”目标。规划区后续涉及环境防护距离的工业企业或项目，应通过选址或调整布局严格控制环境防护距离。结合铜梁区工业发展规划，白土坝片区采取“腾笼换鸟”的方式，发展以物流、生产资料交易为主的生产性服务业，将片区内不符合产业规划、排污量大企业逐步迁出片区。</w:t>
                  </w:r>
                </w:p>
              </w:tc>
              <w:tc>
                <w:tcPr>
                  <w:tcW w:w="1418" w:type="pct"/>
                  <w:tcBorders>
                    <w:top w:val="single" w:color="000000" w:sz="6"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拟建项目选址位于铜梁高新区铜梁片区（蒲吕片区），符合产业规划。</w:t>
                  </w:r>
                </w:p>
              </w:tc>
              <w:tc>
                <w:tcPr>
                  <w:tcW w:w="445" w:type="pct"/>
                  <w:tcBorders>
                    <w:top w:val="single" w:color="000000" w:sz="6" w:space="0"/>
                    <w:left w:val="single" w:color="000000" w:sz="6" w:space="0"/>
                    <w:bottom w:val="single" w:color="000000" w:sz="6"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46" w:type="pct"/>
                  <w:tcBorders>
                    <w:top w:val="single" w:color="000000" w:sz="6" w:space="0"/>
                    <w:left w:val="single" w:color="000000" w:sz="2"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做好大气污染防治</w:t>
                  </w:r>
                </w:p>
              </w:tc>
              <w:tc>
                <w:tcPr>
                  <w:tcW w:w="2691" w:type="pct"/>
                  <w:tcBorders>
                    <w:top w:val="single" w:color="000000" w:sz="6" w:space="0"/>
                    <w:left w:val="single" w:color="000000" w:sz="6" w:space="0"/>
                    <w:bottom w:val="single" w:color="000000" w:sz="6" w:space="0"/>
                    <w:right w:val="single" w:color="000000" w:sz="6" w:space="0"/>
                  </w:tcBorders>
                  <w:noWrap w:val="0"/>
                  <w:vAlign w:val="center"/>
                </w:tcPr>
                <w:p>
                  <w:pPr>
                    <w:pStyle w:val="48"/>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环境准入。禁止燃煤，鼓励燃气锅炉采用低氮燃烧技术。加强现状企业大气污染治理和监管，各入驻企业采用清洁工艺，采取先进的污染防治措施，确保废气稳定达标排放。排放挥发性有机物的企业应符合《重庆市“十三五”挥发性有机物污染防治工作实施方案》等相关要求。合理布局，产生有毒有害气体、粉尘的项目尽量远离生活配套服务区等集中居住区，尽量降低企业达标扰民的影响。食品加工、生物医药等对环境要求较高企业布局应考虑周边企业污染排放，留足防护距离。</w:t>
                  </w:r>
                </w:p>
              </w:tc>
              <w:tc>
                <w:tcPr>
                  <w:tcW w:w="1418" w:type="pct"/>
                  <w:tcBorders>
                    <w:top w:val="single" w:color="000000" w:sz="6"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w:t>
                  </w:r>
                  <w:r>
                    <w:rPr>
                      <w:rFonts w:hint="eastAsia" w:eastAsia="宋体" w:cs="Times New Roman"/>
                      <w:color w:val="auto"/>
                      <w:sz w:val="21"/>
                      <w:szCs w:val="21"/>
                      <w:lang w:val="en-US" w:eastAsia="zh-CN"/>
                    </w:rPr>
                    <w:t>使用</w:t>
                  </w:r>
                  <w:r>
                    <w:rPr>
                      <w:rFonts w:hint="default" w:ascii="Times New Roman" w:hAnsi="Times New Roman" w:eastAsia="宋体" w:cs="Times New Roman"/>
                      <w:color w:val="auto"/>
                      <w:sz w:val="21"/>
                      <w:szCs w:val="21"/>
                    </w:rPr>
                    <w:t>燃煤，产生的</w:t>
                  </w:r>
                  <w:r>
                    <w:rPr>
                      <w:rFonts w:hint="eastAsia" w:eastAsia="宋体" w:cs="Times New Roman"/>
                      <w:color w:val="auto"/>
                      <w:sz w:val="21"/>
                      <w:szCs w:val="21"/>
                      <w:lang w:val="en-US" w:eastAsia="zh-CN"/>
                    </w:rPr>
                    <w:t>生产</w:t>
                  </w:r>
                  <w:r>
                    <w:rPr>
                      <w:rFonts w:hint="default" w:ascii="Times New Roman" w:hAnsi="Times New Roman" w:eastAsia="宋体" w:cs="Times New Roman"/>
                      <w:color w:val="auto"/>
                      <w:sz w:val="21"/>
                      <w:szCs w:val="21"/>
                    </w:rPr>
                    <w:t>废气采取</w:t>
                  </w:r>
                  <w:r>
                    <w:rPr>
                      <w:rFonts w:hint="default" w:ascii="Times New Roman" w:hAnsi="Times New Roman" w:eastAsia="宋体" w:cs="Times New Roman"/>
                      <w:color w:val="auto"/>
                      <w:sz w:val="21"/>
                      <w:szCs w:val="21"/>
                      <w:lang w:val="en-US" w:eastAsia="zh-CN"/>
                    </w:rPr>
                    <w:t>布袋除尘</w:t>
                  </w:r>
                  <w:r>
                    <w:rPr>
                      <w:rFonts w:hint="eastAsia" w:eastAsia="宋体" w:cs="Times New Roman"/>
                      <w:color w:val="auto"/>
                      <w:sz w:val="21"/>
                      <w:szCs w:val="21"/>
                      <w:lang w:val="en-US" w:eastAsia="zh-CN"/>
                    </w:rPr>
                    <w:t>处理后</w:t>
                  </w:r>
                  <w:r>
                    <w:rPr>
                      <w:rFonts w:hint="default" w:ascii="Times New Roman" w:hAnsi="Times New Roman" w:eastAsia="宋体" w:cs="Times New Roman"/>
                      <w:color w:val="auto"/>
                      <w:sz w:val="21"/>
                      <w:szCs w:val="21"/>
                    </w:rPr>
                    <w:t>可实现达标外排，厂区周边50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m范围内无环境敏感目标分布。</w:t>
                  </w:r>
                </w:p>
              </w:tc>
              <w:tc>
                <w:tcPr>
                  <w:tcW w:w="445" w:type="pct"/>
                  <w:tcBorders>
                    <w:top w:val="single" w:color="000000" w:sz="6" w:space="0"/>
                    <w:left w:val="single" w:color="000000" w:sz="6" w:space="0"/>
                    <w:bottom w:val="single" w:color="000000" w:sz="6"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46" w:type="pct"/>
                  <w:tcBorders>
                    <w:top w:val="single" w:color="000000" w:sz="6" w:space="0"/>
                    <w:left w:val="single" w:color="000000" w:sz="2" w:space="0"/>
                    <w:bottom w:val="single" w:color="000000" w:sz="6" w:space="0"/>
                    <w:right w:val="single" w:color="000000" w:sz="6" w:space="0"/>
                  </w:tcBorders>
                  <w:noWrap w:val="0"/>
                  <w:vAlign w:val="center"/>
                </w:tcPr>
                <w:p>
                  <w:pPr>
                    <w:widowControl/>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做好水环境保护</w:t>
                  </w:r>
                </w:p>
              </w:tc>
              <w:tc>
                <w:tcPr>
                  <w:tcW w:w="2691" w:type="pct"/>
                  <w:tcBorders>
                    <w:top w:val="single" w:color="000000" w:sz="6" w:space="0"/>
                    <w:left w:val="single" w:color="000000" w:sz="6" w:space="0"/>
                    <w:bottom w:val="single" w:color="000000" w:sz="6" w:space="0"/>
                    <w:right w:val="single" w:color="000000" w:sz="6" w:space="0"/>
                  </w:tcBorders>
                  <w:noWrap w:val="0"/>
                  <w:vAlign w:val="center"/>
                </w:tcPr>
                <w:p>
                  <w:pPr>
                    <w:widowControl/>
                    <w:spacing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采取源头控制为主的原则，落实分区、分级防渗措施，防止规划实施对区域地下水环境的污染。</w:t>
                  </w:r>
                  <w:r>
                    <w:rPr>
                      <w:rFonts w:hint="eastAsia" w:cs="Times New Roman"/>
                      <w:color w:val="auto"/>
                      <w:kern w:val="0"/>
                      <w:sz w:val="21"/>
                      <w:szCs w:val="21"/>
                      <w:lang w:eastAsia="zh-CN" w:bidi="ar"/>
                    </w:rPr>
                    <w:t>按</w:t>
                  </w:r>
                  <w:r>
                    <w:rPr>
                      <w:rFonts w:hint="default" w:ascii="Times New Roman" w:hAnsi="Times New Roman" w:eastAsia="宋体" w:cs="Times New Roman"/>
                      <w:color w:val="auto"/>
                      <w:kern w:val="0"/>
                      <w:sz w:val="21"/>
                      <w:szCs w:val="21"/>
                      <w:lang w:bidi="ar"/>
                    </w:rPr>
                    <w:t>监测计划，</w:t>
                  </w:r>
                  <w:r>
                    <w:rPr>
                      <w:rFonts w:hint="eastAsia" w:cs="Times New Roman"/>
                      <w:color w:val="auto"/>
                      <w:kern w:val="0"/>
                      <w:sz w:val="21"/>
                      <w:szCs w:val="21"/>
                      <w:lang w:eastAsia="zh-CN" w:bidi="ar"/>
                    </w:rPr>
                    <w:t>园区</w:t>
                  </w:r>
                  <w:r>
                    <w:rPr>
                      <w:rFonts w:hint="default" w:ascii="Times New Roman" w:hAnsi="Times New Roman" w:eastAsia="宋体" w:cs="Times New Roman"/>
                      <w:color w:val="auto"/>
                      <w:kern w:val="0"/>
                      <w:sz w:val="21"/>
                      <w:szCs w:val="21"/>
                      <w:lang w:bidi="ar"/>
                    </w:rPr>
                    <w:t>应定期开展地下水跟踪监测工作，根据监测结论，督促相关企业完善相应的地下水污染防控措施。</w:t>
                  </w:r>
                </w:p>
              </w:tc>
              <w:tc>
                <w:tcPr>
                  <w:tcW w:w="1418" w:type="pct"/>
                  <w:tcBorders>
                    <w:top w:val="single" w:color="000000" w:sz="6"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拟建项目厂区内采取分区、分级防渗措施，不会对地下水环境造成影响。</w:t>
                  </w:r>
                </w:p>
              </w:tc>
              <w:tc>
                <w:tcPr>
                  <w:tcW w:w="445" w:type="pct"/>
                  <w:tcBorders>
                    <w:top w:val="single" w:color="000000" w:sz="6" w:space="0"/>
                    <w:left w:val="single" w:color="000000" w:sz="6" w:space="0"/>
                    <w:bottom w:val="single" w:color="000000" w:sz="6"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46" w:type="pct"/>
                  <w:tcBorders>
                    <w:top w:val="single" w:color="000000" w:sz="6" w:space="0"/>
                    <w:left w:val="single" w:color="000000" w:sz="2"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强化噪声污染防控</w:t>
                  </w:r>
                </w:p>
              </w:tc>
              <w:tc>
                <w:tcPr>
                  <w:tcW w:w="2691" w:type="pct"/>
                  <w:tcBorders>
                    <w:top w:val="single" w:color="000000" w:sz="6" w:space="0"/>
                    <w:left w:val="single" w:color="000000" w:sz="6" w:space="0"/>
                    <w:bottom w:val="single" w:color="000000" w:sz="6" w:space="0"/>
                    <w:right w:val="single" w:color="000000" w:sz="6" w:space="0"/>
                  </w:tcBorders>
                  <w:noWrap w:val="0"/>
                  <w:vAlign w:val="center"/>
                </w:tcPr>
                <w:p>
                  <w:pPr>
                    <w:pStyle w:val="48"/>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布局企业噪声源，高噪声源企业选址和布局应满足相应的环境防护距离要求，尽量远离居住区；选择低噪声设备，采取消声、隔声、减震等措施，确保厂界噪声达标；合理布局、科学设定建筑物与交通干线的防噪声距离，严格落实规划区内交通主干道两侧的防护绿化带要求。</w:t>
                  </w:r>
                </w:p>
              </w:tc>
              <w:tc>
                <w:tcPr>
                  <w:tcW w:w="1418" w:type="pct"/>
                  <w:tcBorders>
                    <w:top w:val="single" w:color="000000" w:sz="6"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项目运营期通过采取合理布局、加装减振基座、厂区绿化布置等降噪措施后，厂界噪声可实现达标外排。</w:t>
                  </w:r>
                </w:p>
              </w:tc>
              <w:tc>
                <w:tcPr>
                  <w:tcW w:w="445" w:type="pct"/>
                  <w:tcBorders>
                    <w:top w:val="single" w:color="000000" w:sz="6" w:space="0"/>
                    <w:left w:val="single" w:color="000000" w:sz="6" w:space="0"/>
                    <w:bottom w:val="single" w:color="000000" w:sz="6"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46" w:type="pct"/>
                  <w:tcBorders>
                    <w:top w:val="single" w:color="000000" w:sz="6" w:space="0"/>
                    <w:left w:val="single" w:color="000000" w:sz="2"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做好土壤和固体废物污染防控</w:t>
                  </w:r>
                </w:p>
              </w:tc>
              <w:tc>
                <w:tcPr>
                  <w:tcW w:w="2691" w:type="pct"/>
                  <w:tcBorders>
                    <w:top w:val="single" w:color="000000" w:sz="6" w:space="0"/>
                    <w:left w:val="single" w:color="000000" w:sz="6" w:space="0"/>
                    <w:bottom w:val="single" w:color="000000" w:sz="6" w:space="0"/>
                    <w:right w:val="single" w:color="000000" w:sz="6" w:space="0"/>
                  </w:tcBorders>
                  <w:noWrap w:val="0"/>
                  <w:vAlign w:val="center"/>
                </w:tcPr>
                <w:p>
                  <w:pPr>
                    <w:pStyle w:val="48"/>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应按相关要求进行妥善收集、处理。加强一般工业固体废物综合利用和处置；危险废物交有相应危险废物处理资质的单位进行处置；生活垃圾经收集后由环卫部门统一清运处置。严格执行土壤风险评估和污染土壤修复制度，对疑似污染地块开展调查评估，建立污染地块名录及其开发利用负面清单，土地开发利用必须满足规划用地土壤环境质量要求。</w:t>
                  </w:r>
                </w:p>
              </w:tc>
              <w:tc>
                <w:tcPr>
                  <w:tcW w:w="1418" w:type="pct"/>
                  <w:tcBorders>
                    <w:top w:val="single" w:color="000000" w:sz="6" w:space="0"/>
                    <w:left w:val="single" w:color="000000" w:sz="6" w:space="0"/>
                    <w:bottom w:val="single" w:color="000000" w:sz="6"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项目运营期按固废性质进行分类收集处置，不会对外环境造成二次污染。</w:t>
                  </w:r>
                </w:p>
              </w:tc>
              <w:tc>
                <w:tcPr>
                  <w:tcW w:w="445" w:type="pct"/>
                  <w:tcBorders>
                    <w:top w:val="single" w:color="000000" w:sz="6" w:space="0"/>
                    <w:left w:val="single" w:color="000000" w:sz="6" w:space="0"/>
                    <w:bottom w:val="single" w:color="000000" w:sz="6"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46" w:type="pct"/>
                  <w:tcBorders>
                    <w:top w:val="single" w:color="000000" w:sz="6" w:space="0"/>
                    <w:left w:val="single" w:color="000000" w:sz="2" w:space="0"/>
                    <w:bottom w:val="single" w:color="000000" w:sz="2"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强化环境风险管控</w:t>
                  </w:r>
                </w:p>
              </w:tc>
              <w:tc>
                <w:tcPr>
                  <w:tcW w:w="2691" w:type="pct"/>
                  <w:tcBorders>
                    <w:top w:val="single" w:color="000000" w:sz="6" w:space="0"/>
                    <w:left w:val="single" w:color="000000" w:sz="6" w:space="0"/>
                    <w:bottom w:val="single" w:color="000000" w:sz="2" w:space="0"/>
                    <w:right w:val="single" w:color="000000" w:sz="6" w:space="0"/>
                  </w:tcBorders>
                  <w:noWrap w:val="0"/>
                  <w:vAlign w:val="center"/>
                </w:tcPr>
                <w:p>
                  <w:pPr>
                    <w:pStyle w:val="48"/>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和应急处置是确保环境安全的重要工作内容，园区应在现有基础上完善环境风险防范体系建设，相关企业尤其是涉及危化品的企业应严格落实各项环境风险防范措施，防范突发性环境风险事故发生。完善环境污染事故应急预案，配备相应风险防范应急物资，定期做好应急演练，完善园区三级风险防范体系，保障环境安全。</w:t>
                  </w:r>
                </w:p>
              </w:tc>
              <w:tc>
                <w:tcPr>
                  <w:tcW w:w="1418" w:type="pct"/>
                  <w:tcBorders>
                    <w:top w:val="single" w:color="000000" w:sz="6" w:space="0"/>
                    <w:left w:val="single" w:color="000000" w:sz="6" w:space="0"/>
                    <w:bottom w:val="single" w:color="000000" w:sz="2" w:space="0"/>
                    <w:right w:val="single" w:color="000000" w:sz="6"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项目实施后应按照相关要求开展突发环境风险事件应急预案工作，并落实环境风险防范措施。</w:t>
                  </w:r>
                </w:p>
              </w:tc>
              <w:tc>
                <w:tcPr>
                  <w:tcW w:w="445" w:type="pct"/>
                  <w:tcBorders>
                    <w:top w:val="single" w:color="000000" w:sz="6" w:space="0"/>
                    <w:left w:val="single" w:color="000000" w:sz="6" w:space="0"/>
                    <w:bottom w:val="single" w:color="000000" w:sz="2" w:space="0"/>
                    <w:right w:val="single" w:color="000000" w:sz="2" w:space="0"/>
                  </w:tcBorders>
                  <w:noWrap w:val="0"/>
                  <w:vAlign w:val="center"/>
                </w:tcPr>
                <w:p>
                  <w:pPr>
                    <w:pStyle w:val="4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36" w:firstLineChars="200"/>
              <w:jc w:val="left"/>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4"/>
                <w:kern w:val="18"/>
                <w:sz w:val="21"/>
                <w:szCs w:val="21"/>
              </w:rPr>
              <w:t>综上，拟建项目属于</w:t>
            </w:r>
            <w:r>
              <w:rPr>
                <w:rFonts w:hint="default" w:ascii="Times New Roman" w:hAnsi="Times New Roman" w:cs="Times New Roman"/>
                <w:b w:val="0"/>
                <w:bCs w:val="0"/>
                <w:color w:val="auto"/>
                <w:sz w:val="21"/>
                <w:szCs w:val="21"/>
                <w:lang w:eastAsia="zh-CN"/>
              </w:rPr>
              <w:t>摩托车零部件及配件制造</w:t>
            </w:r>
            <w:r>
              <w:rPr>
                <w:rFonts w:hint="default" w:ascii="Times New Roman" w:hAnsi="Times New Roman" w:eastAsia="宋体" w:cs="Times New Roman"/>
                <w:color w:val="auto"/>
                <w:spacing w:val="4"/>
                <w:kern w:val="18"/>
                <w:sz w:val="21"/>
                <w:szCs w:val="21"/>
              </w:rPr>
              <w:t>企业，符合园区主导产业。项目生产过程中产生废气、废水、噪声及固废均采取有效措施治理后实现达标排放，属于低能耗、低污染类项目，且工艺先进，对厂区周边的环境影响较小，符合《重庆铜梁高新区铜梁片区及全蒲片区规划环境影响跟踪评价报告书审查意见函（渝环函〔2019〕94号）》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88" w:hRule="atLeast"/>
          <w:jc w:val="center"/>
        </w:trPr>
        <w:tc>
          <w:tcPr>
            <w:tcW w:w="1117"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sz w:val="21"/>
              </w:rPr>
              <w:t>其他符合性分析</w:t>
            </w:r>
          </w:p>
        </w:tc>
        <w:tc>
          <w:tcPr>
            <w:tcW w:w="12140" w:type="dxa"/>
            <w:noWrap w:val="0"/>
            <w:vAlign w:val="top"/>
          </w:tcPr>
          <w:p>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1.</w:t>
            </w:r>
            <w:r>
              <w:rPr>
                <w:rFonts w:hint="eastAsia" w:cs="Times New Roman"/>
                <w:b/>
                <w:bCs/>
                <w:color w:val="auto"/>
                <w:szCs w:val="21"/>
                <w:lang w:val="en-US" w:eastAsia="zh-CN"/>
              </w:rPr>
              <w:t>4</w:t>
            </w:r>
            <w:r>
              <w:rPr>
                <w:rFonts w:hint="default" w:ascii="Times New Roman" w:hAnsi="Times New Roman" w:eastAsia="宋体" w:cs="Times New Roman"/>
                <w:b/>
                <w:bCs/>
                <w:color w:val="auto"/>
                <w:szCs w:val="21"/>
                <w:lang w:eastAsia="zh-CN"/>
              </w:rPr>
              <w:t>与</w:t>
            </w:r>
            <w:r>
              <w:rPr>
                <w:rFonts w:hint="default" w:ascii="Times New Roman" w:hAnsi="Times New Roman" w:eastAsia="宋体" w:cs="Times New Roman"/>
                <w:b/>
                <w:bCs/>
                <w:color w:val="auto"/>
                <w:kern w:val="0"/>
                <w:sz w:val="21"/>
                <w:szCs w:val="21"/>
                <w:lang w:val="en-US" w:eastAsia="zh-CN" w:bidi="ar-SA"/>
              </w:rPr>
              <w:t>“三线一单”管控要求的符合性分析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本项目位于重庆市铜梁区蒲吕街道产业大道55号附27号，属于铜梁区重点管控单元-</w:t>
            </w:r>
            <w:r>
              <w:rPr>
                <w:rFonts w:hint="eastAsia" w:ascii="Times New Roman" w:hAnsi="Times New Roman" w:cs="Times New Roman"/>
                <w:color w:val="auto"/>
                <w:sz w:val="24"/>
                <w:szCs w:val="24"/>
              </w:rPr>
              <w:t>小安溪段家塘</w:t>
            </w:r>
            <w:r>
              <w:rPr>
                <w:rFonts w:ascii="Times New Roman" w:hAnsi="Times New Roman" w:cs="Times New Roman"/>
                <w:color w:val="auto"/>
                <w:sz w:val="24"/>
                <w:szCs w:val="24"/>
              </w:rPr>
              <w:t>（环境管控单元编码：</w:t>
            </w:r>
            <w:r>
              <w:rPr>
                <w:rFonts w:hint="eastAsia" w:ascii="Times New Roman" w:hAnsi="Times New Roman" w:cs="Times New Roman"/>
                <w:color w:val="auto"/>
                <w:sz w:val="24"/>
                <w:szCs w:val="24"/>
              </w:rPr>
              <w:t>ZH50015120001</w:t>
            </w:r>
            <w:r>
              <w:rPr>
                <w:rFonts w:ascii="Times New Roman" w:hAnsi="Times New Roman" w:cs="Times New Roman"/>
                <w:color w:val="auto"/>
                <w:sz w:val="24"/>
                <w:szCs w:val="24"/>
              </w:rPr>
              <w:t>）</w:t>
            </w:r>
            <w:r>
              <w:rPr>
                <w:rFonts w:hint="default" w:ascii="Times New Roman" w:hAnsi="Times New Roman" w:cs="Times New Roman"/>
                <w:bCs/>
                <w:color w:val="auto"/>
                <w:kern w:val="0"/>
                <w:sz w:val="24"/>
              </w:rPr>
              <w:t>，按照《建设项目环评“三线一单”符合性分析技术要点（试行）》（渝环函〔2022〕397号），并结合重庆市“三线一单”智检服务进行分析，本项目与“三线一单”的符合性分析见表1.</w:t>
            </w:r>
            <w:r>
              <w:rPr>
                <w:rFonts w:hint="eastAsia" w:cs="Times New Roman"/>
                <w:bCs/>
                <w:color w:val="auto"/>
                <w:kern w:val="0"/>
                <w:sz w:val="24"/>
                <w:lang w:val="en-US" w:eastAsia="zh-CN"/>
              </w:rPr>
              <w:t>2</w:t>
            </w:r>
            <w:r>
              <w:rPr>
                <w:rFonts w:hint="default" w:ascii="Times New Roman" w:hAnsi="Times New Roman" w:cs="Times New Roman"/>
                <w:bCs/>
                <w:color w:val="auto"/>
                <w:kern w:val="0"/>
                <w:sz w:val="24"/>
              </w:rPr>
              <w:t>。</w:t>
            </w:r>
          </w:p>
          <w:p>
            <w:pPr>
              <w:ind w:firstLine="422" w:firstLineChars="20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2</w:t>
            </w:r>
            <w:r>
              <w:rPr>
                <w:rFonts w:hint="default"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cs="Times New Roman"/>
                <w:b/>
                <w:bCs/>
                <w:color w:val="auto"/>
                <w:kern w:val="0"/>
                <w:sz w:val="21"/>
                <w:szCs w:val="21"/>
                <w:lang w:val="en-US" w:eastAsia="zh-CN" w:bidi="ar-SA"/>
              </w:rPr>
              <w:t>本</w:t>
            </w:r>
            <w:r>
              <w:rPr>
                <w:rFonts w:hint="default" w:ascii="Times New Roman" w:hAnsi="Times New Roman" w:eastAsia="宋体" w:cs="Times New Roman"/>
                <w:b/>
                <w:bCs/>
                <w:color w:val="auto"/>
                <w:kern w:val="0"/>
                <w:sz w:val="21"/>
                <w:szCs w:val="21"/>
                <w:lang w:val="en-US" w:eastAsia="zh-CN" w:bidi="ar-SA"/>
              </w:rPr>
              <w:t>项目与“三线一单”管控要求的符合性分析表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001"/>
              <w:gridCol w:w="6648"/>
              <w:gridCol w:w="2510"/>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gridSpan w:val="2"/>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环境管控单元编码</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环境管控单元名称</w:t>
                  </w:r>
                </w:p>
              </w:tc>
              <w:tc>
                <w:tcPr>
                  <w:tcW w:w="1441" w:type="pct"/>
                  <w:gridSpan w:val="2"/>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gridSpan w:val="2"/>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ZH50015120001</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铜梁区重点管控单元-小安溪段家塘</w:t>
                  </w:r>
                </w:p>
              </w:tc>
              <w:tc>
                <w:tcPr>
                  <w:tcW w:w="1441" w:type="pct"/>
                  <w:gridSpan w:val="2"/>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重点管控单元1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管控要求层级</w:t>
                  </w: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管控类型</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管控要求</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建设项目</w:t>
                  </w:r>
                  <w:r>
                    <w:rPr>
                      <w:rFonts w:hint="eastAsia"/>
                      <w:color w:val="auto"/>
                    </w:rPr>
                    <w:t>相关情况</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restart"/>
                  <w:tcBorders>
                    <w:top w:val="nil"/>
                    <w:left w:val="single" w:color="auto" w:sz="4" w:space="0"/>
                    <w:bottom w:val="single" w:color="auto" w:sz="4" w:space="0"/>
                    <w:right w:val="single" w:color="auto" w:sz="4" w:space="0"/>
                  </w:tcBorders>
                  <w:noWrap w:val="0"/>
                  <w:vAlign w:val="center"/>
                </w:tcPr>
                <w:p>
                  <w:pPr>
                    <w:pStyle w:val="92"/>
                    <w:rPr>
                      <w:color w:val="auto"/>
                    </w:rPr>
                  </w:pPr>
                  <w:r>
                    <w:rPr>
                      <w:color w:val="auto"/>
                    </w:rPr>
                    <w:t>全市总体管控要求</w:t>
                  </w: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空间布局约束</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1.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p>
                  <w:pPr>
                    <w:pStyle w:val="92"/>
                    <w:jc w:val="both"/>
                    <w:rPr>
                      <w:color w:val="auto"/>
                    </w:rPr>
                  </w:pPr>
                  <w:r>
                    <w:rPr>
                      <w:color w:val="auto"/>
                    </w:rPr>
                    <w:t>2.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p>
                  <w:pPr>
                    <w:pStyle w:val="92"/>
                    <w:jc w:val="both"/>
                    <w:rPr>
                      <w:color w:val="auto"/>
                    </w:rPr>
                  </w:pPr>
                  <w:r>
                    <w:rPr>
                      <w:color w:val="auto"/>
                    </w:rPr>
                    <w:t>3.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w:t>
                  </w:r>
                </w:p>
                <w:p>
                  <w:pPr>
                    <w:pStyle w:val="92"/>
                    <w:jc w:val="both"/>
                    <w:rPr>
                      <w:color w:val="auto"/>
                    </w:rPr>
                  </w:pPr>
                  <w:r>
                    <w:rPr>
                      <w:color w:val="auto"/>
                    </w:rPr>
                    <w:t>4.严格执行相关行业企业布局选址要求，优化环境防护距离设置，按要求设置生态隔离带，防范工业园区（工业集聚区）涉生态环境“邻避</w:t>
                  </w:r>
                  <w:r>
                    <w:rPr>
                      <w:rFonts w:hint="eastAsia"/>
                      <w:color w:val="auto"/>
                    </w:rPr>
                    <w:t>”</w:t>
                  </w:r>
                  <w:r>
                    <w:rPr>
                      <w:color w:val="auto"/>
                    </w:rPr>
                    <w:t>问题，将环境防护距离优化控制在园区边界或用地红线以内。</w:t>
                  </w:r>
                </w:p>
                <w:p>
                  <w:pPr>
                    <w:pStyle w:val="92"/>
                    <w:jc w:val="both"/>
                    <w:rPr>
                      <w:color w:val="auto"/>
                    </w:rPr>
                  </w:pPr>
                  <w:r>
                    <w:rPr>
                      <w:color w:val="auto"/>
                    </w:rPr>
                    <w:t>5.加快布局分散的企业向园区集中，鼓励现有工业项目、化工项目分别搬入工业集聚区、化工产业集聚区。</w:t>
                  </w:r>
                </w:p>
                <w:p>
                  <w:pPr>
                    <w:pStyle w:val="92"/>
                    <w:jc w:val="both"/>
                    <w:rPr>
                      <w:rFonts w:cs="宋体"/>
                      <w:color w:val="auto"/>
                      <w:sz w:val="24"/>
                      <w:szCs w:val="24"/>
                    </w:rPr>
                  </w:pPr>
                  <w:r>
                    <w:rPr>
                      <w:color w:val="auto"/>
                    </w:rPr>
                    <w:t>6.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1.</w:t>
                  </w:r>
                  <w:r>
                    <w:rPr>
                      <w:rFonts w:hint="eastAsia"/>
                      <w:color w:val="auto"/>
                      <w:lang w:val="en-US" w:eastAsia="zh-CN"/>
                    </w:rPr>
                    <w:t>本</w:t>
                  </w:r>
                  <w:r>
                    <w:rPr>
                      <w:rFonts w:hint="eastAsia"/>
                      <w:color w:val="auto"/>
                    </w:rPr>
                    <w:t>项目为</w:t>
                  </w:r>
                  <w:r>
                    <w:rPr>
                      <w:rFonts w:hint="default" w:ascii="Times New Roman" w:hAnsi="Times New Roman" w:cs="Times New Roman"/>
                      <w:b w:val="0"/>
                      <w:bCs w:val="0"/>
                      <w:color w:val="auto"/>
                      <w:sz w:val="21"/>
                      <w:szCs w:val="21"/>
                      <w:lang w:eastAsia="zh-CN"/>
                    </w:rPr>
                    <w:t>C3752 摩托车零部件及配件制造</w:t>
                  </w:r>
                  <w:r>
                    <w:rPr>
                      <w:rFonts w:hint="eastAsia"/>
                      <w:color w:val="auto"/>
                    </w:rPr>
                    <w:t>，属于国家产业结构调整目录中允许类项目；</w:t>
                  </w:r>
                </w:p>
                <w:p>
                  <w:pPr>
                    <w:pStyle w:val="92"/>
                    <w:jc w:val="both"/>
                    <w:rPr>
                      <w:color w:val="auto"/>
                    </w:rPr>
                  </w:pPr>
                  <w:r>
                    <w:rPr>
                      <w:rFonts w:hint="eastAsia"/>
                      <w:color w:val="auto"/>
                    </w:rPr>
                    <w:t>2.</w:t>
                  </w:r>
                  <w:r>
                    <w:rPr>
                      <w:rFonts w:hint="eastAsia"/>
                      <w:color w:val="auto"/>
                      <w:lang w:val="en-US" w:eastAsia="zh-CN"/>
                    </w:rPr>
                    <w:t>本</w:t>
                  </w:r>
                  <w:r>
                    <w:rPr>
                      <w:rFonts w:hint="eastAsia"/>
                      <w:color w:val="auto"/>
                    </w:rPr>
                    <w:t>项目不在长江干流及主要支流岸线1公里范围内，位于铜梁高新区蒲吕片区内，不属于化工园区和化工项目；</w:t>
                  </w:r>
                </w:p>
                <w:p>
                  <w:pPr>
                    <w:pStyle w:val="92"/>
                    <w:jc w:val="both"/>
                    <w:rPr>
                      <w:color w:val="auto"/>
                    </w:rPr>
                  </w:pPr>
                  <w:r>
                    <w:rPr>
                      <w:rFonts w:hint="eastAsia"/>
                      <w:color w:val="auto"/>
                    </w:rPr>
                    <w:t>3.</w:t>
                  </w:r>
                  <w:r>
                    <w:rPr>
                      <w:rFonts w:hint="eastAsia"/>
                      <w:color w:val="auto"/>
                      <w:lang w:val="en-US" w:eastAsia="zh-CN"/>
                    </w:rPr>
                    <w:t>本</w:t>
                  </w:r>
                  <w:r>
                    <w:rPr>
                      <w:rFonts w:hint="eastAsia"/>
                      <w:color w:val="auto"/>
                    </w:rPr>
                    <w:t>项目位于铜梁高新区蒲吕片区，不在长江鱼嘴以上江段及其一级支流汇入口上游20公里、嘉陵江及其一级支流汇入口上游20公里、集中式饮用水水源取水口上游20公里范围内的沿岸地区，不排放重点重金属、剧毒物质和持久性有机污染物；</w:t>
                  </w:r>
                </w:p>
                <w:p>
                  <w:pPr>
                    <w:pStyle w:val="92"/>
                    <w:jc w:val="both"/>
                    <w:rPr>
                      <w:color w:val="auto"/>
                    </w:rPr>
                  </w:pPr>
                  <w:r>
                    <w:rPr>
                      <w:rFonts w:hint="eastAsia"/>
                      <w:color w:val="auto"/>
                    </w:rPr>
                    <w:t>4.</w:t>
                  </w:r>
                  <w:r>
                    <w:rPr>
                      <w:rFonts w:hint="eastAsia"/>
                      <w:color w:val="auto"/>
                      <w:lang w:val="en-US" w:eastAsia="zh-CN"/>
                    </w:rPr>
                    <w:t>本</w:t>
                  </w:r>
                  <w:r>
                    <w:rPr>
                      <w:rFonts w:hint="eastAsia"/>
                      <w:color w:val="auto"/>
                    </w:rPr>
                    <w:t>项目已严格执行相关行业企业布局选址要求，位于铜梁高新区蒲吕片区内；</w:t>
                  </w:r>
                </w:p>
                <w:p>
                  <w:pPr>
                    <w:pStyle w:val="92"/>
                    <w:jc w:val="both"/>
                    <w:rPr>
                      <w:color w:val="auto"/>
                    </w:rPr>
                  </w:pPr>
                  <w:r>
                    <w:rPr>
                      <w:rFonts w:hint="eastAsia"/>
                      <w:color w:val="auto"/>
                    </w:rPr>
                    <w:t>5.</w:t>
                  </w:r>
                  <w:r>
                    <w:rPr>
                      <w:rFonts w:hint="eastAsia"/>
                      <w:color w:val="auto"/>
                      <w:lang w:val="en-US" w:eastAsia="zh-CN"/>
                    </w:rPr>
                    <w:t>本</w:t>
                  </w:r>
                  <w:r>
                    <w:rPr>
                      <w:rFonts w:hint="eastAsia"/>
                      <w:color w:val="auto"/>
                    </w:rPr>
                    <w:t>项目</w:t>
                  </w:r>
                  <w:r>
                    <w:rPr>
                      <w:rFonts w:hint="eastAsia"/>
                      <w:color w:val="auto"/>
                      <w:lang w:eastAsia="zh-CN"/>
                    </w:rPr>
                    <w:t>位于</w:t>
                  </w:r>
                  <w:r>
                    <w:rPr>
                      <w:rFonts w:hint="eastAsia"/>
                      <w:color w:val="auto"/>
                    </w:rPr>
                    <w:t>铜梁高新区蒲吕片区，属于</w:t>
                  </w:r>
                  <w:r>
                    <w:rPr>
                      <w:rFonts w:hint="eastAsia"/>
                      <w:color w:val="auto"/>
                      <w:lang w:eastAsia="zh-CN"/>
                    </w:rPr>
                    <w:t>C3752 摩托车零部件及配件制造</w:t>
                  </w:r>
                  <w:r>
                    <w:rPr>
                      <w:rFonts w:hint="eastAsia"/>
                      <w:color w:val="auto"/>
                    </w:rPr>
                    <w:t>，属于国家产业结构调整目录中允许类项目；</w:t>
                  </w:r>
                </w:p>
                <w:p>
                  <w:pPr>
                    <w:pStyle w:val="92"/>
                    <w:jc w:val="both"/>
                    <w:rPr>
                      <w:rFonts w:cs="宋体"/>
                      <w:color w:val="auto"/>
                      <w:sz w:val="24"/>
                      <w:szCs w:val="24"/>
                    </w:rPr>
                  </w:pPr>
                  <w:r>
                    <w:rPr>
                      <w:rFonts w:hint="eastAsia"/>
                      <w:color w:val="auto"/>
                    </w:rPr>
                    <w:t>6.</w:t>
                  </w:r>
                  <w:r>
                    <w:rPr>
                      <w:rFonts w:hint="eastAsia"/>
                      <w:color w:val="auto"/>
                      <w:lang w:val="en-US" w:eastAsia="zh-CN"/>
                    </w:rPr>
                    <w:t>本</w:t>
                  </w:r>
                  <w:r>
                    <w:rPr>
                      <w:rFonts w:hint="eastAsia"/>
                      <w:color w:val="auto"/>
                    </w:rPr>
                    <w:t>项目不涉及城镇功能布局</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污染物排放管控</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1.未达到国家环境质量标准的重点区域、流域的有关地方人民政府，应当制定限期达标规划，并采取措施按期达标。</w:t>
                  </w:r>
                </w:p>
                <w:p>
                  <w:pPr>
                    <w:pStyle w:val="92"/>
                    <w:jc w:val="both"/>
                    <w:rPr>
                      <w:color w:val="auto"/>
                    </w:rPr>
                  </w:pPr>
                  <w:r>
                    <w:rPr>
                      <w:color w:val="auto"/>
                    </w:rPr>
                    <w:t>2.巩固</w:t>
                  </w:r>
                  <w:r>
                    <w:rPr>
                      <w:rFonts w:hint="eastAsia"/>
                      <w:color w:val="auto"/>
                    </w:rPr>
                    <w:t>“</w:t>
                  </w:r>
                  <w:r>
                    <w:rPr>
                      <w:color w:val="auto"/>
                    </w:rPr>
                    <w:t>十一小</w:t>
                  </w:r>
                  <w:r>
                    <w:rPr>
                      <w:rFonts w:hint="eastAsia"/>
                      <w:color w:val="auto"/>
                    </w:rPr>
                    <w:t>”</w:t>
                  </w:r>
                  <w:r>
                    <w:rPr>
                      <w:color w:val="auto"/>
                    </w:rPr>
                    <w:t>（不符合国家产业政策的小型造纸、制革、印染、染料、炼焦、炼硫、炼砷、炼油、电镀、农药、涉磷生产和使用等企业）取缔成果，防止死灰复燃。巩固</w:t>
                  </w:r>
                  <w:r>
                    <w:rPr>
                      <w:rFonts w:hint="eastAsia"/>
                      <w:color w:val="auto"/>
                    </w:rPr>
                    <w:t>“</w:t>
                  </w:r>
                  <w:r>
                    <w:rPr>
                      <w:color w:val="auto"/>
                    </w:rPr>
                    <w:t>十一大</w:t>
                  </w:r>
                  <w:r>
                    <w:rPr>
                      <w:rFonts w:hint="eastAsia"/>
                      <w:color w:val="auto"/>
                    </w:rPr>
                    <w:t>”</w:t>
                  </w:r>
                  <w:r>
                    <w:rPr>
                      <w:color w:val="auto"/>
                    </w:rPr>
                    <w:t>（造纸、焦化、氮肥、有色金属、印染、农副产品及食品加工、原料药制造</w:t>
                  </w:r>
                  <w:r>
                    <w:rPr>
                      <w:rFonts w:hint="eastAsia"/>
                      <w:color w:val="auto"/>
                    </w:rPr>
                    <w:t>（</w:t>
                  </w:r>
                  <w:r>
                    <w:rPr>
                      <w:color w:val="auto"/>
                    </w:rPr>
                    <w:t>生化制药</w:t>
                  </w:r>
                  <w:r>
                    <w:rPr>
                      <w:rFonts w:hint="eastAsia"/>
                      <w:color w:val="auto"/>
                    </w:rPr>
                    <w:t>）</w:t>
                  </w:r>
                  <w:r>
                    <w:rPr>
                      <w:color w:val="auto"/>
                    </w:rPr>
                    <w:t>、制革、农药、电镀以及涉磷产品等）企业污染整治成果。</w:t>
                  </w:r>
                </w:p>
                <w:p>
                  <w:pPr>
                    <w:pStyle w:val="92"/>
                    <w:jc w:val="both"/>
                    <w:rPr>
                      <w:color w:val="auto"/>
                    </w:rPr>
                  </w:pPr>
                  <w:r>
                    <w:rPr>
                      <w:color w:val="auto"/>
                    </w:rPr>
                    <w:t>3.城区及江津区、合川区、璧山区、铜梁区二氧化硫、氮氧化物、颗粒物、挥发性有机物严格执行大气污染物特别排放限值，并逐步将执行范围扩大到重点控制区重点行业。</w:t>
                  </w:r>
                </w:p>
                <w:p>
                  <w:pPr>
                    <w:pStyle w:val="92"/>
                    <w:jc w:val="both"/>
                    <w:rPr>
                      <w:color w:val="auto"/>
                    </w:rPr>
                  </w:pPr>
                  <w:r>
                    <w:rPr>
                      <w:color w:val="auto"/>
                    </w:rPr>
                    <w:t>4.新建、改建、扩建涉VOCs排放的项目，加强源头控制，使用低（无）VOCs含量的原辅料，加强废气收集，安装高效治理设施。有条件的工业集聚区建设集中喷涂中心，配备高效治污设施，替代企业独立喷涂工序。</w:t>
                  </w:r>
                </w:p>
                <w:p>
                  <w:pPr>
                    <w:pStyle w:val="92"/>
                    <w:jc w:val="both"/>
                    <w:rPr>
                      <w:rFonts w:cs="宋体"/>
                      <w:color w:val="auto"/>
                      <w:sz w:val="24"/>
                      <w:szCs w:val="24"/>
                    </w:rPr>
                  </w:pPr>
                  <w:r>
                    <w:rPr>
                      <w:color w:val="auto"/>
                    </w:rPr>
                    <w:t>5.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1.</w:t>
                  </w:r>
                  <w:r>
                    <w:rPr>
                      <w:rFonts w:hint="eastAsia"/>
                      <w:color w:val="auto"/>
                      <w:lang w:val="en-US" w:eastAsia="zh-CN"/>
                    </w:rPr>
                    <w:t>本</w:t>
                  </w:r>
                  <w:r>
                    <w:rPr>
                      <w:rFonts w:hint="eastAsia"/>
                      <w:color w:val="auto"/>
                    </w:rPr>
                    <w:t>项目位于铜梁区，区域地表水、声环境质量均达标；</w:t>
                  </w:r>
                </w:p>
                <w:p>
                  <w:pPr>
                    <w:pStyle w:val="92"/>
                    <w:jc w:val="both"/>
                    <w:rPr>
                      <w:color w:val="auto"/>
                    </w:rPr>
                  </w:pPr>
                  <w:r>
                    <w:rPr>
                      <w:rFonts w:hint="eastAsia"/>
                      <w:color w:val="auto"/>
                    </w:rPr>
                    <w:t>2.</w:t>
                  </w:r>
                  <w:r>
                    <w:rPr>
                      <w:rFonts w:hint="eastAsia"/>
                      <w:color w:val="auto"/>
                      <w:lang w:val="en-US" w:eastAsia="zh-CN"/>
                    </w:rPr>
                    <w:t>本</w:t>
                  </w:r>
                  <w:r>
                    <w:rPr>
                      <w:rFonts w:hint="eastAsia"/>
                      <w:color w:val="auto"/>
                    </w:rPr>
                    <w:t>项目不属于“十一小”和“十一大”企业；</w:t>
                  </w:r>
                </w:p>
                <w:p>
                  <w:pPr>
                    <w:pStyle w:val="92"/>
                    <w:jc w:val="both"/>
                    <w:rPr>
                      <w:color w:val="auto"/>
                    </w:rPr>
                  </w:pPr>
                  <w:r>
                    <w:rPr>
                      <w:rFonts w:hint="eastAsia"/>
                      <w:color w:val="auto"/>
                    </w:rPr>
                    <w:t>3.</w:t>
                  </w:r>
                  <w:r>
                    <w:rPr>
                      <w:rFonts w:hint="eastAsia"/>
                      <w:color w:val="auto"/>
                      <w:lang w:val="en-US" w:eastAsia="zh-CN"/>
                    </w:rPr>
                    <w:t>本</w:t>
                  </w:r>
                  <w:r>
                    <w:rPr>
                      <w:rFonts w:hint="eastAsia"/>
                      <w:color w:val="auto"/>
                    </w:rPr>
                    <w:t>项目位于铜梁区，</w:t>
                  </w:r>
                  <w:r>
                    <w:rPr>
                      <w:rFonts w:hint="eastAsia"/>
                      <w:color w:val="auto"/>
                      <w:lang w:val="en-US" w:eastAsia="zh-CN"/>
                    </w:rPr>
                    <w:t>不涉及</w:t>
                  </w:r>
                  <w:r>
                    <w:rPr>
                      <w:rFonts w:hint="eastAsia"/>
                      <w:color w:val="auto"/>
                    </w:rPr>
                    <w:t>挥发性有机物；</w:t>
                  </w:r>
                </w:p>
                <w:p>
                  <w:pPr>
                    <w:pStyle w:val="92"/>
                    <w:jc w:val="both"/>
                    <w:rPr>
                      <w:color w:val="auto"/>
                    </w:rPr>
                  </w:pPr>
                  <w:r>
                    <w:rPr>
                      <w:rFonts w:hint="eastAsia"/>
                      <w:color w:val="auto"/>
                    </w:rPr>
                    <w:t>4.</w:t>
                  </w:r>
                  <w:r>
                    <w:rPr>
                      <w:rFonts w:hint="eastAsia"/>
                      <w:color w:val="auto"/>
                      <w:lang w:val="en-US" w:eastAsia="zh-CN"/>
                    </w:rPr>
                    <w:t>本</w:t>
                  </w:r>
                  <w:r>
                    <w:rPr>
                      <w:rFonts w:hint="eastAsia"/>
                      <w:color w:val="auto"/>
                    </w:rPr>
                    <w:t>项目为新建项目，项目</w:t>
                  </w:r>
                  <w:r>
                    <w:rPr>
                      <w:rFonts w:hint="eastAsia"/>
                      <w:color w:val="auto"/>
                      <w:lang w:val="en-US" w:eastAsia="zh-CN"/>
                    </w:rPr>
                    <w:t>不</w:t>
                  </w:r>
                  <w:r>
                    <w:rPr>
                      <w:rFonts w:hint="eastAsia"/>
                      <w:color w:val="auto"/>
                    </w:rPr>
                    <w:t>涉及VOCs</w:t>
                  </w:r>
                  <w:r>
                    <w:rPr>
                      <w:rFonts w:hint="eastAsia"/>
                      <w:color w:val="auto"/>
                      <w:lang w:val="en-US" w:eastAsia="zh-CN"/>
                    </w:rPr>
                    <w:t>的</w:t>
                  </w:r>
                  <w:r>
                    <w:rPr>
                      <w:rFonts w:hint="eastAsia"/>
                      <w:color w:val="auto"/>
                    </w:rPr>
                    <w:t>排放；</w:t>
                  </w:r>
                </w:p>
                <w:p>
                  <w:pPr>
                    <w:pStyle w:val="92"/>
                    <w:jc w:val="both"/>
                    <w:rPr>
                      <w:color w:val="auto"/>
                      <w:sz w:val="24"/>
                      <w:szCs w:val="24"/>
                    </w:rPr>
                  </w:pPr>
                  <w:r>
                    <w:rPr>
                      <w:rFonts w:hint="eastAsia"/>
                      <w:color w:val="auto"/>
                    </w:rPr>
                    <w:t>5.</w:t>
                  </w:r>
                  <w:r>
                    <w:rPr>
                      <w:rFonts w:hint="eastAsia"/>
                      <w:color w:val="auto"/>
                      <w:lang w:val="en-US" w:eastAsia="zh-CN"/>
                    </w:rPr>
                    <w:t>本</w:t>
                  </w:r>
                  <w:r>
                    <w:rPr>
                      <w:rFonts w:hint="eastAsia"/>
                      <w:color w:val="auto"/>
                    </w:rPr>
                    <w:t>项目</w:t>
                  </w:r>
                  <w:r>
                    <w:rPr>
                      <w:rFonts w:hint="default" w:ascii="Times New Roman" w:hAnsi="Times New Roman" w:cs="Times New Roman"/>
                      <w:color w:val="auto"/>
                      <w:sz w:val="21"/>
                      <w:szCs w:val="21"/>
                      <w:lang w:val="en-US"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cs="Times New Roman"/>
                      <w:color w:val="auto"/>
                      <w:kern w:val="2"/>
                      <w:sz w:val="21"/>
                      <w:szCs w:val="21"/>
                      <w:lang w:val="en-US" w:eastAsia="zh-CN" w:bidi="ar-SA"/>
                    </w:rPr>
                    <w:t>生活废水</w:t>
                  </w:r>
                  <w:r>
                    <w:rPr>
                      <w:rFonts w:hint="default" w:ascii="Times New Roman" w:hAnsi="Times New Roman" w:cs="Times New Roman"/>
                      <w:color w:val="auto"/>
                      <w:sz w:val="21"/>
                      <w:szCs w:val="21"/>
                      <w:lang w:val="en-US" w:eastAsia="zh-CN"/>
                    </w:rPr>
                    <w:t>一起</w:t>
                  </w:r>
                  <w:r>
                    <w:rPr>
                      <w:rFonts w:hint="eastAsia" w:ascii="Times New Roman" w:hAnsi="Times New Roman" w:cs="Times New Roman"/>
                      <w:color w:val="auto"/>
                      <w:sz w:val="21"/>
                      <w:szCs w:val="21"/>
                      <w:lang w:val="en-US" w:eastAsia="zh-CN"/>
                    </w:rPr>
                    <w:t>经</w:t>
                  </w:r>
                  <w:r>
                    <w:rPr>
                      <w:rFonts w:hint="eastAsia"/>
                      <w:color w:val="auto"/>
                    </w:rPr>
                    <w:t>已建生化池处理后通过市政管网进入</w:t>
                  </w:r>
                  <w:r>
                    <w:rPr>
                      <w:rFonts w:hint="eastAsia"/>
                      <w:color w:val="auto"/>
                      <w:lang w:val="en-US" w:eastAsia="zh-CN"/>
                    </w:rPr>
                    <w:t>东城污水</w:t>
                  </w:r>
                  <w:r>
                    <w:rPr>
                      <w:rFonts w:hint="eastAsia"/>
                      <w:color w:val="auto"/>
                    </w:rPr>
                    <w:t>处理厂进一步处理</w:t>
                  </w:r>
                  <w:r>
                    <w:rPr>
                      <w:rFonts w:hint="eastAsia"/>
                      <w:color w:val="auto"/>
                      <w:lang w:val="en-US" w:eastAsia="zh-CN"/>
                    </w:rPr>
                    <w:t>后</w:t>
                  </w:r>
                  <w:r>
                    <w:rPr>
                      <w:rFonts w:hint="eastAsia"/>
                      <w:color w:val="auto"/>
                    </w:rPr>
                    <w:t>达标排放</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环境风险防控</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1.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p>
                  <w:pPr>
                    <w:pStyle w:val="92"/>
                    <w:jc w:val="both"/>
                    <w:rPr>
                      <w:rFonts w:cs="宋体"/>
                      <w:color w:val="auto"/>
                      <w:sz w:val="24"/>
                      <w:szCs w:val="24"/>
                    </w:rPr>
                  </w:pPr>
                  <w:r>
                    <w:rPr>
                      <w:color w:val="auto"/>
                    </w:rPr>
                    <w:t>2.禁止建设存在重大环境安全隐患的工业项目。严禁工艺技术落后、环境风险高的化工企业向我市转移。</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spacing w:line="320" w:lineRule="exact"/>
                    <w:rPr>
                      <w:color w:val="auto"/>
                    </w:rPr>
                  </w:pPr>
                  <w:r>
                    <w:rPr>
                      <w:color w:val="auto"/>
                    </w:rPr>
                    <w:t>1.</w:t>
                  </w:r>
                  <w:r>
                    <w:rPr>
                      <w:rFonts w:hint="eastAsia"/>
                      <w:color w:val="auto"/>
                      <w:lang w:val="en-US" w:eastAsia="zh-CN"/>
                    </w:rPr>
                    <w:t>本</w:t>
                  </w:r>
                  <w:r>
                    <w:rPr>
                      <w:rFonts w:hint="eastAsia"/>
                      <w:color w:val="auto"/>
                    </w:rPr>
                    <w:t>项目</w:t>
                  </w:r>
                  <w:r>
                    <w:rPr>
                      <w:color w:val="auto"/>
                    </w:rPr>
                    <w:t>建成后健全风险防范体系，制定环境风险防范协调联动工作机制；</w:t>
                  </w:r>
                </w:p>
                <w:p>
                  <w:pPr>
                    <w:pStyle w:val="92"/>
                    <w:rPr>
                      <w:color w:val="auto"/>
                    </w:rPr>
                  </w:pPr>
                  <w:r>
                    <w:rPr>
                      <w:color w:val="auto"/>
                    </w:rPr>
                    <w:t>2.</w:t>
                  </w:r>
                  <w:r>
                    <w:rPr>
                      <w:rFonts w:hint="eastAsia"/>
                      <w:color w:val="auto"/>
                      <w:lang w:val="en-US" w:eastAsia="zh-CN"/>
                    </w:rPr>
                    <w:t>本</w:t>
                  </w:r>
                  <w:r>
                    <w:rPr>
                      <w:rFonts w:hint="eastAsia"/>
                      <w:color w:val="auto"/>
                    </w:rPr>
                    <w:t>项目</w:t>
                  </w:r>
                  <w:r>
                    <w:rPr>
                      <w:color w:val="auto"/>
                    </w:rPr>
                    <w:t>不属于重大环境安全隐患的工业项目</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资源开发利用效率</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1.加强资源节约集约利用。实行能源、水资源、建设用地总量和强度双控行动，推进节能、节水、节地、节材等节约自然资源行动，从源头减少污染物排放。</w:t>
                  </w:r>
                </w:p>
                <w:p>
                  <w:pPr>
                    <w:pStyle w:val="92"/>
                    <w:jc w:val="both"/>
                    <w:rPr>
                      <w:color w:val="auto"/>
                    </w:rPr>
                  </w:pPr>
                  <w:r>
                    <w:rPr>
                      <w:color w:val="auto"/>
                    </w:rPr>
                    <w:t>2.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p>
                  <w:pPr>
                    <w:pStyle w:val="92"/>
                    <w:jc w:val="both"/>
                    <w:rPr>
                      <w:color w:val="auto"/>
                    </w:rPr>
                  </w:pPr>
                  <w:r>
                    <w:rPr>
                      <w:color w:val="auto"/>
                    </w:rPr>
                    <w:t>3.电力、钢铁、纺织、造纸、石油石化、化工、食品发酵等高耗水行业达到先进定额标准。</w:t>
                  </w:r>
                </w:p>
                <w:p>
                  <w:pPr>
                    <w:pStyle w:val="92"/>
                    <w:jc w:val="both"/>
                    <w:rPr>
                      <w:color w:val="auto"/>
                    </w:rPr>
                  </w:pPr>
                  <w:r>
                    <w:rPr>
                      <w:color w:val="auto"/>
                    </w:rPr>
                    <w:t>4.重点控制区域新建高耗能项目单位产品（产值）能耗要达到国际先进水平。</w:t>
                  </w:r>
                </w:p>
                <w:p>
                  <w:pPr>
                    <w:pStyle w:val="92"/>
                    <w:jc w:val="both"/>
                    <w:rPr>
                      <w:rFonts w:cs="宋体"/>
                      <w:color w:val="auto"/>
                      <w:sz w:val="24"/>
                      <w:szCs w:val="24"/>
                    </w:rPr>
                  </w:pPr>
                  <w:r>
                    <w:rPr>
                      <w:color w:val="auto"/>
                    </w:rPr>
                    <w:t>5.水利水电工程应保证合理的生态流量，具备条件的都应实施生态流量监测监控。</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1.</w:t>
                  </w:r>
                  <w:r>
                    <w:rPr>
                      <w:rFonts w:hint="eastAsia"/>
                      <w:color w:val="auto"/>
                      <w:lang w:val="en-US" w:eastAsia="zh-CN"/>
                    </w:rPr>
                    <w:t>本</w:t>
                  </w:r>
                  <w:r>
                    <w:rPr>
                      <w:rFonts w:hint="eastAsia"/>
                      <w:color w:val="auto"/>
                    </w:rPr>
                    <w:t>项目耗水量小；</w:t>
                  </w:r>
                </w:p>
                <w:p>
                  <w:pPr>
                    <w:pStyle w:val="92"/>
                    <w:jc w:val="both"/>
                    <w:rPr>
                      <w:color w:val="auto"/>
                    </w:rPr>
                  </w:pPr>
                  <w:r>
                    <w:rPr>
                      <w:color w:val="auto"/>
                    </w:rPr>
                    <w:t>2.不涉及；</w:t>
                  </w:r>
                </w:p>
                <w:p>
                  <w:pPr>
                    <w:pStyle w:val="92"/>
                    <w:jc w:val="both"/>
                    <w:rPr>
                      <w:color w:val="auto"/>
                    </w:rPr>
                  </w:pPr>
                  <w:r>
                    <w:rPr>
                      <w:color w:val="auto"/>
                    </w:rPr>
                    <w:t>3.不涉及；</w:t>
                  </w:r>
                </w:p>
                <w:p>
                  <w:pPr>
                    <w:pStyle w:val="92"/>
                    <w:jc w:val="both"/>
                    <w:rPr>
                      <w:color w:val="auto"/>
                    </w:rPr>
                  </w:pPr>
                  <w:r>
                    <w:rPr>
                      <w:color w:val="auto"/>
                    </w:rPr>
                    <w:t>4.不涉及；</w:t>
                  </w:r>
                </w:p>
                <w:p>
                  <w:pPr>
                    <w:pStyle w:val="92"/>
                    <w:jc w:val="both"/>
                    <w:rPr>
                      <w:rFonts w:cs="宋体"/>
                      <w:color w:val="auto"/>
                      <w:sz w:val="24"/>
                      <w:szCs w:val="24"/>
                    </w:rPr>
                  </w:pPr>
                  <w:r>
                    <w:rPr>
                      <w:color w:val="auto"/>
                    </w:rPr>
                    <w:t>5.不涉及</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48" w:type="pct"/>
                  <w:vMerge w:val="restart"/>
                  <w:tcBorders>
                    <w:top w:val="nil"/>
                    <w:left w:val="single" w:color="auto" w:sz="4" w:space="0"/>
                    <w:bottom w:val="single" w:color="auto" w:sz="4" w:space="0"/>
                    <w:right w:val="single" w:color="auto" w:sz="4" w:space="0"/>
                  </w:tcBorders>
                  <w:noWrap w:val="0"/>
                  <w:vAlign w:val="center"/>
                </w:tcPr>
                <w:p>
                  <w:pPr>
                    <w:pStyle w:val="92"/>
                    <w:rPr>
                      <w:color w:val="auto"/>
                    </w:rPr>
                  </w:pPr>
                  <w:r>
                    <w:rPr>
                      <w:color w:val="auto"/>
                    </w:rPr>
                    <w:t>区县总体管控要求</w:t>
                  </w:r>
                </w:p>
              </w:tc>
              <w:tc>
                <w:tcPr>
                  <w:tcW w:w="419" w:type="pct"/>
                  <w:vMerge w:val="restart"/>
                  <w:tcBorders>
                    <w:top w:val="nil"/>
                    <w:left w:val="single" w:color="auto" w:sz="4" w:space="0"/>
                    <w:bottom w:val="single" w:color="auto" w:sz="4" w:space="0"/>
                    <w:right w:val="single" w:color="auto" w:sz="4" w:space="0"/>
                  </w:tcBorders>
                  <w:noWrap w:val="0"/>
                  <w:vAlign w:val="center"/>
                </w:tcPr>
                <w:p>
                  <w:pPr>
                    <w:pStyle w:val="92"/>
                    <w:rPr>
                      <w:color w:val="auto"/>
                    </w:rPr>
                  </w:pPr>
                  <w:r>
                    <w:rPr>
                      <w:color w:val="auto"/>
                    </w:rPr>
                    <w:t>空间布局约束</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第一条：保护好巴岳山、毓青山等自然生态环境，形成以生态功能区为支撑，国家禁止开发区域为重要组成部分的生态空间体系。小企业基地规划范围不得侵占生态空间。</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项目不在生态红线范围内</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第二条：铜梁高新区白土坝片区采取“腾笼换鸟”的方式，推动现有产业提档升级，发展环境影响小、风险可控的产业。</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项目不在白土坝片区，位于铜梁高新区</w:t>
                  </w:r>
                  <w:r>
                    <w:rPr>
                      <w:rFonts w:hint="eastAsia"/>
                      <w:color w:val="auto"/>
                    </w:rPr>
                    <w:t>蒲吕片区</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vMerge w:val="restart"/>
                  <w:tcBorders>
                    <w:top w:val="nil"/>
                    <w:left w:val="single" w:color="auto" w:sz="4" w:space="0"/>
                    <w:bottom w:val="single" w:color="auto" w:sz="4" w:space="0"/>
                    <w:right w:val="single" w:color="auto" w:sz="4" w:space="0"/>
                  </w:tcBorders>
                  <w:noWrap w:val="0"/>
                  <w:vAlign w:val="center"/>
                </w:tcPr>
                <w:p>
                  <w:pPr>
                    <w:pStyle w:val="92"/>
                    <w:rPr>
                      <w:color w:val="auto"/>
                    </w:rPr>
                  </w:pPr>
                  <w:r>
                    <w:rPr>
                      <w:color w:val="auto"/>
                    </w:rPr>
                    <w:t>污染物排放管控</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第三条：城市生活污水处理厂全面达到《城镇污水处理厂污染物排放标准》（GB18919-2002）一级A排放标准，生活污水处理厂污泥无害化处置率达到85%。</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项目不涉及</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第四条：持续推进企业大气污染防治。二氧化硫、氮氧化物、颗粒物、VOCs严格执行大气污染物特别排放限值，鼓励辖区内水泥、烧结砖瓦窑企业错峰生产。</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项目废气均得到有效处理后达标排放</w:t>
                  </w:r>
                  <w:r>
                    <w:rPr>
                      <w:rFonts w:hint="eastAsia"/>
                      <w:color w:val="auto"/>
                    </w:rPr>
                    <w:t>，</w:t>
                  </w:r>
                  <w:r>
                    <w:rPr>
                      <w:color w:val="auto"/>
                    </w:rPr>
                    <w:t>不属于水泥、烧结砖瓦窑行业</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第五条：新建、改建、扩建涉VOCs的项目，要加强源头控制，使用低（无）VOCs含量的原辅料，加强废气收集，安装高效治理设施。</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rFonts w:hint="eastAsia"/>
                      <w:color w:val="auto"/>
                    </w:rPr>
                    <w:t>项目为新建项目，项目</w:t>
                  </w:r>
                  <w:r>
                    <w:rPr>
                      <w:rFonts w:hint="eastAsia"/>
                      <w:color w:val="auto"/>
                      <w:lang w:val="en-US" w:eastAsia="zh-CN"/>
                    </w:rPr>
                    <w:t>不</w:t>
                  </w:r>
                  <w:r>
                    <w:rPr>
                      <w:rFonts w:hint="eastAsia"/>
                      <w:color w:val="auto"/>
                    </w:rPr>
                    <w:t>涉及VOCs</w:t>
                  </w:r>
                  <w:r>
                    <w:rPr>
                      <w:rFonts w:hint="eastAsia"/>
                      <w:color w:val="auto"/>
                      <w:lang w:val="en-US" w:eastAsia="zh-CN"/>
                    </w:rPr>
                    <w:t>的</w:t>
                  </w:r>
                  <w:r>
                    <w:rPr>
                      <w:rFonts w:hint="eastAsia"/>
                      <w:color w:val="auto"/>
                    </w:rPr>
                    <w:t>排放</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第六条：持续推进小安溪综合整治，加强农业面源污染防治；加快农村分散污水有效处理，推进农村生活垃圾进行集中收集并转运统一处置。</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项目不属于农业面源污染</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第七条：严格落实畜禽养殖规划，取缔或搬迁流小安溪流域禁养区畜禽养殖场。</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项目不涉及</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环境风险防控</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第八条：生产、存储危险化学品及产生大量废水的企业，应配套有效措施，防止因渗漏污染地下水、土壤，以及因事故废水直排污染地表水体。</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项目采取相应的风险防范措施后，环境风险可控</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资源开发利用效率</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第九条：推行节水措施和中水回用提高水资源回用率，鼓励工业企业提高中水回用率。</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color w:val="auto"/>
                    </w:rPr>
                    <w:t>项目的水耗及能耗能够达到《重庆市工业项目环境准入规定》要求</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48" w:type="pct"/>
                  <w:vMerge w:val="restart"/>
                  <w:tcBorders>
                    <w:top w:val="nil"/>
                    <w:left w:val="single" w:color="auto" w:sz="4" w:space="0"/>
                    <w:bottom w:val="single" w:color="auto" w:sz="4" w:space="0"/>
                    <w:right w:val="single" w:color="auto" w:sz="4" w:space="0"/>
                  </w:tcBorders>
                  <w:noWrap w:val="0"/>
                  <w:vAlign w:val="center"/>
                </w:tcPr>
                <w:p>
                  <w:pPr>
                    <w:pStyle w:val="92"/>
                    <w:rPr>
                      <w:color w:val="auto"/>
                    </w:rPr>
                  </w:pPr>
                  <w:r>
                    <w:rPr>
                      <w:color w:val="auto"/>
                    </w:rPr>
                    <w:t>单元管控要求</w:t>
                  </w: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空间布局约束</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限制引入高耗水、高排水项目。引导现有企业和后续入驻企业向工业园区或者小企业创业基地聚集。旧县小企业创业基地开发建设时避让旧县小安溪自来水厂水源地保护区。</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rFonts w:hint="eastAsia"/>
                      <w:color w:val="auto"/>
                    </w:rPr>
                    <w:t>项目不属于高耗水、高排水项目；项目位于重庆市铜梁高新区全蒲片区，不涉及旧县小安溪自来水厂水源地保护区</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污染物排放管控</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对不能满足总量控制和水环境质量目标要求的工业企业进行综合治理，对不能稳定达标排放、未完成限期治理任务的排污企业实施停产治理；加强对重点污染企业的监控。加强农业面源治理。加快推广使用低毒、低残留农药，推进化肥农药使用减量化。持续推进企业大气污染防治，加强涉及挥发性有机物排放企业的VOCs的治理，新建涉及喷涂的建设项目鼓励使用环保涂料。鼓励烧结砖瓦窑开展错峰生产。加快推进大庙组团污水处理厂建设，完善区域配套管网。城市建成区生活污水集中处理率达到95%；镇街生活污水集中处理率达到85%。启动小安溪流域适养区畜禽养殖场（户）环境污染整治，建立示范项目，引导畜禽养殖场（户）规范化养殖。</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本项目采取有效污染治理措施，能够稳定达标排放；不涉及农业面源污染，不属于烧结砖瓦窑项目；项目不涉及喷涂。</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环境风险防控</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建设环境应急物资储备库，企业环境应急装备和储备物资应纳入储备体系。小企业基地应开展环境影响评价工作，并建立环境风险防控体系。生产、存储危险化学品及产生大量废水的企业，应配套有效措施，防止因渗漏污染地下水、土壤，以及因事故废水直排污染地表水体。</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项目不存在重大风险源</w:t>
                  </w:r>
                  <w:r>
                    <w:rPr>
                      <w:rFonts w:hint="eastAsia"/>
                      <w:color w:val="auto"/>
                    </w:rPr>
                    <w:t>，不属于较大及以上环境风险企业</w:t>
                  </w:r>
                  <w:r>
                    <w:rPr>
                      <w:color w:val="auto"/>
                    </w:rPr>
                    <w:t>，车间进行分区防</w:t>
                  </w:r>
                  <w:r>
                    <w:rPr>
                      <w:rFonts w:hint="eastAsia"/>
                      <w:color w:val="auto"/>
                    </w:rPr>
                    <w:t>渗</w:t>
                  </w:r>
                  <w:r>
                    <w:rPr>
                      <w:color w:val="auto"/>
                    </w:rPr>
                    <w:t>处理</w:t>
                  </w:r>
                  <w:r>
                    <w:rPr>
                      <w:rFonts w:hint="eastAsia"/>
                      <w:color w:val="auto"/>
                    </w:rPr>
                    <w:t>防止因渗漏污染地下水及土壤</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48" w:type="pct"/>
                  <w:vMerge w:val="continue"/>
                  <w:tcBorders>
                    <w:top w:val="nil"/>
                    <w:left w:val="single" w:color="auto" w:sz="4" w:space="0"/>
                    <w:bottom w:val="single" w:color="auto" w:sz="4" w:space="0"/>
                    <w:right w:val="single" w:color="auto" w:sz="4" w:space="0"/>
                  </w:tcBorders>
                  <w:noWrap w:val="0"/>
                  <w:vAlign w:val="center"/>
                </w:tcPr>
                <w:p>
                  <w:pPr>
                    <w:pStyle w:val="92"/>
                    <w:rPr>
                      <w:color w:val="auto"/>
                    </w:rPr>
                  </w:pPr>
                </w:p>
              </w:tc>
              <w:tc>
                <w:tcPr>
                  <w:tcW w:w="419"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color w:val="auto"/>
                    </w:rPr>
                    <w:t>资源开发利用效率</w:t>
                  </w:r>
                </w:p>
              </w:tc>
              <w:tc>
                <w:tcPr>
                  <w:tcW w:w="2789"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rPr>
                    <w:t>推行节水措施和中水回用提高水资源回用率。鼓励工业企业实施中水回用，推进造纸、化工等重点行业工业水循环利用。</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pStyle w:val="92"/>
                    <w:jc w:val="both"/>
                    <w:rPr>
                      <w:color w:val="auto"/>
                    </w:rPr>
                  </w:pPr>
                  <w:r>
                    <w:rPr>
                      <w:rFonts w:hint="eastAsia"/>
                      <w:color w:val="auto"/>
                      <w:lang w:val="en-US" w:eastAsia="zh-CN"/>
                    </w:rPr>
                    <w:t>本</w:t>
                  </w:r>
                  <w:r>
                    <w:rPr>
                      <w:color w:val="auto"/>
                    </w:rPr>
                    <w:t>项目</w:t>
                  </w:r>
                  <w:r>
                    <w:rPr>
                      <w:rFonts w:hint="eastAsia"/>
                      <w:color w:val="auto"/>
                    </w:rPr>
                    <w:t>不涉及中水回用</w:t>
                  </w:r>
                </w:p>
              </w:tc>
              <w:tc>
                <w:tcPr>
                  <w:tcW w:w="387" w:type="pct"/>
                  <w:tcBorders>
                    <w:top w:val="single" w:color="auto" w:sz="4" w:space="0"/>
                    <w:left w:val="single" w:color="auto" w:sz="4" w:space="0"/>
                    <w:bottom w:val="single" w:color="auto" w:sz="4" w:space="0"/>
                    <w:right w:val="single" w:color="auto" w:sz="4" w:space="0"/>
                  </w:tcBorders>
                  <w:noWrap w:val="0"/>
                  <w:vAlign w:val="center"/>
                </w:tcPr>
                <w:p>
                  <w:pPr>
                    <w:pStyle w:val="92"/>
                    <w:rPr>
                      <w:color w:val="auto"/>
                    </w:rPr>
                  </w:pPr>
                  <w:r>
                    <w:rPr>
                      <w:rFonts w:hint="eastAsia"/>
                      <w:color w:val="auto"/>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
              </w:rPr>
              <w:t>综上所述，本项目符合“三线一单”管控要求。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rPr>
              <w:t>产业政策符合性分析</w:t>
            </w:r>
          </w:p>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360" w:lineRule="auto"/>
              <w:ind w:firstLine="420" w:firstLineChars="20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
              </w:rPr>
              <w:t>本项目为</w:t>
            </w:r>
            <w:r>
              <w:rPr>
                <w:rFonts w:hint="default" w:ascii="Times New Roman" w:hAnsi="Times New Roman" w:cs="Times New Roman"/>
                <w:color w:val="auto"/>
                <w:kern w:val="2"/>
                <w:sz w:val="21"/>
                <w:szCs w:val="21"/>
                <w:lang w:val="en-US" w:eastAsia="zh-CN" w:bidi="ar"/>
              </w:rPr>
              <w:t>C3752 摩托车零部件及配件制造</w:t>
            </w:r>
            <w:r>
              <w:rPr>
                <w:rFonts w:hint="default" w:ascii="Times New Roman" w:hAnsi="Times New Roman" w:eastAsia="宋体" w:cs="Times New Roman"/>
                <w:color w:val="auto"/>
                <w:kern w:val="2"/>
                <w:sz w:val="21"/>
                <w:szCs w:val="21"/>
                <w:lang w:val="en-US" w:eastAsia="zh-CN" w:bidi="ar"/>
              </w:rPr>
              <w:t>，不属于《产业结构调整指导目录(2019年本)(2021年修订)》中规定的鼓励类、淘汰类和禁止类建设项目，根据《促进产业结构调整暂行规定》，第十三条“不属于鼓励类、限制类和淘汰类，且符合国家有关</w:t>
            </w:r>
            <w:r>
              <w:rPr>
                <w:rFonts w:hint="eastAsia" w:ascii="Times New Roman" w:cs="Times New Roman"/>
                <w:color w:val="auto"/>
                <w:kern w:val="2"/>
                <w:sz w:val="21"/>
                <w:szCs w:val="21"/>
                <w:lang w:val="en-US" w:eastAsia="zh-CN" w:bidi="ar"/>
              </w:rPr>
              <w:t>法律法规</w:t>
            </w:r>
            <w:r>
              <w:rPr>
                <w:rFonts w:hint="default" w:ascii="Times New Roman" w:hAnsi="Times New Roman" w:eastAsia="宋体" w:cs="Times New Roman"/>
                <w:color w:val="auto"/>
                <w:kern w:val="2"/>
                <w:sz w:val="21"/>
                <w:szCs w:val="21"/>
                <w:lang w:val="en-US" w:eastAsia="zh-CN" w:bidi="ar"/>
              </w:rPr>
              <w:t>和政策规定的，为允许类。允许类不列入《产业结构调整指导目录》。”本项目不在现行国家产业政策中规定的限制和淘汰类建设项目之列，属于允许类建设项目。</w:t>
            </w:r>
            <w:r>
              <w:rPr>
                <w:rFonts w:hint="default" w:ascii="Times New Roman" w:hAnsi="Times New Roman" w:eastAsia="宋体" w:cs="Times New Roman"/>
                <w:color w:val="auto"/>
                <w:kern w:val="0"/>
                <w:sz w:val="21"/>
                <w:szCs w:val="21"/>
              </w:rPr>
              <w:t>因此，项目的建设符合现行国家产业政策。</w:t>
            </w:r>
          </w:p>
          <w:p>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与《重庆市工业项目环境准入规定（修订）》符合性分析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本项目符合《重庆市工业项目环境准入规定》，</w:t>
            </w:r>
            <w:r>
              <w:rPr>
                <w:rFonts w:hint="default" w:ascii="Times New Roman" w:hAnsi="Times New Roman" w:eastAsia="宋体" w:cs="Times New Roman"/>
                <w:bCs/>
                <w:color w:val="auto"/>
                <w:sz w:val="21"/>
                <w:szCs w:val="21"/>
              </w:rPr>
              <w:t>符合性分析见表</w:t>
            </w:r>
            <w:r>
              <w:rPr>
                <w:rFonts w:hint="default" w:ascii="Times New Roman" w:hAnsi="Times New Roman" w:eastAsia="宋体" w:cs="Times New Roman"/>
                <w:bCs/>
                <w:color w:val="auto"/>
                <w:sz w:val="21"/>
                <w:szCs w:val="21"/>
                <w:lang w:val="en-US" w:eastAsia="zh-CN"/>
              </w:rPr>
              <w:t>1.</w:t>
            </w:r>
            <w:r>
              <w:rPr>
                <w:rFonts w:hint="eastAsia" w:cs="Times New Roman"/>
                <w:bCs/>
                <w:color w:val="auto"/>
                <w:sz w:val="21"/>
                <w:szCs w:val="21"/>
                <w:lang w:val="en-US" w:eastAsia="zh-CN"/>
              </w:rPr>
              <w:t>3</w:t>
            </w:r>
            <w:r>
              <w:rPr>
                <w:rFonts w:hint="default" w:ascii="Times New Roman" w:hAnsi="Times New Roman" w:eastAsia="宋体" w:cs="Times New Roman"/>
                <w:bCs/>
                <w:color w:val="auto"/>
                <w:sz w:val="21"/>
                <w:szCs w:val="21"/>
              </w:rPr>
              <w:t>。</w:t>
            </w:r>
          </w:p>
          <w:p>
            <w:pPr>
              <w:keepNext w:val="0"/>
              <w:keepLines w:val="0"/>
              <w:pageBreakBefore w:val="0"/>
              <w:widowControl w:val="0"/>
              <w:tabs>
                <w:tab w:val="left" w:pos="1867"/>
                <w:tab w:val="center" w:pos="6028"/>
              </w:tabs>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lang w:eastAsia="zh-CN"/>
              </w:rPr>
              <w:tab/>
            </w:r>
            <w:r>
              <w:rPr>
                <w:rFonts w:hint="default" w:ascii="Times New Roman" w:hAnsi="Times New Roman" w:eastAsia="宋体" w:cs="Times New Roman"/>
                <w:b/>
                <w:color w:val="auto"/>
                <w:kern w:val="0"/>
                <w:sz w:val="21"/>
                <w:szCs w:val="21"/>
                <w:lang w:eastAsia="zh-CN"/>
              </w:rPr>
              <w:tab/>
            </w: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1.</w:t>
            </w:r>
            <w:r>
              <w:rPr>
                <w:rFonts w:hint="eastAsia"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rPr>
              <w:t>新建项目符合性分析一览表（摘录）</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7638"/>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7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环境准入条件</w:t>
                  </w:r>
                </w:p>
              </w:tc>
              <w:tc>
                <w:tcPr>
                  <w:tcW w:w="35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baseline"/>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工业项目应符合产业政策，不得采用国家和本市淘汰的或禁止使用的工艺、技术和设备，不得建设生产工艺或污染防治技术不成熟的项目。</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不属于</w:t>
                  </w:r>
                  <w:r>
                    <w:rPr>
                      <w:rFonts w:hint="default" w:ascii="Times New Roman" w:hAnsi="Times New Roman" w:eastAsia="宋体" w:cs="Times New Roman"/>
                      <w:i w:val="0"/>
                      <w:caps w:val="0"/>
                      <w:color w:val="auto"/>
                      <w:spacing w:val="0"/>
                      <w:sz w:val="21"/>
                      <w:szCs w:val="21"/>
                      <w:shd w:val="clear" w:color="auto" w:fill="FFFFFF"/>
                      <w:lang w:eastAsia="zh-CN"/>
                    </w:rPr>
                    <w:t>《产业结构调整指导目录</w:t>
                  </w:r>
                  <w:r>
                    <w:rPr>
                      <w:rFonts w:hint="default" w:ascii="Times New Roman" w:hAnsi="Times New Roman" w:eastAsia="宋体" w:cs="Times New Roman"/>
                      <w:i w:val="0"/>
                      <w:caps w:val="0"/>
                      <w:color w:val="auto"/>
                      <w:spacing w:val="0"/>
                      <w:sz w:val="21"/>
                      <w:szCs w:val="21"/>
                      <w:shd w:val="clear" w:color="auto" w:fill="FFFFFF"/>
                      <w:lang w:val="en-US" w:eastAsia="zh-CN"/>
                    </w:rPr>
                    <w:t>(2019年本)(2021年修订)</w:t>
                  </w:r>
                  <w:r>
                    <w:rPr>
                      <w:rFonts w:hint="default" w:ascii="Times New Roman" w:hAnsi="Times New Roman" w:eastAsia="宋体" w:cs="Times New Roman"/>
                      <w:i w:val="0"/>
                      <w:caps w:val="0"/>
                      <w:color w:val="auto"/>
                      <w:spacing w:val="0"/>
                      <w:sz w:val="21"/>
                      <w:szCs w:val="21"/>
                      <w:shd w:val="clear" w:color="auto" w:fill="FFFFFF"/>
                      <w:lang w:eastAsia="zh-CN"/>
                    </w:rPr>
                    <w:t>》</w:t>
                  </w:r>
                  <w:r>
                    <w:rPr>
                      <w:rFonts w:hint="default" w:ascii="Times New Roman" w:hAnsi="Times New Roman" w:eastAsia="宋体" w:cs="Times New Roman"/>
                      <w:i w:val="0"/>
                      <w:caps w:val="0"/>
                      <w:color w:val="auto"/>
                      <w:spacing w:val="0"/>
                      <w:sz w:val="21"/>
                      <w:szCs w:val="21"/>
                      <w:shd w:val="clear" w:color="auto" w:fill="FFFFFF"/>
                    </w:rPr>
                    <w:t>中的鼓励类、淘汰类和限制类项目，即视为允许类，符合国家的产业政策。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baseline"/>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本市新建和改造的工业项目清洁生产水平不得低于国家清洁生产标准的国内基本水平。其中，国家级开发区内的，应达到国内先进水平。</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本项目采用较为</w:t>
                  </w:r>
                  <w:r>
                    <w:rPr>
                      <w:rFonts w:hint="default" w:ascii="Times New Roman" w:hAnsi="Times New Roman" w:eastAsia="宋体" w:cs="Times New Roman"/>
                      <w:i w:val="0"/>
                      <w:caps w:val="0"/>
                      <w:color w:val="auto"/>
                      <w:spacing w:val="0"/>
                      <w:sz w:val="21"/>
                      <w:szCs w:val="21"/>
                      <w:shd w:val="clear" w:color="auto" w:fill="FFFFFF"/>
                      <w:lang w:val="en-US" w:eastAsia="zh-CN"/>
                    </w:rPr>
                    <w:t>先进</w:t>
                  </w:r>
                  <w:r>
                    <w:rPr>
                      <w:rFonts w:hint="default" w:ascii="Times New Roman" w:hAnsi="Times New Roman" w:eastAsia="宋体" w:cs="Times New Roman"/>
                      <w:i w:val="0"/>
                      <w:caps w:val="0"/>
                      <w:color w:val="auto"/>
                      <w:spacing w:val="0"/>
                      <w:sz w:val="21"/>
                      <w:szCs w:val="21"/>
                      <w:shd w:val="clear" w:color="auto" w:fill="FFFFFF"/>
                    </w:rPr>
                    <w:t>工艺设备，从源头控制污染物的排放，其清洁水平</w:t>
                  </w:r>
                  <w:r>
                    <w:rPr>
                      <w:rFonts w:hint="default" w:ascii="Times New Roman" w:hAnsi="Times New Roman" w:eastAsia="宋体" w:cs="Times New Roman"/>
                      <w:i w:val="0"/>
                      <w:caps w:val="0"/>
                      <w:color w:val="auto"/>
                      <w:spacing w:val="0"/>
                      <w:sz w:val="21"/>
                      <w:szCs w:val="21"/>
                      <w:shd w:val="clear" w:color="auto" w:fill="FFFFFF"/>
                      <w:lang w:eastAsia="zh-CN"/>
                    </w:rPr>
                    <w:t>较高</w:t>
                  </w:r>
                  <w:r>
                    <w:rPr>
                      <w:rFonts w:hint="default" w:ascii="Times New Roman" w:hAnsi="Times New Roman" w:eastAsia="宋体" w:cs="Times New Roman"/>
                      <w:i w:val="0"/>
                      <w:caps w:val="0"/>
                      <w:color w:val="auto"/>
                      <w:spacing w:val="0"/>
                      <w:sz w:val="21"/>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baseline"/>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工业项目选址应符合产业发展规划、城乡总体规划、土地利用规划等规划。新建有污染物排放的工业项目应进入工业园区或工业集中区。</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lang w:val="en-US" w:eastAsia="zh-CN"/>
                    </w:rPr>
                    <w:t>本项目位于铜梁高新区内，用地类型为工业用地，本项目属于C3752 摩托车零部件及配件制造，符合园区产业发展规划。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baseline"/>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在长江、嘉陵江主城区江段及其上游沿江河地区严格限制建设可能对饮用水源带来安全隐患的化工、造纸、印染及排放有毒有害物质和重金属的工业项目。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在长江鱼嘴以上江段及其一级支流汇入口上游5公里、嘉陵江及其一级支流汇入口上游5公里、集中式饮用水源地取水口上游5公里的沿岸地区，禁止新建、</w:t>
                  </w:r>
                  <w:r>
                    <w:rPr>
                      <w:rFonts w:hint="default" w:ascii="Times New Roman" w:hAnsi="Times New Roman" w:eastAsia="宋体" w:cs="Times New Roman"/>
                      <w:i w:val="0"/>
                      <w:caps w:val="0"/>
                      <w:color w:val="auto"/>
                      <w:spacing w:val="0"/>
                      <w:sz w:val="21"/>
                      <w:szCs w:val="21"/>
                      <w:shd w:val="clear" w:color="auto" w:fill="FFFFFF"/>
                      <w:lang w:eastAsia="zh-CN"/>
                    </w:rPr>
                    <w:t>本</w:t>
                  </w:r>
                  <w:r>
                    <w:rPr>
                      <w:rFonts w:hint="default" w:ascii="Times New Roman" w:hAnsi="Times New Roman" w:eastAsia="宋体" w:cs="Times New Roman"/>
                      <w:i w:val="0"/>
                      <w:caps w:val="0"/>
                      <w:color w:val="auto"/>
                      <w:spacing w:val="0"/>
                      <w:sz w:val="21"/>
                      <w:szCs w:val="21"/>
                      <w:shd w:val="clear" w:color="auto" w:fill="FFFFFF"/>
                    </w:rPr>
                    <w:t>排放重金属、剧毒物质和持久性有机污染物的工业项目。</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lang w:eastAsia="zh-CN"/>
                    </w:rPr>
                    <w:t>本项目</w:t>
                  </w:r>
                  <w:r>
                    <w:rPr>
                      <w:rFonts w:hint="default" w:ascii="Times New Roman" w:hAnsi="Times New Roman" w:eastAsia="宋体" w:cs="Times New Roman"/>
                      <w:i w:val="0"/>
                      <w:caps w:val="0"/>
                      <w:color w:val="auto"/>
                      <w:spacing w:val="0"/>
                      <w:sz w:val="21"/>
                      <w:szCs w:val="21"/>
                      <w:shd w:val="clear" w:color="auto" w:fill="FFFFFF"/>
                    </w:rPr>
                    <w:t>属于</w:t>
                  </w:r>
                  <w:r>
                    <w:rPr>
                      <w:rFonts w:hint="default" w:ascii="Times New Roman" w:hAnsi="Times New Roman" w:eastAsia="宋体" w:cs="Times New Roman"/>
                      <w:i w:val="0"/>
                      <w:caps w:val="0"/>
                      <w:color w:val="auto"/>
                      <w:spacing w:val="0"/>
                      <w:sz w:val="21"/>
                      <w:szCs w:val="21"/>
                      <w:shd w:val="clear" w:color="auto" w:fill="FFFFFF"/>
                      <w:lang w:eastAsia="zh-CN"/>
                    </w:rPr>
                    <w:t xml:space="preserve"> C3752 摩托车零部件及配件制造</w:t>
                  </w:r>
                  <w:r>
                    <w:rPr>
                      <w:rFonts w:hint="default" w:ascii="Times New Roman" w:hAnsi="Times New Roman" w:eastAsia="宋体" w:cs="Times New Roman"/>
                      <w:i w:val="0"/>
                      <w:caps w:val="0"/>
                      <w:color w:val="auto"/>
                      <w:spacing w:val="0"/>
                      <w:sz w:val="21"/>
                      <w:szCs w:val="21"/>
                      <w:shd w:val="clear" w:color="auto" w:fill="FFFFFF"/>
                    </w:rPr>
                    <w:t>，不产生有毒有害、重金属污染物及持久性污染物</w:t>
                  </w:r>
                  <w:r>
                    <w:rPr>
                      <w:rFonts w:hint="default" w:ascii="Times New Roman" w:hAnsi="Times New Roman" w:eastAsia="宋体" w:cs="Times New Roman"/>
                      <w:i w:val="0"/>
                      <w:caps w:val="0"/>
                      <w:color w:val="auto"/>
                      <w:spacing w:val="0"/>
                      <w:sz w:val="21"/>
                      <w:szCs w:val="21"/>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baseline"/>
                    <w:outlineLvl w:val="9"/>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5</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在主城区禁止新建、改建、</w:t>
                  </w:r>
                  <w:r>
                    <w:rPr>
                      <w:rFonts w:hint="default" w:ascii="Times New Roman" w:hAnsi="Times New Roman" w:eastAsia="宋体" w:cs="Times New Roman"/>
                      <w:i w:val="0"/>
                      <w:caps w:val="0"/>
                      <w:color w:val="auto"/>
                      <w:spacing w:val="0"/>
                      <w:sz w:val="21"/>
                      <w:szCs w:val="21"/>
                      <w:shd w:val="clear" w:color="auto" w:fill="FFFFFF"/>
                      <w:lang w:eastAsia="zh-CN"/>
                    </w:rPr>
                    <w:t>本</w:t>
                  </w:r>
                  <w:r>
                    <w:rPr>
                      <w:rFonts w:hint="default" w:ascii="Times New Roman" w:hAnsi="Times New Roman" w:eastAsia="宋体" w:cs="Times New Roman"/>
                      <w:i w:val="0"/>
                      <w:caps w:val="0"/>
                      <w:color w:val="auto"/>
                      <w:spacing w:val="0"/>
                      <w:sz w:val="21"/>
                      <w:szCs w:val="21"/>
                      <w:shd w:val="clear" w:color="auto" w:fill="FFFFFF"/>
                    </w:rPr>
                    <w:t>以煤、重油为燃料的工业项目；在合川区、江津区、长寿区、</w:t>
                  </w:r>
                  <w:r>
                    <w:rPr>
                      <w:rFonts w:hint="default" w:ascii="Times New Roman" w:hAnsi="Times New Roman" w:eastAsia="宋体" w:cs="Times New Roman"/>
                      <w:i w:val="0"/>
                      <w:caps w:val="0"/>
                      <w:color w:val="auto"/>
                      <w:spacing w:val="0"/>
                      <w:sz w:val="21"/>
                      <w:szCs w:val="21"/>
                      <w:shd w:val="clear" w:color="auto" w:fill="FFFFFF"/>
                      <w:lang w:eastAsia="zh-CN"/>
                    </w:rPr>
                    <w:t>铜梁</w:t>
                  </w:r>
                  <w:r>
                    <w:rPr>
                      <w:rFonts w:hint="default" w:ascii="Times New Roman" w:hAnsi="Times New Roman" w:eastAsia="宋体" w:cs="Times New Roman"/>
                      <w:i w:val="0"/>
                      <w:caps w:val="0"/>
                      <w:color w:val="auto"/>
                      <w:spacing w:val="0"/>
                      <w:sz w:val="21"/>
                      <w:szCs w:val="21"/>
                      <w:shd w:val="clear" w:color="auto" w:fill="FFFFFF"/>
                    </w:rPr>
                    <w:t>县等地区严格限制新建、</w:t>
                  </w:r>
                  <w:r>
                    <w:rPr>
                      <w:rFonts w:hint="default" w:ascii="Times New Roman" w:hAnsi="Times New Roman" w:eastAsia="宋体" w:cs="Times New Roman"/>
                      <w:i w:val="0"/>
                      <w:caps w:val="0"/>
                      <w:color w:val="auto"/>
                      <w:spacing w:val="0"/>
                      <w:sz w:val="21"/>
                      <w:szCs w:val="21"/>
                      <w:shd w:val="clear" w:color="auto" w:fill="FFFFFF"/>
                      <w:lang w:eastAsia="zh-CN"/>
                    </w:rPr>
                    <w:t>本</w:t>
                  </w:r>
                  <w:r>
                    <w:rPr>
                      <w:rFonts w:hint="default" w:ascii="Times New Roman" w:hAnsi="Times New Roman" w:eastAsia="宋体" w:cs="Times New Roman"/>
                      <w:i w:val="0"/>
                      <w:caps w:val="0"/>
                      <w:color w:val="auto"/>
                      <w:spacing w:val="0"/>
                      <w:sz w:val="21"/>
                      <w:szCs w:val="21"/>
                      <w:shd w:val="clear" w:color="auto" w:fill="FFFFFF"/>
                    </w:rPr>
                    <w:t>可能对主城区大气产生影响的燃用煤、重油等高污染燃料的工业项目。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在主城区及其主导风上风向10公里范围内禁止新建、</w:t>
                  </w:r>
                  <w:r>
                    <w:rPr>
                      <w:rFonts w:hint="default" w:ascii="Times New Roman" w:hAnsi="Times New Roman" w:eastAsia="宋体" w:cs="Times New Roman"/>
                      <w:i w:val="0"/>
                      <w:caps w:val="0"/>
                      <w:color w:val="auto"/>
                      <w:spacing w:val="0"/>
                      <w:sz w:val="21"/>
                      <w:szCs w:val="21"/>
                      <w:shd w:val="clear" w:color="auto" w:fill="FFFFFF"/>
                      <w:lang w:eastAsia="zh-CN"/>
                    </w:rPr>
                    <w:t>本</w:t>
                  </w:r>
                  <w:r>
                    <w:rPr>
                      <w:rFonts w:hint="default" w:ascii="Times New Roman" w:hAnsi="Times New Roman" w:eastAsia="宋体" w:cs="Times New Roman"/>
                      <w:i w:val="0"/>
                      <w:caps w:val="0"/>
                      <w:color w:val="auto"/>
                      <w:spacing w:val="0"/>
                      <w:sz w:val="21"/>
                      <w:szCs w:val="21"/>
                      <w:shd w:val="clear" w:color="auto" w:fill="FFFFFF"/>
                    </w:rPr>
                    <w:t>大气污染严重的火电、冶炼、水泥项目及10蒸吨/小时以上燃煤锅炉。</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不涉及煤及重油等高污染燃料使用。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outlineLvl w:val="9"/>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6</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工业项目选址区域应有相应的环境容量，新增主要污染物排放量的工业项目必须取得排污指标，不得影响污染物总量减排计划的完成。未按要求完成污染物总量削减任务的企业、流域和区域，不得建设新增相应污染物排放量的工业项目。</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该项目建设区域具有相应的环境容量。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outlineLvl w:val="9"/>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7</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新建、改建、</w:t>
                  </w:r>
                  <w:r>
                    <w:rPr>
                      <w:rFonts w:hint="default" w:ascii="Times New Roman" w:hAnsi="Times New Roman" w:eastAsia="宋体" w:cs="Times New Roman"/>
                      <w:i w:val="0"/>
                      <w:caps w:val="0"/>
                      <w:color w:val="auto"/>
                      <w:spacing w:val="0"/>
                      <w:sz w:val="21"/>
                      <w:szCs w:val="21"/>
                      <w:shd w:val="clear" w:color="auto" w:fill="FFFFFF"/>
                      <w:lang w:eastAsia="zh-CN"/>
                    </w:rPr>
                    <w:t>本</w:t>
                  </w:r>
                  <w:r>
                    <w:rPr>
                      <w:rFonts w:hint="default" w:ascii="Times New Roman" w:hAnsi="Times New Roman" w:eastAsia="宋体" w:cs="Times New Roman"/>
                      <w:i w:val="0"/>
                      <w:caps w:val="0"/>
                      <w:color w:val="auto"/>
                      <w:spacing w:val="0"/>
                      <w:sz w:val="21"/>
                      <w:szCs w:val="21"/>
                      <w:shd w:val="clear" w:color="auto" w:fill="FFFFFF"/>
                    </w:rPr>
                    <w:t>工业项目所在地大气、水环境主要污染物现状浓度占标准值90%～100%的，项目所在地应按该项目新增污染物排放量的1.5倍削减现有污染物排放量。</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lang w:val="en-US" w:eastAsia="zh-CN"/>
                    </w:rPr>
                    <w:t>本项目位于环境空气达标区，所在区域具有一定环境容量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outlineLvl w:val="9"/>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8</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本项目属于</w:t>
                  </w:r>
                  <w:r>
                    <w:rPr>
                      <w:rFonts w:hint="default" w:ascii="Times New Roman" w:hAnsi="Times New Roman" w:eastAsia="宋体" w:cs="Times New Roman"/>
                      <w:i w:val="0"/>
                      <w:caps w:val="0"/>
                      <w:color w:val="auto"/>
                      <w:spacing w:val="0"/>
                      <w:sz w:val="21"/>
                      <w:szCs w:val="21"/>
                      <w:shd w:val="clear" w:color="auto" w:fill="FFFFFF"/>
                      <w:lang w:eastAsia="zh-CN"/>
                    </w:rPr>
                    <w:t>C3752 摩托车零部件及配件制造</w:t>
                  </w:r>
                  <w:r>
                    <w:rPr>
                      <w:rFonts w:hint="default" w:ascii="Times New Roman" w:hAnsi="Times New Roman" w:eastAsia="宋体" w:cs="Times New Roman"/>
                      <w:i w:val="0"/>
                      <w:caps w:val="0"/>
                      <w:color w:val="auto"/>
                      <w:spacing w:val="0"/>
                      <w:sz w:val="21"/>
                      <w:szCs w:val="21"/>
                      <w:shd w:val="clear" w:color="auto" w:fill="FFFFFF"/>
                    </w:rPr>
                    <w:t>，不产生重金属污染物</w:t>
                  </w:r>
                  <w:r>
                    <w:rPr>
                      <w:rFonts w:hint="default" w:ascii="Times New Roman" w:hAnsi="Times New Roman" w:eastAsia="宋体" w:cs="Times New Roman"/>
                      <w:i w:val="0"/>
                      <w:caps w:val="0"/>
                      <w:color w:val="auto"/>
                      <w:spacing w:val="0"/>
                      <w:sz w:val="21"/>
                      <w:szCs w:val="21"/>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outlineLvl w:val="9"/>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9</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禁止建设存在重大环境安全隐患的工业项目。</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项目无重大危险源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outlineLvl w:val="9"/>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10</w:t>
                  </w:r>
                </w:p>
              </w:tc>
              <w:tc>
                <w:tcPr>
                  <w:tcW w:w="7638"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工业项目排放污染物必须达到国家和地方规定的污染物排放标准，资源环境绩效水平应达到本规定要求。</w:t>
                  </w:r>
                </w:p>
              </w:tc>
              <w:tc>
                <w:tcPr>
                  <w:tcW w:w="3586"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工程在采取有效治理措施后，污染物能够达标排放</w:t>
                  </w:r>
                  <w:r>
                    <w:rPr>
                      <w:rFonts w:hint="default" w:ascii="Times New Roman" w:hAnsi="Times New Roman" w:eastAsia="宋体" w:cs="Times New Roman"/>
                      <w:i w:val="0"/>
                      <w:caps w:val="0"/>
                      <w:color w:val="auto"/>
                      <w:spacing w:val="0"/>
                      <w:sz w:val="21"/>
                      <w:szCs w:val="21"/>
                      <w:shd w:val="clear" w:color="auto" w:fill="FFFFFF"/>
                      <w:lang w:eastAsia="zh-CN"/>
                    </w:rPr>
                    <w:t>。</w:t>
                  </w:r>
                </w:p>
              </w:tc>
            </w:tr>
          </w:tbl>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综上所述，本项目符合《重庆市工业项目环境准入规定（修订）》的要求。</w:t>
            </w:r>
          </w:p>
          <w:p>
            <w:pPr>
              <w:pStyle w:val="23"/>
              <w:spacing w:before="0" w:beforeAutospacing="0" w:after="0" w:afterAutospacing="0"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rPr>
              <w:t>与《重庆市环境保护条例》（2018修正）符合性分析</w:t>
            </w:r>
          </w:p>
          <w:p>
            <w:pPr>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根据《重庆市环境保护条例》（2018修正）指出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除在安全或者产业布局等方面有特殊要求的项目外，新建有污染物排放的工业项目，应当进入工业园区或者工业集聚区，不得在工业园区或者工业集聚区以外区域实施增加产能的技改或者扩建项目。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本项目位于</w:t>
            </w:r>
            <w:r>
              <w:rPr>
                <w:rFonts w:hint="default" w:ascii="Times New Roman" w:hAnsi="Times New Roman" w:cs="Times New Roman"/>
                <w:color w:val="auto"/>
                <w:sz w:val="21"/>
                <w:szCs w:val="21"/>
                <w:lang w:eastAsia="zh-CN"/>
              </w:rPr>
              <w:t>铜梁</w:t>
            </w:r>
            <w:r>
              <w:rPr>
                <w:rFonts w:hint="default" w:ascii="Times New Roman" w:hAnsi="Times New Roman" w:eastAsia="宋体" w:cs="Times New Roman"/>
                <w:color w:val="auto"/>
                <w:sz w:val="21"/>
                <w:szCs w:val="21"/>
                <w:lang w:val="en-US" w:eastAsia="zh-CN"/>
              </w:rPr>
              <w:t>高新</w:t>
            </w:r>
            <w:r>
              <w:rPr>
                <w:rFonts w:hint="default" w:ascii="Times New Roman" w:hAnsi="Times New Roman" w:eastAsia="宋体" w:cs="Times New Roman"/>
                <w:color w:val="auto"/>
                <w:sz w:val="21"/>
                <w:szCs w:val="21"/>
              </w:rPr>
              <w:t>区，用地性质为工业用地，符合重庆市环境保护条例要求。</w:t>
            </w:r>
          </w:p>
          <w:p>
            <w:pPr>
              <w:pStyle w:val="23"/>
              <w:spacing w:before="0" w:beforeAutospacing="0" w:after="0" w:afterAutospacing="0"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重庆市产业投资准入工作手册</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（渝发改投</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2018</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541号）符合性分析</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本项目与《重庆市产业投资准入工作手册》（渝发改投</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2018</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541号）符合性分析详见表1.</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p>
            <w:pPr>
              <w:pStyle w:val="23"/>
              <w:spacing w:before="0" w:beforeAutospacing="0" w:after="0" w:afterAutospacing="0" w:line="36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《重庆市产业投资准入工作手册》符合性分析表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3"/>
              <w:gridCol w:w="1362"/>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相关内容</w:t>
                  </w:r>
                </w:p>
              </w:tc>
              <w:tc>
                <w:tcPr>
                  <w:tcW w:w="1362"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877"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092" w:type="dxa"/>
                  <w:gridSpan w:val="3"/>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
                    </w:rPr>
                    <w:t>（一）全市范围内不予准入的产业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853"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1．国家产业结构调整指导目录中的淘汰类项目。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2．烟花爆竹生产。</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3．400KA以下电解铝生产线。</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4．单机10万千瓦以下和设计寿命期满的单机</w:t>
                  </w:r>
                  <w:r>
                    <w:rPr>
                      <w:rFonts w:hint="default" w:ascii="Times New Roman" w:hAnsi="Times New Roman" w:eastAsia="宋体" w:cs="Times New Roman"/>
                      <w:i w:val="0"/>
                      <w:caps w:val="0"/>
                      <w:color w:val="auto"/>
                      <w:spacing w:val="0"/>
                      <w:sz w:val="21"/>
                      <w:szCs w:val="21"/>
                      <w:shd w:val="clear" w:color="auto" w:fill="FFFFFF"/>
                      <w:lang w:eastAsia="zh-CN"/>
                    </w:rPr>
                    <w:t>100万</w:t>
                  </w:r>
                  <w:r>
                    <w:rPr>
                      <w:rFonts w:hint="default" w:ascii="Times New Roman" w:hAnsi="Times New Roman" w:eastAsia="宋体" w:cs="Times New Roman"/>
                      <w:i w:val="0"/>
                      <w:caps w:val="0"/>
                      <w:color w:val="auto"/>
                      <w:spacing w:val="0"/>
                      <w:sz w:val="21"/>
                      <w:szCs w:val="21"/>
                      <w:shd w:val="clear" w:color="auto" w:fill="FFFFFF"/>
                    </w:rPr>
                    <w:t>千瓦以下常规燃煤火电机。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5．天然林商业性采伐。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6．资源环境绩效水平超过《重庆市工业项目环境准入规定》（渝办发〔2012〕142号）限值以及不符合生态建设和环境保护规划区域布局规定的工业项目。在环境容量超载的区域（流域）增加污染物排放的项目。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aps w:val="0"/>
                      <w:color w:val="auto"/>
                      <w:spacing w:val="0"/>
                      <w:sz w:val="21"/>
                      <w:szCs w:val="21"/>
                      <w:shd w:val="clear" w:color="auto" w:fill="FFFFFF"/>
                    </w:rPr>
                    <w:t>7．不符合《重庆市人民政府办公厅关于印发重庆市供给侧结构性改革去产能专项方案的通知》（渝府办发〔2016〕128号）要求的环保、能耗、工艺与装备标准的煤炭、钢铁、水泥、电解铝、平板玻璃和船舶制造等项目。</w:t>
                  </w:r>
                </w:p>
              </w:tc>
              <w:tc>
                <w:tcPr>
                  <w:tcW w:w="1362"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atLeast"/>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本项目属于</w:t>
                  </w:r>
                  <w:r>
                    <w:rPr>
                      <w:rFonts w:hint="default" w:ascii="Times New Roman" w:hAnsi="Times New Roman" w:cs="Times New Roman"/>
                      <w:color w:val="auto"/>
                      <w:sz w:val="21"/>
                      <w:szCs w:val="21"/>
                      <w:vertAlign w:val="baseline"/>
                      <w:lang w:val="en-US" w:eastAsia="zh-CN"/>
                    </w:rPr>
                    <w:t>C3752 摩托车零部件及配件制造</w:t>
                  </w:r>
                  <w:r>
                    <w:rPr>
                      <w:rFonts w:hint="default" w:ascii="Times New Roman" w:hAnsi="Times New Roman" w:eastAsia="宋体" w:cs="Times New Roman"/>
                      <w:color w:val="auto"/>
                      <w:sz w:val="21"/>
                      <w:szCs w:val="21"/>
                      <w:vertAlign w:val="baseline"/>
                      <w:lang w:val="en-US" w:eastAsia="zh-CN"/>
                    </w:rPr>
                    <w:t>，不属于</w:t>
                  </w:r>
                  <w:r>
                    <w:rPr>
                      <w:rFonts w:hint="default" w:ascii="Times New Roman" w:hAnsi="Times New Roman" w:eastAsia="宋体" w:cs="Times New Roman"/>
                      <w:i w:val="0"/>
                      <w:caps w:val="0"/>
                      <w:color w:val="auto"/>
                      <w:spacing w:val="0"/>
                      <w:kern w:val="0"/>
                      <w:sz w:val="21"/>
                      <w:szCs w:val="21"/>
                      <w:shd w:val="clear" w:color="auto" w:fill="FFFFFF"/>
                      <w:lang w:val="en-US" w:eastAsia="zh-CN" w:bidi="ar"/>
                    </w:rPr>
                    <w:t>全市范围内不予准入的产业。</w:t>
                  </w:r>
                </w:p>
              </w:tc>
              <w:tc>
                <w:tcPr>
                  <w:tcW w:w="877"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atLeast"/>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092" w:type="dxa"/>
                  <w:gridSpan w:val="3"/>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aps w:val="0"/>
                      <w:color w:val="auto"/>
                      <w:spacing w:val="0"/>
                      <w:sz w:val="21"/>
                      <w:szCs w:val="21"/>
                      <w:shd w:val="clear" w:color="auto" w:fill="FFFFFF"/>
                    </w:rPr>
                    <w:t>（二）重点区域范围内不予准入的产业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853"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1．四山保护区域内的工业项目。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2．长江鱼嘴以上江段及其一级支流汇入口上游20公里、嘉陵江及其一级支流汇入口上游20公里、集中式饮用水水源取水口上游20公里范围内的沿岸地区（江河50年一遇洪水位向陆域一侧1公里范围内）的重金属（铬、镉、汞、砷、铅等五类重金属，下同）、剧毒物质和持久性有机污染物的工业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3．未进入国家和市政府批准的化工园区或化工集中区的化工项目。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4．大气污染防治重点控制区域内，燃煤火电、化工、水泥、采（碎）石场、烧结砖瓦窑以及燃煤锅炉等项目。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5．主城区以外的各区县城区及其主导上风向5公里范围内，燃煤电厂、水泥、冶炼等大气污染严重的项目。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6．二十五度以上陡坡地开垦种植农作物。</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7．饮用水水源保护区、自然保护区、自然文化遗产地、湿地公园、森林公园、风景名胜区、地质公园等区域进行工业化城镇化开发。其中，饮用水水源保护区包括一级保护区和二级保护区；自然保护区包括县级及以上自然保护区的核心区、缓冲区、实验区；自然文化遗产地、湿地公园、森林公园、风景名胜区、地质公园包括规划范围以内全部区域。</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8．生态红线控制区、生态环境敏感区、人口聚集区涉重金属排放项目。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9．长江干流及主要支流岸线1公里范围内重化工项目（除在建项目外）。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10．修改为长江干流及主要支流（指乌江、嘉陵江、大宁河、阿蓬江、涪江、渠江）175米库岸沿线至第一山脊线范围内采矿。</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11．外环绕城高速公路以内长江、嘉陵江水域采砂。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12．主城区不符合</w:t>
                  </w:r>
                  <w:r>
                    <w:rPr>
                      <w:rFonts w:hint="default" w:ascii="Times New Roman" w:hAnsi="Times New Roman" w:eastAsia="宋体" w:cs="Times New Roman"/>
                      <w:i w:val="0"/>
                      <w:caps w:val="0"/>
                      <w:color w:val="auto"/>
                      <w:spacing w:val="0"/>
                      <w:sz w:val="21"/>
                      <w:szCs w:val="21"/>
                      <w:shd w:val="clear" w:color="auto" w:fill="FFFFFF"/>
                      <w:lang w:eastAsia="zh-CN"/>
                    </w:rPr>
                    <w:t>“</w:t>
                  </w:r>
                  <w:r>
                    <w:rPr>
                      <w:rFonts w:hint="default" w:ascii="Times New Roman" w:hAnsi="Times New Roman" w:eastAsia="宋体" w:cs="Times New Roman"/>
                      <w:i w:val="0"/>
                      <w:caps w:val="0"/>
                      <w:color w:val="auto"/>
                      <w:spacing w:val="0"/>
                      <w:sz w:val="21"/>
                      <w:szCs w:val="21"/>
                      <w:shd w:val="clear" w:color="auto" w:fill="FFFFFF"/>
                    </w:rPr>
                    <w:t>两江四岸</w:t>
                  </w:r>
                  <w:r>
                    <w:rPr>
                      <w:rFonts w:hint="default" w:ascii="Times New Roman" w:hAnsi="Times New Roman" w:eastAsia="宋体" w:cs="Times New Roman"/>
                      <w:i w:val="0"/>
                      <w:caps w:val="0"/>
                      <w:color w:val="auto"/>
                      <w:spacing w:val="0"/>
                      <w:sz w:val="21"/>
                      <w:szCs w:val="21"/>
                      <w:shd w:val="clear" w:color="auto" w:fill="FFFFFF"/>
                      <w:lang w:eastAsia="zh-CN"/>
                    </w:rPr>
                    <w:t>”</w:t>
                  </w:r>
                  <w:r>
                    <w:rPr>
                      <w:rFonts w:hint="default" w:ascii="Times New Roman" w:hAnsi="Times New Roman" w:eastAsia="宋体" w:cs="Times New Roman"/>
                      <w:i w:val="0"/>
                      <w:caps w:val="0"/>
                      <w:color w:val="auto"/>
                      <w:spacing w:val="0"/>
                      <w:sz w:val="21"/>
                      <w:szCs w:val="21"/>
                      <w:shd w:val="clear" w:color="auto" w:fill="FFFFFF"/>
                    </w:rPr>
                    <w:t>规划设计景观要求的项目以及造纸、印染、危险废物处置项目。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13．主城区内环以内工业项目；内环以外燃煤电厂（含热电）、重化工以及使用煤和重油为燃料的工业项目。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sz w:val="21"/>
                      <w:szCs w:val="21"/>
                      <w:shd w:val="clear" w:color="auto" w:fill="FFFFFF"/>
                    </w:rPr>
                    <w:t>14．主城区及其主导上风向20公里范围内大气污染严重的燃煤电厂（含热电）、冶炼、水泥项目。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15．长江、嘉陵江主城区江段及其上游沿江河地区排放有毒有害物质、重金属以及存在严重环境安全风险的产业项目。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40" w:lineRule="atLeast"/>
                    <w:ind w:right="0"/>
                    <w:jc w:val="left"/>
                    <w:textAlignment w:val="auto"/>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16．东北部地区和东南部地区的化工项目（万州区仅限于对现有主体化工产业链进行完善和升级改造）。</w:t>
                  </w:r>
                </w:p>
              </w:tc>
              <w:tc>
                <w:tcPr>
                  <w:tcW w:w="1362"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atLeast"/>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aps w:val="0"/>
                      <w:color w:val="auto"/>
                      <w:spacing w:val="0"/>
                      <w:sz w:val="21"/>
                      <w:szCs w:val="21"/>
                      <w:shd w:val="clear" w:color="auto" w:fill="FFFFFF"/>
                      <w:lang w:val="en-US" w:eastAsia="zh-CN"/>
                    </w:rPr>
                    <w:t>本项目位于</w:t>
                  </w:r>
                  <w:r>
                    <w:rPr>
                      <w:rFonts w:hint="default" w:ascii="Times New Roman" w:hAnsi="Times New Roman" w:cs="Times New Roman"/>
                      <w:i w:val="0"/>
                      <w:caps w:val="0"/>
                      <w:color w:val="auto"/>
                      <w:spacing w:val="0"/>
                      <w:sz w:val="21"/>
                      <w:szCs w:val="21"/>
                      <w:shd w:val="clear" w:color="auto" w:fill="FFFFFF"/>
                      <w:lang w:val="en-US" w:eastAsia="zh-CN"/>
                    </w:rPr>
                    <w:t>铜梁</w:t>
                  </w:r>
                  <w:r>
                    <w:rPr>
                      <w:rFonts w:hint="default" w:ascii="Times New Roman" w:hAnsi="Times New Roman" w:eastAsia="宋体" w:cs="Times New Roman"/>
                      <w:i w:val="0"/>
                      <w:caps w:val="0"/>
                      <w:color w:val="auto"/>
                      <w:spacing w:val="0"/>
                      <w:sz w:val="21"/>
                      <w:szCs w:val="21"/>
                      <w:shd w:val="clear" w:color="auto" w:fill="FFFFFF"/>
                      <w:lang w:val="en-US" w:eastAsia="zh-CN"/>
                    </w:rPr>
                    <w:t>高新区，不属于</w:t>
                  </w:r>
                  <w:r>
                    <w:rPr>
                      <w:rFonts w:hint="default" w:ascii="Times New Roman" w:hAnsi="Times New Roman" w:eastAsia="宋体" w:cs="Times New Roman"/>
                      <w:i w:val="0"/>
                      <w:caps w:val="0"/>
                      <w:color w:val="auto"/>
                      <w:spacing w:val="0"/>
                      <w:sz w:val="21"/>
                      <w:szCs w:val="21"/>
                      <w:shd w:val="clear" w:color="auto" w:fill="FFFFFF"/>
                    </w:rPr>
                    <w:t>重点区域范围</w:t>
                  </w:r>
                  <w:r>
                    <w:rPr>
                      <w:rFonts w:hint="default" w:ascii="Times New Roman" w:hAnsi="Times New Roman" w:eastAsia="宋体" w:cs="Times New Roman"/>
                      <w:i w:val="0"/>
                      <w:caps w:val="0"/>
                      <w:color w:val="auto"/>
                      <w:spacing w:val="0"/>
                      <w:sz w:val="21"/>
                      <w:szCs w:val="21"/>
                      <w:shd w:val="clear" w:color="auto" w:fill="FFFFFF"/>
                      <w:lang w:eastAsia="zh-CN"/>
                    </w:rPr>
                    <w:t>。</w:t>
                  </w:r>
                </w:p>
              </w:tc>
              <w:tc>
                <w:tcPr>
                  <w:tcW w:w="877"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40" w:lineRule="atLeast"/>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pPr>
              <w:pStyle w:val="23"/>
              <w:spacing w:before="0" w:beforeAutospacing="0" w:after="0" w:afterAutospacing="0"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9</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《关于严格工业布局和准入的通知》</w:t>
            </w:r>
            <w:r>
              <w:rPr>
                <w:rFonts w:hint="default" w:ascii="Times New Roman" w:hAnsi="Times New Roman" w:eastAsia="宋体" w:cs="Times New Roman"/>
                <w:b/>
                <w:bCs/>
                <w:color w:val="auto"/>
                <w:sz w:val="21"/>
                <w:szCs w:val="21"/>
              </w:rPr>
              <w:t>（渝发改工〔2018〕781号）符合性分析</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本项目与《关于严格工业布局和准入的通知》（渝发改工〔2018〕781号）符合性分析详见表1.</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eastAsia="zh-CN"/>
              </w:rPr>
              <w:t>《关于严格工业布局和准入的通知》</w:t>
            </w:r>
            <w:r>
              <w:rPr>
                <w:rFonts w:hint="default" w:ascii="Times New Roman" w:hAnsi="Times New Roman" w:eastAsia="宋体" w:cs="Times New Roman"/>
                <w:b/>
                <w:bCs/>
                <w:color w:val="auto"/>
                <w:sz w:val="21"/>
                <w:szCs w:val="21"/>
                <w:lang w:val="en-US" w:eastAsia="zh-CN"/>
              </w:rPr>
              <w:t>符合性分析表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7"/>
              <w:gridCol w:w="2185"/>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7"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相关内容</w:t>
                  </w:r>
                </w:p>
              </w:tc>
              <w:tc>
                <w:tcPr>
                  <w:tcW w:w="2185"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880"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57" w:type="dxa"/>
                  <w:noWrap w:val="0"/>
                  <w:vAlign w:val="center"/>
                </w:tcPr>
                <w:p>
                  <w:pPr>
                    <w:adjustRightInd/>
                    <w:spacing w:line="240" w:lineRule="auto"/>
                    <w:ind w:firstLine="420" w:firstLineChars="200"/>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2185"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both"/>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本项目不属于重化工、纺织、造纸等存在污染风险的工业项目。</w:t>
                  </w:r>
                </w:p>
              </w:tc>
              <w:tc>
                <w:tcPr>
                  <w:tcW w:w="880"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left"/>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957" w:type="dxa"/>
                  <w:noWrap w:val="0"/>
                  <w:vAlign w:val="center"/>
                </w:tcPr>
                <w:p>
                  <w:pPr>
                    <w:adjustRightInd/>
                    <w:spacing w:line="240" w:lineRule="auto"/>
                    <w:ind w:firstLine="420" w:firstLineChars="200"/>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2185"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both"/>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本项目</w:t>
                  </w:r>
                  <w:r>
                    <w:rPr>
                      <w:rFonts w:hint="eastAsia" w:ascii="Times New Roman" w:hAnsi="Times New Roman" w:cs="Times New Roman"/>
                      <w:i w:val="0"/>
                      <w:caps w:val="0"/>
                      <w:color w:val="auto"/>
                      <w:spacing w:val="0"/>
                      <w:kern w:val="0"/>
                      <w:sz w:val="21"/>
                      <w:szCs w:val="21"/>
                      <w:shd w:val="clear" w:color="auto" w:fill="FFFFFF"/>
                      <w:lang w:val="en-US" w:eastAsia="zh-CN" w:bidi="ar-SA"/>
                    </w:rPr>
                    <w:t>位于</w:t>
                  </w:r>
                  <w:r>
                    <w:rPr>
                      <w:rFonts w:hint="default" w:ascii="Times New Roman" w:hAnsi="Times New Roman" w:cs="Times New Roman"/>
                      <w:i w:val="0"/>
                      <w:caps w:val="0"/>
                      <w:color w:val="auto"/>
                      <w:spacing w:val="0"/>
                      <w:kern w:val="0"/>
                      <w:sz w:val="21"/>
                      <w:szCs w:val="21"/>
                      <w:shd w:val="clear" w:color="auto" w:fill="FFFFFF"/>
                      <w:lang w:val="en-US" w:eastAsia="zh-CN" w:bidi="ar-SA"/>
                    </w:rPr>
                    <w:t>铜梁</w:t>
                  </w: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高新区。</w:t>
                  </w:r>
                </w:p>
              </w:tc>
              <w:tc>
                <w:tcPr>
                  <w:tcW w:w="880"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left"/>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957" w:type="dxa"/>
                  <w:noWrap w:val="0"/>
                  <w:vAlign w:val="center"/>
                </w:tcPr>
                <w:p>
                  <w:pPr>
                    <w:adjustRightInd/>
                    <w:spacing w:line="240" w:lineRule="auto"/>
                    <w:ind w:firstLine="420" w:firstLineChars="200"/>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2185"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left"/>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本项目不属于严格控制和限制类项目。</w:t>
                  </w:r>
                </w:p>
              </w:tc>
              <w:tc>
                <w:tcPr>
                  <w:tcW w:w="880"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jc w:val="left"/>
                    <w:textAlignment w:val="auto"/>
                    <w:rPr>
                      <w:rFonts w:hint="default" w:ascii="Times New Roman" w:hAnsi="Times New Roman" w:eastAsia="宋体" w:cs="Times New Roman"/>
                      <w:i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caps w:val="0"/>
                      <w:color w:val="auto"/>
                      <w:spacing w:val="0"/>
                      <w:kern w:val="0"/>
                      <w:sz w:val="21"/>
                      <w:szCs w:val="21"/>
                      <w:shd w:val="clear" w:color="auto" w:fill="FFFFFF"/>
                      <w:lang w:val="en-US" w:eastAsia="zh-CN" w:bidi="ar-SA"/>
                    </w:rPr>
                    <w:t>符合</w:t>
                  </w:r>
                </w:p>
              </w:tc>
            </w:tr>
          </w:tbl>
          <w:p>
            <w:pPr>
              <w:pStyle w:val="23"/>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textAlignment w:val="auto"/>
              <w:outlineLvl w:val="9"/>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w:t>
            </w:r>
            <w:r>
              <w:rPr>
                <w:rFonts w:hint="eastAsia" w:ascii="Times New Roman" w:hAnsi="Times New Roman" w:cs="Times New Roman"/>
                <w:b/>
                <w:bCs/>
                <w:color w:val="auto"/>
                <w:kern w:val="0"/>
                <w:sz w:val="21"/>
                <w:szCs w:val="21"/>
                <w:lang w:val="en-US" w:eastAsia="zh-CN" w:bidi="ar-SA"/>
              </w:rPr>
              <w:t>10</w:t>
            </w:r>
            <w:r>
              <w:rPr>
                <w:rFonts w:hint="default" w:ascii="Times New Roman" w:hAnsi="Times New Roman" w:eastAsia="宋体" w:cs="Times New Roman"/>
                <w:b/>
                <w:bCs/>
                <w:color w:val="auto"/>
                <w:kern w:val="0"/>
                <w:sz w:val="21"/>
                <w:szCs w:val="21"/>
                <w:lang w:val="en-US" w:eastAsia="zh-CN" w:bidi="ar-SA"/>
              </w:rPr>
              <w:t>与《关于印发&lt;四川省、重庆市长江经济带发展负面清单实施细则（试行，2022年版)&gt;的通知》（川长江办〔2022〕17号）相符性分析</w:t>
            </w:r>
          </w:p>
          <w:p>
            <w:pPr>
              <w:pStyle w:val="23"/>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本项目与</w:t>
            </w:r>
            <w:r>
              <w:rPr>
                <w:rFonts w:hint="default" w:ascii="Times New Roman" w:hAnsi="Times New Roman" w:eastAsia="宋体" w:cs="Times New Roman"/>
                <w:color w:val="auto"/>
                <w:kern w:val="0"/>
                <w:sz w:val="21"/>
                <w:szCs w:val="21"/>
                <w:lang w:val="en-US" w:eastAsia="zh-CN" w:bidi="ar-SA"/>
              </w:rPr>
              <w:t>《关于印发&lt;四川省、重庆市长江经济带发展负面清单实施细则（试行，2022年版)&gt;的通知》（川长江办〔2022〕17号）</w:t>
            </w:r>
            <w:r>
              <w:rPr>
                <w:rFonts w:hint="default" w:ascii="Times New Roman" w:hAnsi="Times New Roman" w:eastAsia="宋体" w:cs="Times New Roman"/>
                <w:color w:val="auto"/>
                <w:sz w:val="21"/>
                <w:szCs w:val="21"/>
                <w:lang w:val="en-US" w:eastAsia="zh-CN"/>
              </w:rPr>
              <w:t>符合性分析详见表1.</w:t>
            </w:r>
            <w:r>
              <w:rPr>
                <w:rFonts w:hint="eastAsia"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《关于印发&lt;四川省、重庆市长江经济带发展负面清单实施细则（试行，2022年版)&gt;的通知》</w:t>
            </w:r>
            <w:r>
              <w:rPr>
                <w:rFonts w:hint="default" w:ascii="Times New Roman" w:hAnsi="Times New Roman" w:eastAsia="宋体" w:cs="Times New Roman"/>
                <w:b/>
                <w:bCs/>
                <w:color w:val="auto"/>
                <w:sz w:val="21"/>
                <w:szCs w:val="21"/>
                <w:lang w:val="en-US" w:eastAsia="zh-CN"/>
              </w:rPr>
              <w:t>符合性分析表</w:t>
            </w:r>
          </w:p>
          <w:tbl>
            <w:tblPr>
              <w:tblStyle w:val="27"/>
              <w:tblW w:w="11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gridCol w:w="2194"/>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789" w:type="dxa"/>
                  <w:noWrap w:val="0"/>
                  <w:vAlign w:val="center"/>
                </w:tcPr>
                <w:p>
                  <w:pPr>
                    <w:pStyle w:val="23"/>
                    <w:adjustRightInd w:val="0"/>
                    <w:snapToGrid w:val="0"/>
                    <w:spacing w:before="0" w:beforeAutospacing="0" w:after="0" w:afterAutospacing="0" w:line="36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相关内容</w:t>
                  </w:r>
                </w:p>
              </w:tc>
              <w:tc>
                <w:tcPr>
                  <w:tcW w:w="2194" w:type="dxa"/>
                  <w:noWrap w:val="0"/>
                  <w:vAlign w:val="center"/>
                </w:tcPr>
                <w:p>
                  <w:pPr>
                    <w:pStyle w:val="23"/>
                    <w:adjustRightInd w:val="0"/>
                    <w:snapToGrid w:val="0"/>
                    <w:spacing w:before="0" w:beforeAutospacing="0" w:after="0" w:afterAutospacing="0" w:line="36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975" w:type="dxa"/>
                  <w:noWrap w:val="0"/>
                  <w:vAlign w:val="center"/>
                </w:tcPr>
                <w:p>
                  <w:pPr>
                    <w:pStyle w:val="23"/>
                    <w:adjustRightInd w:val="0"/>
                    <w:snapToGrid w:val="0"/>
                    <w:spacing w:before="0" w:beforeAutospacing="0" w:after="0" w:afterAutospacing="0" w:line="36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789"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第五条  禁止新建、改建和扩建不符合全国港口布局规划，以及《四川省内河水运发展规划》《泸州—宜宾—乐山港口群布局规划》《重庆港总体规划（2035年)》等省级港口布局规划及市级港口总体规划的码头项目。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第六条  禁止新建、改建和扩建不符合《长江干线过江通道布局规划(2020</w:t>
                  </w:r>
                  <w:r>
                    <w:rPr>
                      <w:rFonts w:hint="eastAsia" w:ascii="Times New Roman" w:hAnsi="Times New Roman" w:cs="Times New Roman"/>
                      <w:color w:val="auto"/>
                      <w:kern w:val="0"/>
                      <w:sz w:val="21"/>
                      <w:szCs w:val="21"/>
                      <w:shd w:val="clear" w:color="auto" w:fill="auto"/>
                      <w:lang w:val="en-US" w:eastAsia="zh-CN" w:bidi="ar-SA"/>
                    </w:rPr>
                    <w:t>-</w:t>
                  </w:r>
                  <w:r>
                    <w:rPr>
                      <w:rFonts w:hint="default" w:ascii="Times New Roman" w:hAnsi="Times New Roman" w:eastAsia="宋体" w:cs="Times New Roman"/>
                      <w:color w:val="auto"/>
                      <w:kern w:val="0"/>
                      <w:sz w:val="21"/>
                      <w:szCs w:val="21"/>
                      <w:shd w:val="clear" w:color="auto" w:fill="auto"/>
                      <w:lang w:val="en-US" w:eastAsia="zh-CN" w:bidi="ar-SA"/>
                    </w:rPr>
                    <w:t>2035年)》的过长江通道项目(含桥梁、隧道)，国家发展改革委同意过长江通道线位调整的除外。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第七条  禁止在自然保护区核心区、缓冲区的岸线和河段范围内投资建设旅游和生产经营项目。自然保护区的内部未分区的，依照核心区和缓冲区的规定管控。</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第八条  禁止违反风景名胜区规划，在风景名胜区内设立各类开发区。禁止在风景名胜区核心景区的岸线和河段范围内建设宾馆、招待所、培训中心、疗养院以及与风景名胜资源保护无关的项目。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第九条  禁止在饮用水水源准保护区的岸线和河段范围内新建、扩建对水体污染严重的建设项目，禁止改建增加排污量的建设项目。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第十条  饮用水水源二级保护区的岸线和河段范围内，除遵守准保护区规定外，禁止新建、改建、扩建排放污染物的投资建设项目;禁止从事对水体有污染的水产养殖等活动。</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第十一条  饮用水水源一级保护区的岸线和河段范围内，除遵守二级保护区规定外，禁止新建、改建、扩建与供水设施和保护水源无关的项目,以及网箱养殖、畜禽养殖、旅游等可能污染饮用水水体的投资建设项目。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第十二条  禁止在水产种质资源保护区岸线和河段范围内新建围湖造田、围湖造地或挖沙采石等投资建设项目。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洞游通道。</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第十五条  禁止在《全国重要江河湖泊水功能区划》划定的河段及湖泊保护区、保留区内投资建设不利于水资源及自然生态保护的项目。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第十六条  禁止在长江流域江河、湖泊新设、改设或者扩大排污口，经有管辖权的生态环境主管部门或者长江流域生态环境监督管理机构同意的除外。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第十七条  禁止在长江干流、大渡河、岷江、赤水河、沱江、嘉陵江、乌江、汉江和51个（四川省45个、重庆市6个)水生生物保护区开展生产性捕捞。</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第十八条  禁止在长江干支流、重要湖泊岸线一公里范围内新建、扩建化工园区和化工项目。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第十九条  禁止在长江干流岸线三公里范围内和重要支流岸线一公里范围内新建、改建、扩建尾矿库、冶炼渣库、磷石膏库，以提升安全、生态环境保护水平为目的的改建除外。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第二十条  禁止在生态保护红线区域、永久基本农田集中区域和其他需要特别保护的区域内选址建设尾矿库、冶炼渣库、磷石膏库。</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lang w:val="en-US" w:eastAsia="zh-CN" w:bidi="ar-SA"/>
                    </w:rPr>
                    <w:t>第二十一条  禁止在合规</w:t>
                  </w:r>
                  <w:r>
                    <w:rPr>
                      <w:rFonts w:hint="eastAsia" w:ascii="Times New Roman" w:hAnsi="Times New Roman" w:cs="Times New Roman"/>
                      <w:color w:val="auto"/>
                      <w:kern w:val="0"/>
                      <w:sz w:val="21"/>
                      <w:szCs w:val="21"/>
                      <w:shd w:val="clear" w:color="auto" w:fill="FFFFFF"/>
                      <w:lang w:val="en-US" w:eastAsia="zh-CN" w:bidi="ar-SA"/>
                    </w:rPr>
                    <w:t>园区</w:t>
                  </w:r>
                  <w:r>
                    <w:rPr>
                      <w:rFonts w:hint="default" w:ascii="Times New Roman" w:hAnsi="Times New Roman" w:eastAsia="宋体" w:cs="Times New Roman"/>
                      <w:color w:val="auto"/>
                      <w:kern w:val="0"/>
                      <w:sz w:val="21"/>
                      <w:szCs w:val="21"/>
                      <w:shd w:val="clear" w:color="auto" w:fill="FFFFFF"/>
                      <w:lang w:val="en-US" w:eastAsia="zh-CN" w:bidi="ar-SA"/>
                    </w:rPr>
                    <w:t>外</w:t>
                  </w:r>
                  <w:r>
                    <w:rPr>
                      <w:rFonts w:hint="eastAsia" w:ascii="Times New Roman" w:hAnsi="Times New Roman" w:cs="Times New Roman"/>
                      <w:color w:val="auto"/>
                      <w:kern w:val="0"/>
                      <w:sz w:val="21"/>
                      <w:szCs w:val="21"/>
                      <w:shd w:val="clear" w:color="auto" w:fill="FFFFFF"/>
                      <w:lang w:val="en-US" w:eastAsia="zh-CN" w:bidi="ar-SA"/>
                    </w:rPr>
                    <w:t>新建扩建钢铁、石化</w:t>
                  </w:r>
                  <w:r>
                    <w:rPr>
                      <w:rFonts w:hint="default" w:ascii="Times New Roman" w:hAnsi="Times New Roman" w:eastAsia="宋体" w:cs="Times New Roman"/>
                      <w:color w:val="auto"/>
                      <w:kern w:val="0"/>
                      <w:sz w:val="21"/>
                      <w:szCs w:val="21"/>
                      <w:shd w:val="clear" w:color="auto" w:fill="FFFFFF"/>
                      <w:lang w:val="en-US" w:eastAsia="zh-CN" w:bidi="ar-SA"/>
                    </w:rPr>
                    <w:t>、焦化、建材、有色、制浆造纸等高污染项目。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lang w:val="en-US" w:eastAsia="zh-CN" w:bidi="ar-SA"/>
                    </w:rPr>
                    <w:t>第二十二条  禁止新建、扩建不符合国家石化、现代煤化工等产业布局规划的项目。(一）严格控制新增炼油产能，未列入《石化产业规划布局方案（修订版)》的新增炼油产能一律不得建设。(二）新建煤制</w:t>
                  </w:r>
                  <w:r>
                    <w:rPr>
                      <w:rFonts w:hint="eastAsia" w:ascii="Times New Roman" w:hAnsi="Times New Roman" w:cs="Times New Roman"/>
                      <w:color w:val="auto"/>
                      <w:kern w:val="0"/>
                      <w:sz w:val="21"/>
                      <w:szCs w:val="21"/>
                      <w:shd w:val="clear" w:color="auto" w:fill="FFFFFF"/>
                      <w:lang w:val="en-US" w:eastAsia="zh-CN" w:bidi="ar-SA"/>
                    </w:rPr>
                    <w:t>烯烃</w:t>
                  </w:r>
                  <w:r>
                    <w:rPr>
                      <w:rFonts w:hint="default" w:ascii="Times New Roman" w:hAnsi="Times New Roman" w:eastAsia="宋体" w:cs="Times New Roman"/>
                      <w:color w:val="auto"/>
                      <w:kern w:val="0"/>
                      <w:sz w:val="21"/>
                      <w:szCs w:val="21"/>
                      <w:shd w:val="clear" w:color="auto" w:fill="FFFFFF"/>
                      <w:lang w:val="en-US" w:eastAsia="zh-CN" w:bidi="ar-SA"/>
                    </w:rPr>
                    <w:t>、煤制芳</w:t>
                  </w:r>
                  <w:r>
                    <w:rPr>
                      <w:rFonts w:hint="eastAsia" w:ascii="Times New Roman" w:hAnsi="Times New Roman" w:cs="Times New Roman"/>
                      <w:color w:val="auto"/>
                      <w:kern w:val="0"/>
                      <w:sz w:val="21"/>
                      <w:szCs w:val="21"/>
                      <w:shd w:val="clear" w:color="auto" w:fill="FFFFFF"/>
                      <w:lang w:val="en-US" w:eastAsia="zh-CN" w:bidi="ar-SA"/>
                    </w:rPr>
                    <w:t>烃</w:t>
                  </w:r>
                  <w:r>
                    <w:rPr>
                      <w:rFonts w:hint="default" w:ascii="Times New Roman" w:hAnsi="Times New Roman" w:eastAsia="宋体" w:cs="Times New Roman"/>
                      <w:color w:val="auto"/>
                      <w:kern w:val="0"/>
                      <w:sz w:val="21"/>
                      <w:szCs w:val="21"/>
                      <w:shd w:val="clear" w:color="auto" w:fill="FFFFFF"/>
                      <w:lang w:val="en-US" w:eastAsia="zh-CN" w:bidi="ar-SA"/>
                    </w:rPr>
                    <w:t>项目必须列入《现代煤化工产业创新发展布局方案》，必须符合《现代煤化工建设项目环境准入条件（试行</w:t>
                  </w:r>
                  <w:r>
                    <w:rPr>
                      <w:rFonts w:hint="eastAsia" w:ascii="Times New Roman" w:hAnsi="Times New Roman" w:cs="Times New Roman"/>
                      <w:color w:val="auto"/>
                      <w:kern w:val="0"/>
                      <w:sz w:val="21"/>
                      <w:szCs w:val="21"/>
                      <w:shd w:val="clear" w:color="auto" w:fill="FFFFFF"/>
                      <w:lang w:val="en-US" w:eastAsia="zh-CN" w:bidi="ar-SA"/>
                    </w:rPr>
                    <w:t>）</w:t>
                  </w:r>
                  <w:r>
                    <w:rPr>
                      <w:rFonts w:hint="default" w:ascii="Times New Roman" w:hAnsi="Times New Roman" w:eastAsia="宋体" w:cs="Times New Roman"/>
                      <w:color w:val="auto"/>
                      <w:kern w:val="0"/>
                      <w:sz w:val="21"/>
                      <w:szCs w:val="21"/>
                      <w:shd w:val="clear" w:color="auto" w:fill="FFFFFF"/>
                      <w:lang w:val="en-US" w:eastAsia="zh-CN" w:bidi="ar-SA"/>
                    </w:rPr>
                    <w:t>》要求。</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第二十四条  禁止新建、扩建不符合国家产能置换要求的严重过剩产能行业的项目。对于不符合国家产能置换要求的严重过剩产能行业,不得以其他任何名义、任何方式备案新增产能项目。</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第二十五条  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tLeast"/>
                    <w:ind w:firstLine="420" w:firstLineChars="200"/>
                    <w:jc w:val="left"/>
                    <w:textAlignment w:val="auto"/>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第二十六条  禁止新建、扩建不符合要求的高耗能、高排放、低水平项目。</w:t>
                  </w:r>
                </w:p>
              </w:tc>
              <w:tc>
                <w:tcPr>
                  <w:tcW w:w="2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位于</w:t>
                  </w:r>
                  <w:r>
                    <w:rPr>
                      <w:rFonts w:hint="default" w:ascii="Times New Roman" w:hAnsi="Times New Roman" w:cs="Times New Roman"/>
                      <w:color w:val="auto"/>
                      <w:kern w:val="0"/>
                      <w:sz w:val="21"/>
                      <w:szCs w:val="21"/>
                      <w:shd w:val="clear" w:color="auto" w:fill="FFFFFF"/>
                      <w:lang w:eastAsia="zh-CN"/>
                    </w:rPr>
                    <w:t>铜梁</w:t>
                  </w:r>
                  <w:r>
                    <w:rPr>
                      <w:rFonts w:hint="default" w:ascii="Times New Roman" w:hAnsi="Times New Roman" w:cs="Times New Roman"/>
                      <w:color w:val="auto"/>
                      <w:kern w:val="0"/>
                      <w:sz w:val="21"/>
                      <w:szCs w:val="21"/>
                      <w:shd w:val="clear" w:color="auto" w:fill="FFFFFF"/>
                      <w:lang w:val="en-US" w:eastAsia="zh-CN"/>
                    </w:rPr>
                    <w:t>高新</w:t>
                  </w:r>
                  <w:r>
                    <w:rPr>
                      <w:rFonts w:hint="default" w:ascii="Times New Roman" w:hAnsi="Times New Roman" w:eastAsia="宋体" w:cs="Times New Roman"/>
                      <w:color w:val="auto"/>
                      <w:kern w:val="0"/>
                      <w:sz w:val="21"/>
                      <w:szCs w:val="21"/>
                      <w:shd w:val="clear" w:color="auto" w:fill="FFFFFF"/>
                      <w:lang w:eastAsia="zh-CN"/>
                    </w:rPr>
                    <w:t>区</w:t>
                  </w:r>
                  <w:r>
                    <w:rPr>
                      <w:rFonts w:hint="default" w:ascii="Times New Roman" w:hAnsi="Times New Roman" w:eastAsia="宋体" w:cs="Times New Roman"/>
                      <w:b w:val="0"/>
                      <w:bCs w:val="0"/>
                      <w:color w:val="auto"/>
                      <w:spacing w:val="-8"/>
                      <w:sz w:val="21"/>
                      <w:szCs w:val="21"/>
                      <w:lang w:eastAsia="zh-CN"/>
                    </w:rPr>
                    <w:t>，</w:t>
                  </w:r>
                  <w:r>
                    <w:rPr>
                      <w:rFonts w:hint="default" w:ascii="Times New Roman" w:hAnsi="Times New Roman" w:cs="Times New Roman"/>
                      <w:color w:val="auto"/>
                    </w:rPr>
                    <w:t>为新建项目，不在自然保护区核心区、缓冲区的岸线和河段范围内，不在风景名胜区核心景区的岸线和河段范围内，不涉及饮用水水源一级保护区的岸线和河段范围，不在水产种质资源保护区的岸线和河段范围内。</w:t>
                  </w:r>
                  <w:r>
                    <w:rPr>
                      <w:rFonts w:hint="default" w:ascii="Times New Roman" w:hAnsi="Times New Roman" w:eastAsia="宋体" w:cs="Times New Roman"/>
                      <w:color w:val="auto"/>
                      <w:kern w:val="2"/>
                      <w:sz w:val="21"/>
                      <w:szCs w:val="21"/>
                      <w:lang w:val="en-US" w:eastAsia="zh-CN" w:bidi="ar"/>
                    </w:rPr>
                    <w:t>本项目为</w:t>
                  </w:r>
                  <w:r>
                    <w:rPr>
                      <w:rFonts w:hint="default" w:ascii="Times New Roman" w:hAnsi="Times New Roman" w:cs="Times New Roman"/>
                      <w:b w:val="0"/>
                      <w:bCs w:val="0"/>
                      <w:color w:val="auto"/>
                      <w:sz w:val="21"/>
                      <w:szCs w:val="21"/>
                      <w:lang w:eastAsia="zh-CN"/>
                    </w:rPr>
                    <w:t>C3752 摩托车零部件及配件制造</w:t>
                  </w:r>
                  <w:r>
                    <w:rPr>
                      <w:rFonts w:hint="default" w:ascii="Times New Roman" w:hAnsi="Times New Roman" w:eastAsia="宋体" w:cs="Times New Roman"/>
                      <w:color w:val="auto"/>
                      <w:kern w:val="2"/>
                      <w:sz w:val="21"/>
                      <w:szCs w:val="21"/>
                      <w:lang w:val="en-US" w:eastAsia="zh-CN" w:bidi="ar"/>
                    </w:rPr>
                    <w:t>，属于</w:t>
                  </w:r>
                  <w:r>
                    <w:rPr>
                      <w:rFonts w:hint="default" w:ascii="Times New Roman" w:hAnsi="Times New Roman" w:cs="Times New Roman"/>
                      <w:color w:val="auto"/>
                    </w:rPr>
                    <w:t>《产业结构调整指导目录</w:t>
                  </w:r>
                  <w:r>
                    <w:rPr>
                      <w:rFonts w:hint="default" w:ascii="Times New Roman" w:hAnsi="Times New Roman" w:eastAsia="宋体" w:cs="Times New Roman"/>
                      <w:color w:val="auto"/>
                      <w:kern w:val="2"/>
                      <w:sz w:val="21"/>
                      <w:szCs w:val="21"/>
                      <w:lang w:val="en-US" w:eastAsia="zh-CN" w:bidi="ar"/>
                    </w:rPr>
                    <w:t>(2019年本)(2021年修订)</w:t>
                  </w:r>
                  <w:r>
                    <w:rPr>
                      <w:rFonts w:hint="default" w:ascii="Times New Roman" w:hAnsi="Times New Roman" w:cs="Times New Roman"/>
                      <w:color w:val="auto"/>
                    </w:rPr>
                    <w:t>》</w:t>
                  </w:r>
                  <w:r>
                    <w:rPr>
                      <w:rFonts w:hint="default" w:ascii="Times New Roman" w:hAnsi="Times New Roman" w:eastAsia="宋体" w:cs="Times New Roman"/>
                      <w:color w:val="auto"/>
                      <w:kern w:val="2"/>
                      <w:sz w:val="21"/>
                      <w:szCs w:val="21"/>
                      <w:lang w:val="en-US" w:eastAsia="zh-CN" w:bidi="ar"/>
                    </w:rPr>
                    <w:t>允许类建设项目</w:t>
                  </w:r>
                  <w:r>
                    <w:rPr>
                      <w:rFonts w:hint="default" w:ascii="Times New Roman" w:hAnsi="Times New Roman" w:cs="Times New Roman"/>
                      <w:color w:val="auto"/>
                    </w:rPr>
                    <w:t>，主要使用电能，不属于高耗能高排放项目。</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符合</w:t>
                  </w:r>
                </w:p>
              </w:tc>
            </w:tr>
          </w:tbl>
          <w:p>
            <w:pPr>
              <w:pStyle w:val="23"/>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outlineLvl w:val="9"/>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
              </w:rPr>
              <w:t>综上所述，本项目符合《长江经济带发展负面清单指南(试行，2022版)》相关要求。</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1.1</w:t>
            </w:r>
            <w:r>
              <w:rPr>
                <w:rFonts w:hint="eastAsia"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val="en-US" w:eastAsia="zh-CN"/>
              </w:rPr>
              <w:t>《重庆市人民政府关于印发重庆市生态环境保护“十四五”规划（2021—2025年）的通知》</w:t>
            </w:r>
            <w:r>
              <w:rPr>
                <w:rFonts w:hint="default" w:ascii="Times New Roman" w:hAnsi="Times New Roman" w:eastAsia="宋体" w:cs="Times New Roman"/>
                <w:b/>
                <w:bCs/>
                <w:color w:val="auto"/>
                <w:sz w:val="21"/>
                <w:szCs w:val="21"/>
              </w:rPr>
              <w:t>符合性分析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本项目与《重庆市人民政府关于印发重庆市生态环境保护“十四五”规划（2021—2025年）的通知》（渝府发〔2022〕11号）的符合性分析详见表</w:t>
            </w:r>
            <w:r>
              <w:rPr>
                <w:rFonts w:hint="default"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rPr>
              <w:t>。</w:t>
            </w: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《重庆市人民政府关于印发重庆市生态环境保护“十四五”规划（2021—2025年）的通知》符合性分析表</w:t>
            </w:r>
          </w:p>
          <w:tbl>
            <w:tblPr>
              <w:tblStyle w:val="27"/>
              <w:tblW w:w="12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6"/>
              <w:gridCol w:w="383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206" w:type="dxa"/>
                  <w:noWrap w:val="0"/>
                  <w:vAlign w:val="center"/>
                </w:tcPr>
                <w:p>
                  <w:pPr>
                    <w:pStyle w:val="23"/>
                    <w:adjustRightInd w:val="0"/>
                    <w:snapToGrid w:val="0"/>
                    <w:spacing w:before="0" w:beforeAutospacing="0" w:after="0" w:afterAutospacing="0" w:line="36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相关内容</w:t>
                  </w:r>
                </w:p>
              </w:tc>
              <w:tc>
                <w:tcPr>
                  <w:tcW w:w="3837" w:type="dxa"/>
                  <w:noWrap w:val="0"/>
                  <w:vAlign w:val="center"/>
                </w:tcPr>
                <w:p>
                  <w:pPr>
                    <w:pStyle w:val="23"/>
                    <w:adjustRightInd w:val="0"/>
                    <w:snapToGrid w:val="0"/>
                    <w:spacing w:before="0" w:beforeAutospacing="0" w:after="0" w:afterAutospacing="0" w:line="36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976" w:type="dxa"/>
                  <w:noWrap w:val="0"/>
                  <w:vAlign w:val="center"/>
                </w:tcPr>
                <w:p>
                  <w:pPr>
                    <w:pStyle w:val="23"/>
                    <w:adjustRightInd w:val="0"/>
                    <w:snapToGrid w:val="0"/>
                    <w:spacing w:before="0" w:beforeAutospacing="0" w:after="0" w:afterAutospacing="0" w:line="36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eastAsia="zh-CN"/>
                    </w:rPr>
                  </w:pPr>
                  <w:r>
                    <w:rPr>
                      <w:rFonts w:hint="default" w:ascii="Times New Roman" w:hAnsi="Times New Roman" w:eastAsia="宋体" w:cs="Times New Roman"/>
                      <w:color w:val="auto"/>
                      <w:kern w:val="0"/>
                      <w:sz w:val="21"/>
                      <w:szCs w:val="21"/>
                      <w:shd w:val="clear" w:color="auto" w:fill="FFFFFF"/>
                      <w:lang w:eastAsia="zh-CN"/>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w:t>
                  </w:r>
                </w:p>
              </w:tc>
              <w:tc>
                <w:tcPr>
                  <w:tcW w:w="3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default" w:ascii="Times New Roman" w:hAnsi="Times New Roman" w:eastAsia="宋体" w:cs="Times New Roman"/>
                      <w:color w:val="auto"/>
                      <w:kern w:val="0"/>
                      <w:sz w:val="21"/>
                      <w:szCs w:val="21"/>
                      <w:shd w:val="clear" w:color="auto" w:fill="FFFFFF"/>
                      <w:lang w:eastAsia="zh-CN"/>
                    </w:rPr>
                  </w:pPr>
                  <w:r>
                    <w:rPr>
                      <w:rFonts w:hint="default" w:ascii="Times New Roman" w:hAnsi="Times New Roman" w:eastAsia="宋体" w:cs="Times New Roman"/>
                      <w:color w:val="auto"/>
                      <w:sz w:val="21"/>
                      <w:szCs w:val="21"/>
                    </w:rPr>
                    <w:t>本项目位于重庆市</w:t>
                  </w:r>
                  <w:r>
                    <w:rPr>
                      <w:rFonts w:hint="default" w:ascii="Times New Roman" w:hAnsi="Times New Roman" w:cs="Times New Roman"/>
                      <w:color w:val="auto"/>
                      <w:sz w:val="21"/>
                      <w:szCs w:val="21"/>
                      <w:lang w:eastAsia="zh-CN"/>
                    </w:rPr>
                    <w:t>铜梁</w:t>
                  </w:r>
                  <w:r>
                    <w:rPr>
                      <w:rFonts w:hint="default" w:ascii="Times New Roman" w:hAnsi="Times New Roman" w:eastAsia="宋体" w:cs="Times New Roman"/>
                      <w:color w:val="auto"/>
                      <w:sz w:val="21"/>
                      <w:szCs w:val="21"/>
                      <w:lang w:val="en-US" w:eastAsia="zh-CN"/>
                    </w:rPr>
                    <w:t>高新</w:t>
                  </w:r>
                  <w:r>
                    <w:rPr>
                      <w:rFonts w:hint="default" w:ascii="Times New Roman" w:hAnsi="Times New Roman" w:eastAsia="宋体" w:cs="Times New Roman"/>
                      <w:color w:val="auto"/>
                      <w:sz w:val="21"/>
                      <w:szCs w:val="21"/>
                    </w:rPr>
                    <w:t>区，</w:t>
                  </w:r>
                  <w:r>
                    <w:rPr>
                      <w:rFonts w:hint="default" w:ascii="Times New Roman" w:hAnsi="Times New Roman" w:cs="Times New Roman"/>
                      <w:color w:val="auto"/>
                      <w:sz w:val="21"/>
                      <w:szCs w:val="21"/>
                      <w:lang w:val="en-US" w:eastAsia="zh-CN"/>
                    </w:rPr>
                    <w:t>所在行业为</w:t>
                  </w:r>
                  <w:r>
                    <w:rPr>
                      <w:rFonts w:hint="default" w:ascii="Times New Roman" w:hAnsi="Times New Roman" w:cs="Times New Roman"/>
                      <w:b w:val="0"/>
                      <w:bCs w:val="0"/>
                      <w:color w:val="auto"/>
                      <w:sz w:val="21"/>
                      <w:szCs w:val="21"/>
                      <w:lang w:eastAsia="zh-CN"/>
                    </w:rPr>
                    <w:t>C3752 摩托车零部件及配件制造，</w:t>
                  </w:r>
                  <w:r>
                    <w:rPr>
                      <w:rFonts w:hint="default" w:ascii="Times New Roman" w:hAnsi="Times New Roman" w:cs="Times New Roman"/>
                      <w:b w:val="0"/>
                      <w:bCs w:val="0"/>
                      <w:color w:val="auto"/>
                      <w:sz w:val="21"/>
                      <w:szCs w:val="21"/>
                      <w:lang w:val="en-US" w:eastAsia="zh-CN"/>
                    </w:rPr>
                    <w:t>属于与</w:t>
                  </w:r>
                  <w:r>
                    <w:rPr>
                      <w:rFonts w:hint="default" w:ascii="Times New Roman" w:hAnsi="Times New Roman" w:eastAsia="宋体" w:cs="Times New Roman"/>
                      <w:color w:val="auto"/>
                    </w:rPr>
                    <w:t>规划主导产业环境相容的工业项目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不属于</w:t>
                  </w:r>
                  <w:r>
                    <w:rPr>
                      <w:rFonts w:hint="default" w:ascii="Times New Roman" w:hAnsi="Times New Roman" w:eastAsia="宋体" w:cs="Times New Roman"/>
                      <w:color w:val="auto"/>
                      <w:kern w:val="0"/>
                      <w:sz w:val="21"/>
                      <w:szCs w:val="21"/>
                      <w:shd w:val="clear" w:color="auto" w:fill="FFFFFF"/>
                      <w:lang w:eastAsia="zh-CN"/>
                    </w:rPr>
                    <w:t>高耗能、高排放项目，</w:t>
                  </w:r>
                  <w:r>
                    <w:rPr>
                      <w:rFonts w:hint="default" w:ascii="Times New Roman" w:hAnsi="Times New Roman" w:eastAsia="宋体" w:cs="Times New Roman"/>
                      <w:color w:val="auto"/>
                      <w:kern w:val="0"/>
                      <w:sz w:val="21"/>
                      <w:szCs w:val="21"/>
                      <w:shd w:val="clear" w:color="auto" w:fill="FFFFFF"/>
                      <w:lang w:val="en-US" w:eastAsia="zh-CN"/>
                    </w:rPr>
                    <w:t>符合</w:t>
                  </w:r>
                  <w:r>
                    <w:rPr>
                      <w:rFonts w:hint="default" w:ascii="Times New Roman" w:hAnsi="Times New Roman" w:cs="Times New Roman"/>
                      <w:color w:val="auto"/>
                      <w:kern w:val="0"/>
                      <w:sz w:val="21"/>
                      <w:szCs w:val="21"/>
                      <w:shd w:val="clear" w:color="auto" w:fill="FFFFFF"/>
                      <w:lang w:val="en-US" w:eastAsia="zh-CN"/>
                    </w:rPr>
                    <w:t>铜梁</w:t>
                  </w:r>
                  <w:r>
                    <w:rPr>
                      <w:rFonts w:hint="default" w:ascii="Times New Roman" w:hAnsi="Times New Roman" w:eastAsia="宋体" w:cs="Times New Roman"/>
                      <w:color w:val="auto"/>
                      <w:kern w:val="0"/>
                      <w:sz w:val="21"/>
                      <w:szCs w:val="21"/>
                      <w:shd w:val="clear" w:color="auto" w:fill="FFFFFF"/>
                      <w:lang w:val="en-US" w:eastAsia="zh-CN"/>
                    </w:rPr>
                    <w:t>“三线一单”管控要求</w:t>
                  </w:r>
                  <w:r>
                    <w:rPr>
                      <w:rFonts w:hint="default" w:ascii="Times New Roman" w:hAnsi="Times New Roman" w:eastAsia="宋体" w:cs="Times New Roman"/>
                      <w:color w:val="auto"/>
                      <w:lang w:eastAsia="zh-CN"/>
                    </w:rPr>
                    <w:t>。</w:t>
                  </w:r>
                </w:p>
              </w:tc>
              <w:tc>
                <w:tcPr>
                  <w:tcW w:w="9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rPr>
                  </w:pPr>
                  <w:r>
                    <w:rPr>
                      <w:rFonts w:hint="default" w:ascii="Times New Roman" w:hAnsi="Times New Roman" w:eastAsia="宋体" w:cs="Times New Roman"/>
                      <w:color w:val="auto"/>
                      <w:kern w:val="0"/>
                      <w:sz w:val="21"/>
                      <w:szCs w:val="21"/>
                      <w:shd w:val="clear" w:color="auto" w:fill="FFFF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eastAsia="zh-CN"/>
                    </w:rPr>
                  </w:pPr>
                  <w:r>
                    <w:rPr>
                      <w:rFonts w:hint="default" w:ascii="Times New Roman" w:hAnsi="Times New Roman" w:eastAsia="宋体" w:cs="Times New Roman"/>
                      <w:color w:val="auto"/>
                      <w:kern w:val="0"/>
                      <w:sz w:val="21"/>
                      <w:szCs w:val="21"/>
                      <w:shd w:val="clear" w:color="auto" w:fill="FFFFFF"/>
                      <w:lang w:eastAsia="zh-CN"/>
                    </w:rPr>
                    <w:t>加强生态保护红线管控。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3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default" w:ascii="Times New Roman" w:hAnsi="Times New Roman" w:eastAsia="宋体" w:cs="Times New Roman"/>
                      <w:color w:val="auto"/>
                      <w:kern w:val="0"/>
                      <w:sz w:val="21"/>
                      <w:szCs w:val="21"/>
                      <w:shd w:val="clear" w:color="auto" w:fill="FFFFFF"/>
                    </w:rPr>
                  </w:pPr>
                  <w:r>
                    <w:rPr>
                      <w:rFonts w:hint="default" w:ascii="Times New Roman" w:hAnsi="Times New Roman" w:eastAsia="宋体" w:cs="Times New Roman"/>
                      <w:color w:val="auto"/>
                      <w:kern w:val="0"/>
                      <w:sz w:val="21"/>
                      <w:szCs w:val="21"/>
                      <w:shd w:val="clear" w:color="auto" w:fill="FFFFFF"/>
                      <w:lang w:val="en-US" w:eastAsia="zh-CN"/>
                    </w:rPr>
                    <w:t>根据</w:t>
                  </w:r>
                  <w:r>
                    <w:rPr>
                      <w:rFonts w:hint="default" w:ascii="Times New Roman" w:hAnsi="Times New Roman" w:eastAsia="宋体" w:cs="Times New Roman"/>
                      <w:color w:val="auto"/>
                      <w:kern w:val="0"/>
                      <w:szCs w:val="21"/>
                    </w:rPr>
                    <w:t>表1-</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可知，</w:t>
                  </w:r>
                  <w:r>
                    <w:rPr>
                      <w:rFonts w:hint="default" w:ascii="Times New Roman" w:hAnsi="Times New Roman" w:eastAsia="宋体" w:cs="Times New Roman"/>
                      <w:color w:val="auto"/>
                      <w:kern w:val="0"/>
                      <w:sz w:val="21"/>
                      <w:szCs w:val="21"/>
                      <w:shd w:val="clear" w:color="auto" w:fill="FFFFFF"/>
                    </w:rPr>
                    <w:t>本项目</w:t>
                  </w:r>
                  <w:r>
                    <w:rPr>
                      <w:rFonts w:hint="default" w:ascii="Times New Roman" w:hAnsi="Times New Roman" w:eastAsia="宋体" w:cs="Times New Roman"/>
                      <w:color w:val="auto"/>
                      <w:kern w:val="0"/>
                      <w:sz w:val="21"/>
                      <w:szCs w:val="21"/>
                      <w:shd w:val="clear" w:color="auto" w:fill="FFFFFF"/>
                      <w:lang w:val="en-US" w:eastAsia="zh-CN"/>
                    </w:rPr>
                    <w:t>符合</w:t>
                  </w:r>
                  <w:r>
                    <w:rPr>
                      <w:rFonts w:hint="default" w:ascii="Times New Roman" w:hAnsi="Times New Roman" w:cs="Times New Roman"/>
                      <w:color w:val="auto"/>
                      <w:kern w:val="0"/>
                      <w:sz w:val="21"/>
                      <w:szCs w:val="21"/>
                      <w:shd w:val="clear" w:color="auto" w:fill="FFFFFF"/>
                      <w:lang w:val="en-US" w:eastAsia="zh-CN"/>
                    </w:rPr>
                    <w:t>铜梁</w:t>
                  </w:r>
                  <w:r>
                    <w:rPr>
                      <w:rFonts w:hint="default" w:ascii="Times New Roman" w:hAnsi="Times New Roman" w:eastAsia="宋体" w:cs="Times New Roman"/>
                      <w:color w:val="auto"/>
                      <w:kern w:val="0"/>
                      <w:sz w:val="21"/>
                      <w:szCs w:val="21"/>
                      <w:shd w:val="clear" w:color="auto" w:fill="FFFFFF"/>
                      <w:lang w:val="en-US" w:eastAsia="zh-CN"/>
                    </w:rPr>
                    <w:t>“三线一单”管控要求</w:t>
                  </w:r>
                  <w:r>
                    <w:rPr>
                      <w:rFonts w:hint="default" w:ascii="Times New Roman" w:hAnsi="Times New Roman" w:eastAsia="宋体" w:cs="Times New Roman"/>
                      <w:color w:val="auto"/>
                      <w:kern w:val="0"/>
                      <w:sz w:val="21"/>
                      <w:szCs w:val="21"/>
                      <w:shd w:val="clear" w:color="auto" w:fill="FFFFFF"/>
                      <w:lang w:eastAsia="zh-CN"/>
                    </w:rPr>
                    <w:t>。</w:t>
                  </w:r>
                </w:p>
              </w:tc>
              <w:tc>
                <w:tcPr>
                  <w:tcW w:w="9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rPr>
                  </w:pPr>
                  <w:r>
                    <w:rPr>
                      <w:rFonts w:hint="default" w:ascii="Times New Roman" w:hAnsi="Times New Roman" w:eastAsia="宋体" w:cs="Times New Roman"/>
                      <w:color w:val="auto"/>
                      <w:kern w:val="0"/>
                      <w:sz w:val="21"/>
                      <w:szCs w:val="21"/>
                      <w:shd w:val="clear" w:color="auto" w:fill="FFFF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eastAsia="宋体" w:cs="Times New Roman"/>
                      <w:color w:val="auto"/>
                      <w:kern w:val="0"/>
                      <w:sz w:val="21"/>
                      <w:szCs w:val="21"/>
                      <w:shd w:val="clear" w:color="auto" w:fill="FFFFFF"/>
                      <w:lang w:eastAsia="zh-CN"/>
                    </w:rPr>
                    <w:t>加强重点水环境综合治理。完善工业园区污水集中处理设施建设及配套管网，升级改造工业园区污水处理设施。推进到港船舶污染物接收设施建设，实现港口码头船舶污水垃圾接收设施全覆盖。全面摸清长江、嘉陵江、乌江干流重庆段入河排污口底数，结合排污口类型、监测结果、主要污染源类型等现状，逐个制定入河排污口“一口一策”方案，明确规范整治责任、路线图和时间表。</w:t>
                  </w:r>
                </w:p>
              </w:tc>
              <w:tc>
                <w:tcPr>
                  <w:tcW w:w="3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本项目</w:t>
                  </w:r>
                  <w:r>
                    <w:rPr>
                      <w:rFonts w:hint="default" w:ascii="Times New Roman" w:hAnsi="Times New Roman" w:cs="Times New Roman"/>
                      <w:color w:val="auto"/>
                      <w:sz w:val="21"/>
                      <w:szCs w:val="21"/>
                      <w:lang w:val="en-US"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cs="Times New Roman"/>
                      <w:color w:val="auto"/>
                      <w:kern w:val="2"/>
                      <w:sz w:val="21"/>
                      <w:szCs w:val="24"/>
                      <w:lang w:val="en-US" w:eastAsia="zh-CN" w:bidi="ar-SA"/>
                    </w:rPr>
                    <w:t>生活废水</w:t>
                  </w:r>
                  <w:r>
                    <w:rPr>
                      <w:rFonts w:hint="default" w:ascii="Times New Roman" w:hAnsi="Times New Roman" w:cs="Times New Roman"/>
                      <w:color w:val="auto"/>
                      <w:sz w:val="21"/>
                      <w:szCs w:val="21"/>
                      <w:lang w:val="en-US" w:eastAsia="zh-CN"/>
                    </w:rPr>
                    <w:t>一起</w:t>
                  </w:r>
                  <w:r>
                    <w:rPr>
                      <w:rFonts w:hint="default" w:ascii="Times New Roman" w:hAnsi="Times New Roman" w:eastAsia="宋体" w:cs="Times New Roman"/>
                      <w:color w:val="auto"/>
                      <w:kern w:val="0"/>
                      <w:sz w:val="21"/>
                      <w:szCs w:val="21"/>
                      <w:shd w:val="clear" w:color="auto" w:fill="FFFFFF"/>
                    </w:rPr>
                    <w:t>进入已建生化池处理达标后排入园区污水管网，再进入</w:t>
                  </w:r>
                  <w:r>
                    <w:rPr>
                      <w:rFonts w:hint="default" w:ascii="Times New Roman" w:hAnsi="Times New Roman" w:cs="Times New Roman"/>
                      <w:color w:val="auto"/>
                      <w:kern w:val="0"/>
                      <w:sz w:val="21"/>
                      <w:szCs w:val="21"/>
                      <w:shd w:val="clear" w:color="auto" w:fill="FFFFFF"/>
                      <w:lang w:eastAsia="zh-CN"/>
                    </w:rPr>
                    <w:t>铜梁区东城污水处理厂</w:t>
                  </w:r>
                  <w:r>
                    <w:rPr>
                      <w:rFonts w:hint="default" w:ascii="Times New Roman" w:hAnsi="Times New Roman" w:eastAsia="宋体" w:cs="Times New Roman"/>
                      <w:color w:val="auto"/>
                      <w:kern w:val="0"/>
                      <w:sz w:val="21"/>
                      <w:szCs w:val="21"/>
                      <w:shd w:val="clear" w:color="auto" w:fill="FFFFFF"/>
                    </w:rPr>
                    <w:t>处理达标后排入</w:t>
                  </w:r>
                  <w:r>
                    <w:rPr>
                      <w:rFonts w:hint="default" w:ascii="Times New Roman" w:hAnsi="Times New Roman" w:cs="Times New Roman"/>
                      <w:color w:val="auto"/>
                      <w:kern w:val="0"/>
                      <w:sz w:val="21"/>
                      <w:szCs w:val="21"/>
                      <w:shd w:val="clear" w:color="auto" w:fill="FFFFFF"/>
                      <w:lang w:eastAsia="zh-CN"/>
                    </w:rPr>
                    <w:t>淮远河</w:t>
                  </w:r>
                  <w:r>
                    <w:rPr>
                      <w:rFonts w:hint="default" w:ascii="Times New Roman" w:hAnsi="Times New Roman" w:eastAsia="宋体" w:cs="Times New Roman"/>
                      <w:color w:val="auto"/>
                      <w:kern w:val="0"/>
                      <w:sz w:val="21"/>
                      <w:szCs w:val="21"/>
                      <w:shd w:val="clear" w:color="auto" w:fill="FFFFFF"/>
                    </w:rPr>
                    <w:t>。</w:t>
                  </w:r>
                </w:p>
              </w:tc>
              <w:tc>
                <w:tcPr>
                  <w:tcW w:w="9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eastAsia="宋体" w:cs="Times New Roman"/>
                      <w:color w:val="auto"/>
                      <w:kern w:val="0"/>
                      <w:sz w:val="21"/>
                      <w:szCs w:val="21"/>
                      <w:shd w:val="clear" w:color="auto" w:fill="FFFFFF"/>
                      <w:lang w:eastAsia="zh-CN"/>
                    </w:rPr>
                    <w:t>以挥发性有机物治理和工业炉窑整治为重点深化工业废气污染控制。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3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2"/>
                      <w:sz w:val="21"/>
                      <w:szCs w:val="21"/>
                      <w:lang w:val="en-US" w:eastAsia="zh-CN" w:bidi="ar"/>
                    </w:rPr>
                    <w:t>本项目</w:t>
                  </w:r>
                  <w:r>
                    <w:rPr>
                      <w:rFonts w:hint="default" w:ascii="Times New Roman" w:hAnsi="Times New Roman" w:cs="Times New Roman" w:eastAsiaTheme="majorEastAsia"/>
                      <w:color w:val="auto"/>
                      <w:sz w:val="21"/>
                      <w:szCs w:val="21"/>
                    </w:rPr>
                    <w:t>抛丸废气密闭收集后经布袋除尘器进行处理，处理后的废气经</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5米高1#排气筒排放。</w:t>
                  </w:r>
                </w:p>
              </w:tc>
              <w:tc>
                <w:tcPr>
                  <w:tcW w:w="9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eastAsia="zh-CN"/>
                    </w:rPr>
                  </w:pPr>
                  <w:r>
                    <w:rPr>
                      <w:rFonts w:hint="default" w:ascii="Times New Roman" w:hAnsi="Times New Roman" w:eastAsia="宋体" w:cs="Times New Roman"/>
                      <w:color w:val="auto"/>
                      <w:kern w:val="0"/>
                      <w:sz w:val="21"/>
                      <w:szCs w:val="21"/>
                      <w:shd w:val="clear" w:color="auto" w:fill="FFFFFF"/>
                      <w:lang w:eastAsia="zh-CN"/>
                    </w:rPr>
                    <w:t>严格建设用地土壤污染风险管控和修复。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eastAsia="宋体" w:cs="Times New Roman"/>
                      <w:color w:val="auto"/>
                      <w:kern w:val="0"/>
                      <w:sz w:val="21"/>
                      <w:szCs w:val="21"/>
                      <w:shd w:val="clear" w:color="auto" w:fill="FFFFFF"/>
                      <w:lang w:eastAsia="zh-CN"/>
                    </w:rPr>
                    <w:t>建立地下水环境管理体系。以化工园区、页岩气开采区、危险废物处置场、垃圾填埋场等为重点，开展防渗情况检测评估，统筹推进地下水安全源头预防和风险管控。建立地下水监测网络，开展地下水污染防治分区划分，公布地下水污染地块清单。开展地下水污染修复试点，实施地表水—地下水、土壤—地下水、区域—地块地下水污染协同防治。探索地下水污染防治的管理模式和技术路径，保持地下水环境质量总体稳定。</w:t>
                  </w:r>
                </w:p>
              </w:tc>
              <w:tc>
                <w:tcPr>
                  <w:tcW w:w="3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cs="Times New Roman"/>
                      <w:color w:val="auto"/>
                      <w:szCs w:val="21"/>
                      <w:highlight w:val="none"/>
                    </w:rPr>
                    <w:t>本项目对厂区进行分区防渗，对</w:t>
                  </w:r>
                  <w:r>
                    <w:rPr>
                      <w:rFonts w:hint="default" w:ascii="Times New Roman" w:hAnsi="Times New Roman" w:cs="Times New Roman"/>
                      <w:bCs/>
                      <w:color w:val="auto"/>
                      <w:sz w:val="21"/>
                      <w:szCs w:val="21"/>
                      <w:lang w:eastAsia="zh-CN"/>
                    </w:rPr>
                    <w:t>危废暂存间、油品存储区、</w:t>
                  </w:r>
                  <w:r>
                    <w:rPr>
                      <w:rFonts w:hint="default" w:ascii="Times New Roman" w:hAnsi="Times New Roman" w:cs="Times New Roman"/>
                      <w:b w:val="0"/>
                      <w:bCs w:val="0"/>
                      <w:color w:val="auto"/>
                      <w:sz w:val="21"/>
                      <w:szCs w:val="21"/>
                      <w:lang w:val="en-US" w:eastAsia="zh-CN"/>
                    </w:rPr>
                    <w:t>隔油池</w:t>
                  </w:r>
                  <w:r>
                    <w:rPr>
                      <w:rFonts w:hint="default" w:ascii="Times New Roman" w:hAnsi="Times New Roman" w:cs="Times New Roman"/>
                      <w:color w:val="auto"/>
                      <w:szCs w:val="21"/>
                      <w:highlight w:val="none"/>
                    </w:rPr>
                    <w:t>进行重点防渗处理，危险废物严格按照《危险废物贮存污染控制标准》（GB18597-20</w:t>
                  </w:r>
                  <w:r>
                    <w:rPr>
                      <w:rFonts w:hint="default" w:ascii="Times New Roman" w:hAnsi="Times New Roman" w:cs="Times New Roman"/>
                      <w:color w:val="auto"/>
                      <w:szCs w:val="21"/>
                      <w:highlight w:val="none"/>
                      <w:lang w:val="en-US" w:eastAsia="zh-CN"/>
                    </w:rPr>
                    <w:t>23</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进行管理。在采取以上措施后，项目基本无污染土壤及地下水环境影响途径</w:t>
                  </w:r>
                  <w:r>
                    <w:rPr>
                      <w:rFonts w:hint="default" w:ascii="Times New Roman" w:hAnsi="Times New Roman" w:eastAsia="宋体" w:cs="Times New Roman"/>
                      <w:color w:val="auto"/>
                      <w:kern w:val="0"/>
                      <w:sz w:val="21"/>
                      <w:szCs w:val="21"/>
                      <w:shd w:val="clear" w:color="auto" w:fill="FFFFFF"/>
                    </w:rPr>
                    <w:t>。</w:t>
                  </w:r>
                </w:p>
              </w:tc>
              <w:tc>
                <w:tcPr>
                  <w:tcW w:w="9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outlineLvl w:val="9"/>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eastAsia="宋体" w:cs="Times New Roman"/>
                      <w:color w:val="auto"/>
                      <w:kern w:val="0"/>
                      <w:sz w:val="21"/>
                      <w:szCs w:val="21"/>
                      <w:shd w:val="clear" w:color="auto" w:fill="FFFFFF"/>
                      <w:lang w:eastAsia="zh-CN"/>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38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本项目</w:t>
                  </w:r>
                  <w:r>
                    <w:rPr>
                      <w:rFonts w:hint="default" w:ascii="Times New Roman" w:hAnsi="Times New Roman" w:eastAsia="宋体" w:cs="Times New Roman"/>
                      <w:color w:val="auto"/>
                      <w:sz w:val="21"/>
                      <w:szCs w:val="21"/>
                      <w:lang w:val="en-US" w:eastAsia="zh-CN" w:bidi="ar"/>
                    </w:rPr>
                    <w:t>车间内设备采取基础减振，建筑隔声、吸声、减振等措施后，营运期产生的噪声对周围环境影响较小</w:t>
                  </w:r>
                  <w:r>
                    <w:rPr>
                      <w:rFonts w:hint="default" w:ascii="Times New Roman" w:hAnsi="Times New Roman" w:eastAsia="宋体" w:cs="Times New Roman"/>
                      <w:color w:val="auto"/>
                      <w:kern w:val="0"/>
                      <w:sz w:val="21"/>
                      <w:szCs w:val="21"/>
                      <w:shd w:val="clear" w:color="auto" w:fill="FFFFFF"/>
                    </w:rPr>
                    <w:t>。</w:t>
                  </w:r>
                </w:p>
              </w:tc>
              <w:tc>
                <w:tcPr>
                  <w:tcW w:w="9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shd w:val="clear" w:color="auto" w:fill="FFFFFF"/>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sz w:val="21"/>
                <w:szCs w:val="21"/>
              </w:rPr>
            </w:pPr>
          </w:p>
        </w:tc>
      </w:tr>
    </w:tbl>
    <w:p>
      <w:pPr>
        <w:spacing w:line="360" w:lineRule="auto"/>
        <w:outlineLvl w:val="0"/>
        <w:rPr>
          <w:rFonts w:hint="default" w:ascii="Times New Roman" w:hAnsi="Times New Roman" w:eastAsia="黑体" w:cs="Times New Roman"/>
          <w:color w:val="auto"/>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52" w:hRule="atLeast"/>
          <w:jc w:val="center"/>
        </w:trPr>
        <w:tc>
          <w:tcPr>
            <w:tcW w:w="823" w:type="dxa"/>
            <w:noWrap w:val="0"/>
            <w:vAlign w:val="center"/>
          </w:tcPr>
          <w:p>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10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2</w:t>
            </w:r>
            <w:r>
              <w:rPr>
                <w:rFonts w:hint="default" w:ascii="Times New Roman" w:hAnsi="Times New Roman" w:cs="Times New Roman"/>
                <w:b/>
                <w:bCs w:val="0"/>
                <w:color w:val="auto"/>
                <w:sz w:val="21"/>
                <w:szCs w:val="21"/>
              </w:rPr>
              <w:t>.</w:t>
            </w:r>
            <w:r>
              <w:rPr>
                <w:rFonts w:hint="default" w:ascii="Times New Roman" w:hAnsi="Times New Roman" w:cs="Times New Roman"/>
                <w:b/>
                <w:bCs w:val="0"/>
                <w:color w:val="auto"/>
                <w:sz w:val="21"/>
                <w:szCs w:val="21"/>
                <w:lang w:val="en-US" w:eastAsia="zh-CN"/>
              </w:rPr>
              <w:t>1</w:t>
            </w:r>
            <w:r>
              <w:rPr>
                <w:rFonts w:hint="default" w:ascii="Times New Roman" w:hAnsi="Times New Roman" w:cs="Times New Roman"/>
                <w:b/>
                <w:bCs w:val="0"/>
                <w:color w:val="auto"/>
                <w:sz w:val="21"/>
                <w:szCs w:val="21"/>
              </w:rPr>
              <w:t>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根据《中华人民共和国环境保护法》、《中华人民共和国环境影响评价法》、《国民经济行业分类》（GB/T4754-2017）和《建设项目环境影响评价分类管理名录》（2021版、部令第16条）要求，本项目属于国民经济行业分类中“</w:t>
            </w:r>
            <w:r>
              <w:rPr>
                <w:rFonts w:hint="default" w:ascii="Times New Roman" w:hAnsi="Times New Roman" w:cs="Times New Roman"/>
                <w:b w:val="0"/>
                <w:bCs w:val="0"/>
                <w:color w:val="auto"/>
                <w:sz w:val="21"/>
                <w:szCs w:val="21"/>
                <w:lang w:eastAsia="zh-CN"/>
              </w:rPr>
              <w:t>C3752 摩托车零部件及配件制造</w:t>
            </w:r>
            <w:r>
              <w:rPr>
                <w:rFonts w:hint="default" w:ascii="Times New Roman" w:hAnsi="Times New Roman" w:cs="Times New Roman"/>
                <w:bCs/>
                <w:color w:val="auto"/>
                <w:sz w:val="21"/>
                <w:szCs w:val="21"/>
                <w:lang w:val="en-US" w:eastAsia="zh-CN"/>
              </w:rPr>
              <w:t>”，属于建设项目环境影响评价分类管理名录中“三十四、铁路、船舶、航空航天和其他运输设备制造业 37 摩托车制造 375”中“其他”，因此本项目应编制环境影响评价报告表。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项目名称：</w:t>
            </w:r>
            <w:r>
              <w:rPr>
                <w:rFonts w:hint="eastAsia" w:cs="Times New Roman"/>
                <w:bCs/>
                <w:color w:val="auto"/>
                <w:sz w:val="21"/>
                <w:szCs w:val="21"/>
                <w:lang w:eastAsia="zh-CN"/>
              </w:rPr>
              <w:t>重庆爵狼摩托车配件生产项目</w:t>
            </w:r>
            <w:r>
              <w:rPr>
                <w:rFonts w:hint="default" w:ascii="Times New Roman" w:hAnsi="Times New Roman"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建设单位：</w:t>
            </w:r>
            <w:r>
              <w:rPr>
                <w:rFonts w:hint="default" w:ascii="Times New Roman" w:hAnsi="Times New Roman" w:cs="Times New Roman"/>
                <w:bCs/>
                <w:color w:val="auto"/>
                <w:sz w:val="21"/>
                <w:szCs w:val="21"/>
                <w:lang w:eastAsia="zh-CN"/>
              </w:rPr>
              <w:t>重庆爵狼摩托车配件有限公司</w:t>
            </w:r>
            <w:r>
              <w:rPr>
                <w:rFonts w:hint="default" w:ascii="Times New Roman" w:hAnsi="Times New Roman"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建设性质：新建；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地理位置：</w:t>
            </w:r>
            <w:r>
              <w:rPr>
                <w:rFonts w:hint="default" w:ascii="Times New Roman" w:hAnsi="Times New Roman" w:cs="Times New Roman"/>
                <w:bCs/>
                <w:color w:val="auto"/>
                <w:sz w:val="21"/>
                <w:szCs w:val="21"/>
                <w:lang w:eastAsia="zh-CN"/>
              </w:rPr>
              <w:t xml:space="preserve">重庆市铜梁区蒲吕街道产业大道55号附27号 </w:t>
            </w:r>
            <w:r>
              <w:rPr>
                <w:rFonts w:hint="default" w:ascii="Times New Roman" w:hAnsi="Times New Roman"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项目投资：</w:t>
            </w:r>
            <w:r>
              <w:rPr>
                <w:rFonts w:hint="default" w:ascii="Times New Roman" w:hAnsi="Times New Roman" w:cs="Times New Roman"/>
                <w:bCs/>
                <w:color w:val="auto"/>
                <w:sz w:val="21"/>
                <w:szCs w:val="21"/>
                <w:lang w:val="en-US" w:eastAsia="zh-CN"/>
              </w:rPr>
              <w:t>50</w:t>
            </w:r>
            <w:r>
              <w:rPr>
                <w:rFonts w:hint="default" w:ascii="Times New Roman" w:hAnsi="Times New Roman" w:cs="Times New Roman"/>
                <w:bCs/>
                <w:color w:val="auto"/>
                <w:sz w:val="21"/>
                <w:szCs w:val="21"/>
                <w:lang w:eastAsia="zh-CN"/>
              </w:rPr>
              <w:t>0万</w:t>
            </w:r>
            <w:r>
              <w:rPr>
                <w:rFonts w:hint="default" w:ascii="Times New Roman" w:hAnsi="Times New Roman" w:cs="Times New Roman"/>
                <w:bCs/>
                <w:color w:val="auto"/>
                <w:sz w:val="21"/>
                <w:szCs w:val="21"/>
              </w:rPr>
              <w:t>元，环保投资</w:t>
            </w:r>
            <w:r>
              <w:rPr>
                <w:rFonts w:hint="default"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建筑面积：5992.32</w:t>
            </w:r>
            <w:r>
              <w:rPr>
                <w:rFonts w:hint="default" w:ascii="Times New Roman" w:hAnsi="Times New Roman" w:cs="Times New Roman"/>
                <w:bCs/>
                <w:color w:val="auto"/>
                <w:sz w:val="21"/>
                <w:szCs w:val="21"/>
                <w:lang w:eastAsia="zh-CN"/>
              </w:rPr>
              <w:t>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建设内容：本项目</w:t>
            </w:r>
            <w:r>
              <w:rPr>
                <w:rFonts w:hint="default" w:ascii="Times New Roman" w:hAnsi="Times New Roman" w:cs="Times New Roman"/>
                <w:bCs/>
                <w:color w:val="auto"/>
                <w:sz w:val="21"/>
                <w:szCs w:val="21"/>
                <w:lang w:val="en-US" w:eastAsia="zh-CN"/>
              </w:rPr>
              <w:t>购置</w:t>
            </w:r>
            <w:r>
              <w:rPr>
                <w:rFonts w:hint="default" w:ascii="Times New Roman" w:hAnsi="Times New Roman" w:cs="Times New Roman"/>
                <w:color w:val="auto"/>
                <w:kern w:val="2"/>
                <w:sz w:val="21"/>
                <w:szCs w:val="24"/>
                <w:lang w:val="en-US" w:eastAsia="zh-CN" w:bidi="ar-SA"/>
              </w:rPr>
              <w:t>万洋众创城智能制造产业园</w:t>
            </w:r>
            <w:r>
              <w:rPr>
                <w:rFonts w:hint="default" w:ascii="Times New Roman" w:hAnsi="Times New Roman" w:eastAsia="宋体" w:cs="Times New Roman"/>
                <w:color w:val="auto"/>
                <w:sz w:val="22"/>
                <w:szCs w:val="22"/>
                <w:lang w:val="en-US" w:eastAsia="zh-CN"/>
              </w:rPr>
              <w:t>已建</w:t>
            </w:r>
            <w:r>
              <w:rPr>
                <w:rFonts w:hint="default" w:ascii="Times New Roman" w:hAnsi="Times New Roman" w:cs="Times New Roman"/>
                <w:bCs/>
                <w:color w:val="auto"/>
                <w:sz w:val="21"/>
                <w:szCs w:val="21"/>
              </w:rPr>
              <w:t>厂房，</w:t>
            </w:r>
            <w:r>
              <w:rPr>
                <w:rFonts w:hint="default" w:ascii="Times New Roman" w:hAnsi="Times New Roman" w:cs="Times New Roman"/>
                <w:bCs/>
                <w:color w:val="auto"/>
                <w:sz w:val="21"/>
                <w:szCs w:val="21"/>
                <w:lang w:val="en-US" w:eastAsia="zh-CN"/>
              </w:rPr>
              <w:t>同时</w:t>
            </w:r>
            <w:r>
              <w:rPr>
                <w:rFonts w:hint="default" w:ascii="Times New Roman" w:hAnsi="Times New Roman" w:cs="Times New Roman"/>
                <w:bCs/>
                <w:color w:val="auto"/>
                <w:sz w:val="21"/>
                <w:szCs w:val="21"/>
              </w:rPr>
              <w:t>购置</w:t>
            </w:r>
            <w:r>
              <w:rPr>
                <w:rFonts w:hint="default" w:ascii="Times New Roman" w:hAnsi="Times New Roman" w:cs="Times New Roman"/>
                <w:color w:val="auto"/>
                <w:sz w:val="21"/>
                <w:szCs w:val="21"/>
                <w:lang w:val="en-US" w:eastAsia="zh-CN"/>
              </w:rPr>
              <w:t>冲床</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车床</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滚齿机</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高频感应加热炉</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回火炉</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抛丸机</w:t>
            </w:r>
            <w:r>
              <w:rPr>
                <w:rFonts w:hint="default" w:ascii="Times New Roman" w:hAnsi="Times New Roman" w:cs="Times New Roman"/>
                <w:bCs/>
                <w:color w:val="auto"/>
                <w:sz w:val="21"/>
                <w:szCs w:val="21"/>
              </w:rPr>
              <w:t>等生产设备，建设</w:t>
            </w:r>
            <w:r>
              <w:rPr>
                <w:rFonts w:hint="eastAsia" w:cs="Times New Roman"/>
                <w:bCs/>
                <w:color w:val="auto"/>
                <w:sz w:val="21"/>
                <w:szCs w:val="21"/>
                <w:lang w:eastAsia="zh-CN"/>
              </w:rPr>
              <w:t>重庆爵狼摩托车配件生产项目</w:t>
            </w:r>
            <w:r>
              <w:rPr>
                <w:rFonts w:hint="default" w:ascii="Times New Roman" w:hAnsi="Times New Roman" w:cs="Times New Roman"/>
                <w:bCs/>
                <w:color w:val="auto"/>
                <w:sz w:val="21"/>
                <w:szCs w:val="21"/>
              </w:rPr>
              <w:t>，建成后</w:t>
            </w:r>
            <w:r>
              <w:rPr>
                <w:rFonts w:hint="default" w:ascii="Times New Roman" w:hAnsi="Times New Roman" w:eastAsia="宋体" w:cs="Times New Roman"/>
                <w:color w:val="auto"/>
                <w:kern w:val="2"/>
                <w:sz w:val="21"/>
                <w:szCs w:val="21"/>
                <w:lang w:val="en-US" w:eastAsia="zh-CN" w:bidi="ar-SA"/>
              </w:rPr>
              <w:t>年产120万</w:t>
            </w:r>
            <w:r>
              <w:rPr>
                <w:rFonts w:hint="default" w:ascii="Times New Roman" w:hAnsi="Times New Roman" w:eastAsia="宋体" w:cs="Times New Roman"/>
                <w:color w:val="auto"/>
                <w:kern w:val="0"/>
                <w:szCs w:val="21"/>
                <w:lang w:bidi="ar"/>
              </w:rPr>
              <w:t>件</w:t>
            </w:r>
            <w:r>
              <w:rPr>
                <w:rFonts w:hint="default" w:ascii="Times New Roman" w:hAnsi="Times New Roman" w:eastAsia="宋体" w:cs="Times New Roman"/>
                <w:color w:val="auto"/>
                <w:kern w:val="2"/>
                <w:sz w:val="21"/>
                <w:szCs w:val="21"/>
                <w:lang w:val="en-US" w:eastAsia="zh-CN" w:bidi="ar-SA"/>
              </w:rPr>
              <w:t>摩托车配件</w:t>
            </w:r>
            <w:r>
              <w:rPr>
                <w:rFonts w:hint="default" w:ascii="Times New Roman" w:hAnsi="Times New Roman"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建设进度：202</w:t>
            </w:r>
            <w:r>
              <w:rPr>
                <w:rFonts w:hint="eastAsia" w:cs="Times New Roman"/>
                <w:bCs/>
                <w:color w:val="auto"/>
                <w:sz w:val="21"/>
                <w:szCs w:val="21"/>
                <w:lang w:val="en-US" w:eastAsia="zh-CN"/>
              </w:rPr>
              <w:t>4</w:t>
            </w:r>
            <w:r>
              <w:rPr>
                <w:rFonts w:hint="default" w:ascii="Times New Roman" w:hAnsi="Times New Roman" w:cs="Times New Roman"/>
                <w:bCs/>
                <w:color w:val="auto"/>
                <w:sz w:val="21"/>
                <w:szCs w:val="21"/>
              </w:rPr>
              <w:t>年</w:t>
            </w: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月~202</w:t>
            </w:r>
            <w:r>
              <w:rPr>
                <w:rFonts w:hint="default" w:ascii="Times New Roman" w:hAnsi="Times New Roman" w:cs="Times New Roman"/>
                <w:bCs/>
                <w:color w:val="auto"/>
                <w:sz w:val="21"/>
                <w:szCs w:val="21"/>
                <w:lang w:val="en-US" w:eastAsia="zh-CN"/>
              </w:rPr>
              <w:t>4</w:t>
            </w:r>
            <w:r>
              <w:rPr>
                <w:rFonts w:hint="default" w:ascii="Times New Roman" w:hAnsi="Times New Roman" w:cs="Times New Roman"/>
                <w:bCs/>
                <w:color w:val="auto"/>
                <w:sz w:val="21"/>
                <w:szCs w:val="21"/>
              </w:rPr>
              <w:t>年</w:t>
            </w:r>
            <w:r>
              <w:rPr>
                <w:rFonts w:hint="eastAsia" w:cs="Times New Roman"/>
                <w:bCs/>
                <w:color w:val="auto"/>
                <w:sz w:val="21"/>
                <w:szCs w:val="21"/>
                <w:lang w:val="en-US" w:eastAsia="zh-CN"/>
              </w:rPr>
              <w:t>7</w:t>
            </w:r>
            <w:r>
              <w:rPr>
                <w:rFonts w:hint="default" w:ascii="Times New Roman" w:hAnsi="Times New Roman" w:cs="Times New Roman"/>
                <w:bCs/>
                <w:color w:val="auto"/>
                <w:sz w:val="21"/>
                <w:szCs w:val="21"/>
              </w:rPr>
              <w:t>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劳动制度：每年生产300天，</w:t>
            </w: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班制，每班生产时间为8h，不设</w:t>
            </w:r>
            <w:r>
              <w:rPr>
                <w:rFonts w:hint="default" w:ascii="Times New Roman" w:hAnsi="Times New Roman" w:cs="Times New Roman"/>
                <w:bCs/>
                <w:color w:val="auto"/>
                <w:sz w:val="21"/>
                <w:szCs w:val="21"/>
                <w:lang w:eastAsia="zh-CN"/>
              </w:rPr>
              <w:t>食宿</w:t>
            </w:r>
            <w:r>
              <w:rPr>
                <w:rFonts w:hint="default" w:ascii="Times New Roman" w:hAnsi="Times New Roman"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劳动定员：</w:t>
            </w:r>
            <w:r>
              <w:rPr>
                <w:rFonts w:hint="default" w:ascii="Times New Roman" w:hAnsi="Times New Roman" w:cs="Times New Roman"/>
                <w:bCs/>
                <w:color w:val="auto"/>
                <w:sz w:val="21"/>
                <w:szCs w:val="21"/>
                <w:lang w:val="en-US" w:eastAsia="zh-CN"/>
              </w:rPr>
              <w:t>20</w:t>
            </w:r>
            <w:r>
              <w:rPr>
                <w:rFonts w:hint="default" w:ascii="Times New Roman" w:hAnsi="Times New Roman" w:cs="Times New Roman"/>
                <w:bCs/>
                <w:color w:val="auto"/>
                <w:sz w:val="21"/>
                <w:szCs w:val="21"/>
              </w:rPr>
              <w:t>人，其中生产人员</w:t>
            </w:r>
            <w:r>
              <w:rPr>
                <w:rFonts w:hint="default" w:ascii="Times New Roman" w:hAnsi="Times New Roman" w:cs="Times New Roman"/>
                <w:bCs/>
                <w:color w:val="auto"/>
                <w:sz w:val="21"/>
                <w:szCs w:val="21"/>
                <w:lang w:val="en-US" w:eastAsia="zh-CN"/>
              </w:rPr>
              <w:t>18</w:t>
            </w:r>
            <w:r>
              <w:rPr>
                <w:rFonts w:hint="default" w:ascii="Times New Roman" w:hAnsi="Times New Roman" w:cs="Times New Roman"/>
                <w:bCs/>
                <w:color w:val="auto"/>
                <w:sz w:val="21"/>
                <w:szCs w:val="21"/>
              </w:rPr>
              <w:t>人，管理人员</w:t>
            </w: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.2建设内容及规模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本项目由主体工程、辅助工程、公用工程、环保工程和储运工程组成，主要工程内容详见表</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rPr>
              <w:t>项目组成情况一览表</w:t>
            </w:r>
          </w:p>
          <w:tbl>
            <w:tblPr>
              <w:tblStyle w:val="27"/>
              <w:tblpPr w:leftFromText="181" w:rightFromText="181" w:vertAnchor="text" w:horzAnchor="page" w:tblpXSpec="center" w:tblpY="1"/>
              <w:tblOverlap w:val="never"/>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31"/>
              <w:gridCol w:w="46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项目组成</w:t>
                  </w: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项目分类</w:t>
                  </w:r>
                </w:p>
              </w:tc>
              <w:tc>
                <w:tcPr>
                  <w:tcW w:w="46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sz w:val="21"/>
                      <w:szCs w:val="21"/>
                    </w:rPr>
                  </w:pPr>
                  <w:bookmarkStart w:id="1" w:name="OLE_LINK1" w:colFirst="1" w:colLast="2"/>
                  <w:r>
                    <w:rPr>
                      <w:rFonts w:hint="default" w:ascii="Times New Roman" w:hAnsi="Times New Roman" w:eastAsia="宋体" w:cs="Times New Roman"/>
                      <w:bCs/>
                      <w:color w:val="auto"/>
                      <w:sz w:val="21"/>
                      <w:szCs w:val="21"/>
                    </w:rPr>
                    <w:t>主体工程</w:t>
                  </w:r>
                </w:p>
              </w:tc>
              <w:tc>
                <w:tcPr>
                  <w:tcW w:w="1131" w:type="dxa"/>
                  <w:noWrap w:val="0"/>
                  <w:vAlign w:val="center"/>
                </w:tcPr>
                <w:p>
                  <w:pPr>
                    <w:spacing w:line="360" w:lineRule="exact"/>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机加</w:t>
                  </w:r>
                  <w:r>
                    <w:rPr>
                      <w:rFonts w:hint="default" w:ascii="Times New Roman" w:hAnsi="Times New Roman" w:cs="Times New Roman"/>
                      <w:color w:val="auto"/>
                      <w:sz w:val="21"/>
                      <w:szCs w:val="21"/>
                      <w:lang w:val="en-US" w:eastAsia="zh-CN"/>
                    </w:rPr>
                    <w:t>区</w:t>
                  </w:r>
                </w:p>
              </w:tc>
              <w:tc>
                <w:tcPr>
                  <w:tcW w:w="4650" w:type="dxa"/>
                  <w:noWrap w:val="0"/>
                  <w:vAlign w:val="center"/>
                </w:tcPr>
                <w:p>
                  <w:pPr>
                    <w:spacing w:line="360" w:lineRule="exact"/>
                    <w:jc w:val="both"/>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val="en-US" w:eastAsia="zh-CN"/>
                    </w:rPr>
                    <w:t>位于厂区</w:t>
                  </w:r>
                  <w:r>
                    <w:rPr>
                      <w:rFonts w:hint="eastAsia" w:cs="Times New Roman"/>
                      <w:color w:val="auto"/>
                      <w:sz w:val="21"/>
                      <w:szCs w:val="21"/>
                      <w:lang w:val="en-US" w:eastAsia="zh-CN"/>
                    </w:rPr>
                    <w:t>一楼东北</w:t>
                  </w:r>
                  <w:r>
                    <w:rPr>
                      <w:rFonts w:hint="default" w:ascii="Times New Roman" w:hAnsi="Times New Roman" w:cs="Times New Roman"/>
                      <w:color w:val="auto"/>
                      <w:sz w:val="21"/>
                      <w:szCs w:val="21"/>
                      <w:lang w:val="en-US" w:eastAsia="zh-CN"/>
                    </w:rPr>
                    <w:t>侧，布置有冲床</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车床</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滚齿机</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CNC</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液压机</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钻床</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抛丸机</w:t>
                  </w:r>
                  <w:r>
                    <w:rPr>
                      <w:rFonts w:hint="eastAsia" w:cs="Times New Roman"/>
                      <w:color w:val="auto"/>
                      <w:sz w:val="21"/>
                      <w:szCs w:val="21"/>
                      <w:lang w:val="en-US" w:eastAsia="zh-CN"/>
                    </w:rPr>
                    <w:t>等生产设备</w:t>
                  </w:r>
                  <w:r>
                    <w:rPr>
                      <w:rFonts w:hint="default" w:ascii="Times New Roman" w:hAnsi="Times New Roman" w:cs="Times New Roman"/>
                      <w:color w:val="auto"/>
                      <w:lang w:val="en-US" w:eastAsia="zh-CN"/>
                    </w:rPr>
                    <w:t>，用于</w:t>
                  </w:r>
                  <w:r>
                    <w:rPr>
                      <w:rFonts w:hint="eastAsia" w:cs="Times New Roman"/>
                      <w:color w:val="auto"/>
                      <w:sz w:val="21"/>
                      <w:szCs w:val="21"/>
                      <w:lang w:val="en-US" w:eastAsia="zh-CN"/>
                    </w:rPr>
                    <w:t>产品的机械</w:t>
                  </w:r>
                  <w:r>
                    <w:rPr>
                      <w:rFonts w:hint="default" w:ascii="Times New Roman" w:hAnsi="Times New Roman" w:cs="Times New Roman"/>
                      <w:color w:val="auto"/>
                      <w:lang w:val="en-US" w:eastAsia="zh-CN"/>
                    </w:rPr>
                    <w:t>加工</w:t>
                  </w:r>
                  <w:r>
                    <w:rPr>
                      <w:rFonts w:hint="default" w:ascii="Times New Roman" w:hAnsi="Times New Roman" w:cs="Times New Roman"/>
                      <w:color w:val="auto"/>
                      <w:sz w:val="21"/>
                      <w:szCs w:val="21"/>
                      <w:lang w:val="en-US" w:eastAsia="zh-CN"/>
                    </w:rPr>
                    <w:t>。</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sz w:val="21"/>
                      <w:szCs w:val="21"/>
                    </w:rPr>
                  </w:pPr>
                </w:p>
              </w:tc>
              <w:tc>
                <w:tcPr>
                  <w:tcW w:w="1131" w:type="dxa"/>
                  <w:noWrap w:val="0"/>
                  <w:vAlign w:val="center"/>
                </w:tcPr>
                <w:p>
                  <w:pPr>
                    <w:spacing w:line="36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热处理区</w:t>
                  </w:r>
                </w:p>
              </w:tc>
              <w:tc>
                <w:tcPr>
                  <w:tcW w:w="4650" w:type="dxa"/>
                  <w:noWrap w:val="0"/>
                  <w:vAlign w:val="center"/>
                </w:tcPr>
                <w:p>
                  <w:pPr>
                    <w:spacing w:line="360" w:lineRule="exact"/>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位于厂区</w:t>
                  </w:r>
                  <w:r>
                    <w:rPr>
                      <w:rFonts w:hint="eastAsia" w:cs="Times New Roman"/>
                      <w:color w:val="auto"/>
                      <w:sz w:val="21"/>
                      <w:szCs w:val="21"/>
                      <w:lang w:val="en-US" w:eastAsia="zh-CN"/>
                    </w:rPr>
                    <w:t>一楼西南</w:t>
                  </w:r>
                  <w:r>
                    <w:rPr>
                      <w:rFonts w:hint="default" w:ascii="Times New Roman" w:hAnsi="Times New Roman" w:cs="Times New Roman"/>
                      <w:color w:val="auto"/>
                      <w:sz w:val="21"/>
                      <w:szCs w:val="21"/>
                      <w:lang w:val="en-US" w:eastAsia="zh-CN"/>
                    </w:rPr>
                    <w:t>侧，布置有高频感应加热炉</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回火炉</w:t>
                  </w:r>
                  <w:r>
                    <w:rPr>
                      <w:rFonts w:hint="eastAsia" w:cs="Times New Roman"/>
                      <w:color w:val="auto"/>
                      <w:sz w:val="21"/>
                      <w:szCs w:val="21"/>
                      <w:lang w:val="en-US" w:eastAsia="zh-CN"/>
                    </w:rPr>
                    <w:t>等生产设备</w:t>
                  </w:r>
                  <w:r>
                    <w:rPr>
                      <w:rFonts w:hint="default" w:ascii="Times New Roman" w:hAnsi="Times New Roman" w:cs="Times New Roman"/>
                      <w:color w:val="auto"/>
                      <w:lang w:val="en-US" w:eastAsia="zh-CN"/>
                    </w:rPr>
                    <w:t>，用于</w:t>
                  </w:r>
                  <w:r>
                    <w:rPr>
                      <w:rFonts w:hint="eastAsia" w:cs="Times New Roman"/>
                      <w:color w:val="auto"/>
                      <w:sz w:val="21"/>
                      <w:szCs w:val="21"/>
                      <w:lang w:val="en-US" w:eastAsia="zh-CN"/>
                    </w:rPr>
                    <w:t>产品的热处理</w:t>
                  </w:r>
                  <w:r>
                    <w:rPr>
                      <w:rFonts w:hint="default" w:ascii="Times New Roman" w:hAnsi="Times New Roman" w:cs="Times New Roman"/>
                      <w:color w:val="auto"/>
                      <w:lang w:val="en-US" w:eastAsia="zh-CN"/>
                    </w:rPr>
                    <w:t>加工</w:t>
                  </w:r>
                  <w:r>
                    <w:rPr>
                      <w:rFonts w:hint="default" w:ascii="Times New Roman" w:hAnsi="Times New Roman" w:cs="Times New Roman"/>
                      <w:color w:val="auto"/>
                      <w:sz w:val="21"/>
                      <w:szCs w:val="21"/>
                      <w:lang w:val="en-US" w:eastAsia="zh-CN"/>
                    </w:rPr>
                    <w:t>。</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办公</w:t>
                  </w:r>
                  <w:r>
                    <w:rPr>
                      <w:rFonts w:hint="default" w:ascii="Times New Roman" w:hAnsi="Times New Roman" w:cs="Times New Roman"/>
                      <w:color w:val="auto"/>
                      <w:sz w:val="21"/>
                      <w:szCs w:val="21"/>
                      <w:lang w:val="en-US" w:eastAsia="zh-CN"/>
                    </w:rPr>
                    <w:t>区</w:t>
                  </w:r>
                </w:p>
              </w:tc>
              <w:tc>
                <w:tcPr>
                  <w:tcW w:w="46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位于厂区</w:t>
                  </w:r>
                  <w:r>
                    <w:rPr>
                      <w:rFonts w:hint="eastAsia" w:cs="Times New Roman"/>
                      <w:color w:val="auto"/>
                      <w:sz w:val="21"/>
                      <w:szCs w:val="21"/>
                      <w:lang w:val="en-US" w:eastAsia="zh-CN"/>
                    </w:rPr>
                    <w:t>二楼、五楼</w:t>
                  </w:r>
                  <w:r>
                    <w:rPr>
                      <w:rFonts w:hint="default" w:ascii="Times New Roman" w:hAnsi="Times New Roman" w:cs="Times New Roman"/>
                      <w:color w:val="auto"/>
                      <w:sz w:val="21"/>
                      <w:szCs w:val="21"/>
                      <w:lang w:val="en-US" w:eastAsia="zh-CN"/>
                    </w:rPr>
                    <w:t>，用于办公</w:t>
                  </w:r>
                  <w:r>
                    <w:rPr>
                      <w:rFonts w:hint="eastAsia" w:cs="Times New Roman"/>
                      <w:color w:val="auto"/>
                      <w:sz w:val="21"/>
                      <w:szCs w:val="21"/>
                      <w:lang w:val="en-US" w:eastAsia="zh-CN"/>
                    </w:rPr>
                    <w:t>、接待</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每层</w:t>
                  </w:r>
                  <w:r>
                    <w:rPr>
                      <w:rFonts w:hint="default" w:ascii="Times New Roman" w:hAnsi="Times New Roman" w:eastAsia="宋体" w:cs="Times New Roman"/>
                      <w:color w:val="auto"/>
                      <w:sz w:val="21"/>
                      <w:szCs w:val="21"/>
                    </w:rPr>
                    <w:t>建筑面积约</w:t>
                  </w:r>
                  <w:r>
                    <w:rPr>
                      <w:rFonts w:hint="eastAsia" w:cs="Times New Roman"/>
                      <w:color w:val="auto"/>
                      <w:sz w:val="21"/>
                      <w:szCs w:val="21"/>
                      <w:lang w:val="en-US" w:eastAsia="zh-CN"/>
                    </w:rPr>
                    <w:t>120</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卫生间</w:t>
                  </w:r>
                </w:p>
              </w:tc>
              <w:tc>
                <w:tcPr>
                  <w:tcW w:w="46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每层楼</w:t>
                  </w:r>
                  <w:r>
                    <w:rPr>
                      <w:rFonts w:hint="eastAsia" w:cs="Times New Roman"/>
                      <w:color w:val="auto"/>
                      <w:sz w:val="21"/>
                      <w:szCs w:val="21"/>
                      <w:lang w:val="en-US" w:eastAsia="zh-CN"/>
                    </w:rPr>
                    <w:t>均设有卫生间</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建筑面积约</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空压机</w:t>
                  </w:r>
                </w:p>
              </w:tc>
              <w:tc>
                <w:tcPr>
                  <w:tcW w:w="46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位于</w:t>
                  </w:r>
                  <w:r>
                    <w:rPr>
                      <w:rFonts w:hint="default" w:ascii="Times New Roman" w:hAnsi="Times New Roman" w:eastAsia="宋体" w:cs="Times New Roman"/>
                      <w:bCs/>
                      <w:color w:val="auto"/>
                      <w:sz w:val="21"/>
                      <w:szCs w:val="21"/>
                      <w:lang w:eastAsia="zh-CN"/>
                    </w:rPr>
                    <w:t>厂区</w:t>
                  </w:r>
                  <w:r>
                    <w:rPr>
                      <w:rFonts w:hint="eastAsia" w:cs="Times New Roman"/>
                      <w:bCs/>
                      <w:color w:val="auto"/>
                      <w:sz w:val="21"/>
                      <w:szCs w:val="21"/>
                      <w:lang w:val="en-US" w:eastAsia="zh-CN"/>
                    </w:rPr>
                    <w:t>一楼南</w:t>
                  </w:r>
                  <w:r>
                    <w:rPr>
                      <w:rFonts w:hint="default" w:ascii="Times New Roman" w:hAnsi="Times New Roman" w:cs="Times New Roman"/>
                      <w:bCs/>
                      <w:color w:val="auto"/>
                      <w:sz w:val="21"/>
                      <w:szCs w:val="21"/>
                      <w:lang w:eastAsia="zh-CN"/>
                    </w:rPr>
                    <w:t>侧，布置有</w:t>
                  </w:r>
                  <w:r>
                    <w:rPr>
                      <w:rFonts w:hint="eastAsia" w:cs="Times New Roman"/>
                      <w:bCs/>
                      <w:color w:val="auto"/>
                      <w:sz w:val="21"/>
                      <w:szCs w:val="21"/>
                      <w:lang w:val="en-US" w:eastAsia="zh-CN"/>
                    </w:rPr>
                    <w:t>1</w:t>
                  </w:r>
                  <w:r>
                    <w:rPr>
                      <w:rFonts w:hint="default" w:ascii="Times New Roman" w:hAnsi="Times New Roman" w:cs="Times New Roman"/>
                      <w:bCs/>
                      <w:color w:val="auto"/>
                      <w:sz w:val="21"/>
                      <w:szCs w:val="21"/>
                      <w:lang w:eastAsia="zh-CN"/>
                    </w:rPr>
                    <w:t>台空压机</w:t>
                  </w:r>
                  <w:r>
                    <w:rPr>
                      <w:rFonts w:hint="default" w:ascii="Times New Roman" w:hAnsi="Times New Roman" w:cs="Times New Roman"/>
                      <w:color w:val="auto"/>
                      <w:sz w:val="21"/>
                      <w:szCs w:val="21"/>
                      <w:lang w:eastAsia="zh-CN"/>
                    </w:rPr>
                    <w:t>，为项目生产提供压缩空气。</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公用工程</w:t>
                  </w:r>
                </w:p>
              </w:tc>
              <w:tc>
                <w:tcPr>
                  <w:tcW w:w="1131" w:type="dxa"/>
                  <w:noWrap w:val="0"/>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供水</w:t>
                  </w:r>
                </w:p>
              </w:tc>
              <w:tc>
                <w:tcPr>
                  <w:tcW w:w="4650" w:type="dxa"/>
                  <w:noWrap w:val="0"/>
                  <w:vAlign w:val="center"/>
                </w:tcPr>
                <w:p>
                  <w:pPr>
                    <w:adjustRightInd w:val="0"/>
                    <w:snapToGrid w:val="0"/>
                    <w:jc w:val="left"/>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依托园区市政给水管网。</w:t>
                  </w:r>
                </w:p>
              </w:tc>
              <w:tc>
                <w:tcPr>
                  <w:tcW w:w="1050"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2"/>
                      <w:szCs w:val="22"/>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排水</w:t>
                  </w:r>
                </w:p>
              </w:tc>
              <w:tc>
                <w:tcPr>
                  <w:tcW w:w="4650" w:type="dxa"/>
                  <w:noWrap w:val="0"/>
                  <w:vAlign w:val="center"/>
                </w:tcPr>
                <w:p>
                  <w:pPr>
                    <w:adjustRightInd w:val="0"/>
                    <w:snapToGrid w:val="0"/>
                    <w:jc w:val="left"/>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cs="Times New Roman"/>
                      <w:color w:val="auto"/>
                      <w:sz w:val="21"/>
                      <w:szCs w:val="21"/>
                      <w:lang w:val="en-US"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cs="Times New Roman"/>
                      <w:color w:val="auto"/>
                      <w:kern w:val="2"/>
                      <w:sz w:val="21"/>
                      <w:szCs w:val="24"/>
                      <w:lang w:val="en-US" w:eastAsia="zh-CN" w:bidi="ar-SA"/>
                    </w:rPr>
                    <w:t>生活废水</w:t>
                  </w:r>
                  <w:r>
                    <w:rPr>
                      <w:rFonts w:hint="default" w:ascii="Times New Roman" w:hAnsi="Times New Roman" w:cs="Times New Roman"/>
                      <w:color w:val="auto"/>
                      <w:sz w:val="21"/>
                      <w:szCs w:val="21"/>
                      <w:lang w:val="en-US" w:eastAsia="zh-CN"/>
                    </w:rPr>
                    <w:t>一起</w:t>
                  </w:r>
                  <w:r>
                    <w:rPr>
                      <w:rFonts w:hint="eastAsia" w:cs="Times New Roman"/>
                      <w:color w:val="auto"/>
                      <w:sz w:val="21"/>
                      <w:szCs w:val="21"/>
                      <w:lang w:val="en-US" w:eastAsia="zh-CN"/>
                    </w:rPr>
                    <w:t>通过</w:t>
                  </w:r>
                  <w:r>
                    <w:rPr>
                      <w:rFonts w:hint="default" w:ascii="Times New Roman" w:hAnsi="Times New Roman" w:eastAsia="宋体" w:cs="Times New Roman"/>
                      <w:color w:val="auto"/>
                      <w:sz w:val="22"/>
                      <w:szCs w:val="22"/>
                    </w:rPr>
                    <w:t>万洋众创城智能制造产业园区</w:t>
                  </w:r>
                  <w:r>
                    <w:rPr>
                      <w:rFonts w:hint="eastAsia" w:cs="Times New Roman"/>
                      <w:color w:val="auto"/>
                      <w:sz w:val="22"/>
                      <w:szCs w:val="22"/>
                      <w:lang w:eastAsia="zh-CN"/>
                    </w:rPr>
                    <w:t>已建生化池处理达标后</w:t>
                  </w:r>
                  <w:r>
                    <w:rPr>
                      <w:rFonts w:hint="default" w:ascii="Times New Roman" w:hAnsi="Times New Roman" w:eastAsia="宋体" w:cs="Times New Roman"/>
                      <w:color w:val="auto"/>
                      <w:sz w:val="22"/>
                      <w:szCs w:val="22"/>
                      <w:lang w:val="en-US" w:eastAsia="zh-CN"/>
                    </w:rPr>
                    <w:t>排入</w:t>
                  </w:r>
                  <w:r>
                    <w:rPr>
                      <w:rFonts w:hint="default" w:ascii="Times New Roman" w:hAnsi="Times New Roman" w:eastAsia="宋体" w:cs="Times New Roman"/>
                      <w:color w:val="auto"/>
                      <w:sz w:val="22"/>
                      <w:szCs w:val="22"/>
                    </w:rPr>
                    <w:t>市政污水管网。</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供电</w:t>
                  </w:r>
                </w:p>
              </w:tc>
              <w:tc>
                <w:tcPr>
                  <w:tcW w:w="4650" w:type="dxa"/>
                  <w:noWrap w:val="0"/>
                  <w:vAlign w:val="center"/>
                </w:tcPr>
                <w:p>
                  <w:pPr>
                    <w:adjustRightInd w:val="0"/>
                    <w:snapToGrid w:val="0"/>
                    <w:jc w:val="left"/>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rPr>
                    <w:t>由园区供电电网供给。</w:t>
                  </w:r>
                </w:p>
              </w:tc>
              <w:tc>
                <w:tcPr>
                  <w:tcW w:w="1050" w:type="dxa"/>
                  <w:vMerge w:val="continue"/>
                  <w:noWrap w:val="0"/>
                  <w:vAlign w:val="center"/>
                </w:tcPr>
                <w:p>
                  <w:pPr>
                    <w:adjustRightInd w:val="0"/>
                    <w:snapToGrid w:val="0"/>
                    <w:jc w:val="center"/>
                    <w:rPr>
                      <w:rFonts w:hint="default" w:ascii="Times New Roman" w:hAnsi="Times New Roman" w:eastAsia="宋体" w:cs="Times New Roman"/>
                      <w:color w:val="auto"/>
                      <w:kern w:val="2"/>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Merge w:val="restar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储运工程</w:t>
                  </w:r>
                </w:p>
              </w:tc>
              <w:tc>
                <w:tcPr>
                  <w:tcW w:w="1131" w:type="dxa"/>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原料区</w:t>
                  </w:r>
                </w:p>
              </w:tc>
              <w:tc>
                <w:tcPr>
                  <w:tcW w:w="4650" w:type="dxa"/>
                  <w:noWrap w:val="0"/>
                  <w:vAlign w:val="center"/>
                </w:tcPr>
                <w:p>
                  <w:pPr>
                    <w:spacing w:line="36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位于厂区</w:t>
                  </w:r>
                  <w:r>
                    <w:rPr>
                      <w:rFonts w:hint="eastAsia" w:cs="Times New Roman"/>
                      <w:color w:val="auto"/>
                      <w:sz w:val="21"/>
                      <w:szCs w:val="21"/>
                      <w:lang w:val="en-US" w:eastAsia="zh-CN"/>
                    </w:rPr>
                    <w:t>三楼</w:t>
                  </w:r>
                  <w:r>
                    <w:rPr>
                      <w:rFonts w:hint="default" w:ascii="Times New Roman" w:hAnsi="Times New Roman" w:eastAsia="宋体" w:cs="Times New Roman"/>
                      <w:color w:val="auto"/>
                      <w:sz w:val="21"/>
                      <w:szCs w:val="21"/>
                    </w:rPr>
                    <w:t>，用于堆存外</w:t>
                  </w:r>
                  <w:r>
                    <w:rPr>
                      <w:rFonts w:hint="default" w:ascii="Times New Roman" w:hAnsi="Times New Roman" w:cs="Times New Roman"/>
                      <w:color w:val="auto"/>
                      <w:sz w:val="21"/>
                      <w:szCs w:val="21"/>
                      <w:lang w:eastAsia="zh-CN"/>
                    </w:rPr>
                    <w:t>购</w:t>
                  </w:r>
                  <w:r>
                    <w:rPr>
                      <w:rFonts w:hint="default" w:ascii="Times New Roman" w:hAnsi="Times New Roman" w:eastAsia="宋体" w:cs="Times New Roman"/>
                      <w:color w:val="auto"/>
                      <w:sz w:val="21"/>
                      <w:szCs w:val="21"/>
                    </w:rPr>
                    <w:t>的</w:t>
                  </w:r>
                  <w:r>
                    <w:rPr>
                      <w:rFonts w:hint="default" w:ascii="Times New Roman" w:hAnsi="Times New Roman" w:cs="Times New Roman"/>
                      <w:bCs/>
                      <w:color w:val="auto"/>
                      <w:szCs w:val="21"/>
                    </w:rPr>
                    <w:t>链轮</w:t>
                  </w:r>
                  <w:r>
                    <w:rPr>
                      <w:rFonts w:hint="default" w:ascii="Times New Roman" w:hAnsi="Times New Roman" w:eastAsia="宋体" w:cs="Times New Roman"/>
                      <w:color w:val="auto"/>
                      <w:sz w:val="21"/>
                      <w:szCs w:val="21"/>
                      <w:lang w:val="en-US" w:eastAsia="zh-CN"/>
                    </w:rPr>
                    <w:t>原料</w:t>
                  </w:r>
                  <w:r>
                    <w:rPr>
                      <w:rFonts w:hint="default" w:ascii="Times New Roman" w:hAnsi="Times New Roman" w:eastAsia="宋体" w:cs="Times New Roman"/>
                      <w:color w:val="auto"/>
                      <w:sz w:val="21"/>
                      <w:szCs w:val="21"/>
                    </w:rPr>
                    <w:t>堆放。</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131" w:type="dxa"/>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产品区</w:t>
                  </w:r>
                </w:p>
              </w:tc>
              <w:tc>
                <w:tcPr>
                  <w:tcW w:w="4650" w:type="dxa"/>
                  <w:noWrap w:val="0"/>
                  <w:vAlign w:val="center"/>
                </w:tcPr>
                <w:p>
                  <w:pPr>
                    <w:spacing w:line="36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位于厂区</w:t>
                  </w:r>
                  <w:r>
                    <w:rPr>
                      <w:rFonts w:hint="eastAsia" w:cs="Times New Roman"/>
                      <w:color w:val="auto"/>
                      <w:sz w:val="21"/>
                      <w:szCs w:val="21"/>
                      <w:lang w:val="en-US" w:eastAsia="zh-CN"/>
                    </w:rPr>
                    <w:t>四楼</w:t>
                  </w:r>
                  <w:r>
                    <w:rPr>
                      <w:rFonts w:hint="default" w:ascii="Times New Roman" w:hAnsi="Times New Roman" w:eastAsia="宋体" w:cs="Times New Roman"/>
                      <w:color w:val="auto"/>
                      <w:sz w:val="21"/>
                      <w:szCs w:val="21"/>
                    </w:rPr>
                    <w:t>，主要用于</w:t>
                  </w:r>
                  <w:r>
                    <w:rPr>
                      <w:rFonts w:hint="default" w:ascii="Times New Roman" w:hAnsi="Times New Roman" w:cs="Times New Roman"/>
                      <w:bCs/>
                      <w:color w:val="auto"/>
                      <w:szCs w:val="21"/>
                    </w:rPr>
                    <w:t>链轮</w:t>
                  </w:r>
                  <w:r>
                    <w:rPr>
                      <w:rFonts w:hint="default" w:ascii="Times New Roman" w:hAnsi="Times New Roman" w:eastAsia="宋体" w:cs="Times New Roman"/>
                      <w:color w:val="auto"/>
                      <w:sz w:val="21"/>
                      <w:szCs w:val="21"/>
                    </w:rPr>
                    <w:t>产品堆放。</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adjustRightInd w:val="0"/>
                    <w:snapToGrid w:val="0"/>
                    <w:spacing w:line="36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油</w:t>
                  </w:r>
                  <w:r>
                    <w:rPr>
                      <w:rFonts w:hint="eastAsia" w:ascii="Times New Roman" w:hAnsi="Times New Roman" w:cs="Times New Roman"/>
                      <w:color w:val="auto"/>
                      <w:sz w:val="21"/>
                      <w:szCs w:val="21"/>
                      <w:lang w:val="en-US" w:eastAsia="zh-CN"/>
                    </w:rPr>
                    <w:t>品</w:t>
                  </w:r>
                </w:p>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存放区</w:t>
                  </w:r>
                </w:p>
              </w:tc>
              <w:tc>
                <w:tcPr>
                  <w:tcW w:w="4650" w:type="dxa"/>
                  <w:noWrap w:val="0"/>
                  <w:vAlign w:val="center"/>
                </w:tcPr>
                <w:p>
                  <w:pPr>
                    <w:adjustRightInd w:val="0"/>
                    <w:snapToGrid w:val="0"/>
                    <w:spacing w:line="36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位于</w:t>
                  </w:r>
                  <w:r>
                    <w:rPr>
                      <w:rFonts w:hint="default" w:ascii="Times New Roman" w:hAnsi="Times New Roman" w:eastAsia="宋体" w:cs="Times New Roman"/>
                      <w:bCs/>
                      <w:color w:val="auto"/>
                      <w:sz w:val="21"/>
                      <w:szCs w:val="21"/>
                      <w:lang w:eastAsia="zh-CN"/>
                    </w:rPr>
                    <w:t>厂区</w:t>
                  </w:r>
                  <w:r>
                    <w:rPr>
                      <w:rFonts w:hint="eastAsia" w:cs="Times New Roman"/>
                      <w:bCs/>
                      <w:color w:val="auto"/>
                      <w:sz w:val="21"/>
                      <w:szCs w:val="21"/>
                      <w:lang w:val="en-US" w:eastAsia="zh-CN"/>
                    </w:rPr>
                    <w:t>一楼</w:t>
                  </w:r>
                  <w:r>
                    <w:rPr>
                      <w:rFonts w:hint="eastAsia" w:cs="Times New Roman"/>
                      <w:color w:val="auto"/>
                      <w:sz w:val="21"/>
                      <w:szCs w:val="21"/>
                      <w:lang w:val="en-US" w:eastAsia="zh-CN"/>
                    </w:rPr>
                    <w:t>西北</w:t>
                  </w:r>
                  <w:r>
                    <w:rPr>
                      <w:rFonts w:hint="eastAsia"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面积约</w:t>
                  </w:r>
                  <w:r>
                    <w:rPr>
                      <w:rFonts w:hint="eastAsia"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sz w:val="21"/>
                      <w:szCs w:val="21"/>
                    </w:rPr>
                    <w:t>主要用于</w:t>
                  </w:r>
                  <w:r>
                    <w:rPr>
                      <w:rFonts w:hint="eastAsia" w:ascii="Times New Roman" w:hAnsi="Times New Roman" w:eastAsia="宋体" w:cs="Times New Roman"/>
                      <w:color w:val="auto"/>
                      <w:sz w:val="21"/>
                      <w:szCs w:val="21"/>
                      <w:lang w:val="en-US" w:eastAsia="zh-CN"/>
                    </w:rPr>
                    <w:t>液压油、切削液和机油等</w:t>
                  </w:r>
                  <w:r>
                    <w:rPr>
                      <w:rFonts w:hint="eastAsia" w:cs="Times New Roman"/>
                      <w:color w:val="auto"/>
                      <w:sz w:val="21"/>
                      <w:szCs w:val="21"/>
                      <w:lang w:val="en-US" w:eastAsia="zh-CN"/>
                    </w:rPr>
                    <w:t>油</w:t>
                  </w:r>
                  <w:r>
                    <w:rPr>
                      <w:rFonts w:hint="eastAsia" w:ascii="Times New Roman" w:hAnsi="Times New Roman" w:cs="Times New Roman"/>
                      <w:color w:val="auto"/>
                      <w:sz w:val="21"/>
                      <w:szCs w:val="21"/>
                      <w:lang w:val="en-US" w:eastAsia="zh-CN"/>
                    </w:rPr>
                    <w:t>品</w:t>
                  </w:r>
                  <w:r>
                    <w:rPr>
                      <w:rFonts w:hint="default" w:ascii="Times New Roman" w:hAnsi="Times New Roman" w:eastAsia="宋体" w:cs="Times New Roman"/>
                      <w:color w:val="auto"/>
                      <w:sz w:val="21"/>
                      <w:szCs w:val="21"/>
                      <w:lang w:eastAsia="zh-CN"/>
                    </w:rPr>
                    <w:t>的</w:t>
                  </w:r>
                  <w:r>
                    <w:rPr>
                      <w:rFonts w:hint="default" w:ascii="Times New Roman" w:hAnsi="Times New Roman" w:eastAsia="宋体" w:cs="Times New Roman"/>
                      <w:color w:val="auto"/>
                      <w:sz w:val="21"/>
                      <w:szCs w:val="21"/>
                    </w:rPr>
                    <w:t>堆放</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须</w:t>
                  </w:r>
                  <w:r>
                    <w:rPr>
                      <w:rFonts w:hint="default" w:ascii="Times New Roman" w:hAnsi="Times New Roman" w:eastAsia="宋体" w:cs="Times New Roman"/>
                      <w:color w:val="auto"/>
                      <w:spacing w:val="-3"/>
                      <w:sz w:val="21"/>
                      <w:szCs w:val="21"/>
                    </w:rPr>
                    <w:t>设置</w:t>
                  </w:r>
                  <w:r>
                    <w:rPr>
                      <w:rFonts w:hint="default" w:ascii="Times New Roman" w:hAnsi="Times New Roman" w:eastAsia="宋体" w:cs="Times New Roman"/>
                      <w:color w:val="auto"/>
                      <w:spacing w:val="-3"/>
                      <w:sz w:val="21"/>
                      <w:szCs w:val="21"/>
                      <w:lang w:eastAsia="zh-CN"/>
                    </w:rPr>
                    <w:t>托盘、</w:t>
                  </w:r>
                  <w:r>
                    <w:rPr>
                      <w:rFonts w:hint="default" w:ascii="Times New Roman" w:hAnsi="Times New Roman" w:cs="Times New Roman"/>
                      <w:b w:val="0"/>
                      <w:bCs/>
                      <w:color w:val="auto"/>
                      <w:sz w:val="21"/>
                      <w:szCs w:val="21"/>
                      <w:lang w:eastAsia="zh-CN" w:bidi="ar"/>
                    </w:rPr>
                    <w:t>导流沟、集液池和</w:t>
                  </w:r>
                  <w:r>
                    <w:rPr>
                      <w:rFonts w:hint="default" w:ascii="Times New Roman" w:hAnsi="Times New Roman" w:eastAsia="宋体" w:cs="Times New Roman"/>
                      <w:color w:val="auto"/>
                      <w:sz w:val="21"/>
                      <w:szCs w:val="21"/>
                    </w:rPr>
                    <w:t>标识标牌</w:t>
                  </w:r>
                  <w:r>
                    <w:rPr>
                      <w:rFonts w:hint="default" w:ascii="Times New Roman" w:hAnsi="Times New Roman" w:eastAsia="宋体" w:cs="Times New Roman"/>
                      <w:color w:val="auto"/>
                      <w:sz w:val="21"/>
                      <w:szCs w:val="21"/>
                      <w:lang w:eastAsia="zh-CN"/>
                    </w:rPr>
                    <w:t>。</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环保工程</w:t>
                  </w: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废水</w:t>
                  </w:r>
                </w:p>
              </w:tc>
              <w:tc>
                <w:tcPr>
                  <w:tcW w:w="46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cs="Times New Roman"/>
                      <w:color w:val="auto"/>
                      <w:kern w:val="2"/>
                      <w:sz w:val="21"/>
                      <w:szCs w:val="24"/>
                      <w:lang w:val="en-US" w:eastAsia="zh-CN" w:bidi="ar-SA"/>
                    </w:rPr>
                    <w:t>生活废水</w:t>
                  </w:r>
                  <w:r>
                    <w:rPr>
                      <w:rFonts w:hint="default" w:ascii="Times New Roman" w:hAnsi="Times New Roman" w:cs="Times New Roman"/>
                      <w:color w:val="auto"/>
                      <w:sz w:val="21"/>
                      <w:szCs w:val="21"/>
                      <w:lang w:val="en-US" w:eastAsia="zh-CN"/>
                    </w:rPr>
                    <w:t>一起</w:t>
                  </w:r>
                  <w:r>
                    <w:rPr>
                      <w:rFonts w:hint="default" w:ascii="Times New Roman" w:hAnsi="Times New Roman" w:cs="Times New Roman"/>
                      <w:color w:val="auto"/>
                      <w:kern w:val="2"/>
                      <w:sz w:val="21"/>
                      <w:szCs w:val="24"/>
                      <w:lang w:val="en-US" w:eastAsia="zh-CN" w:bidi="ar-SA"/>
                    </w:rPr>
                    <w:t>依托万洋众创城智能制造产业园生化池</w:t>
                  </w:r>
                  <w:r>
                    <w:rPr>
                      <w:rFonts w:hint="default" w:ascii="Times New Roman" w:hAnsi="Times New Roman" w:eastAsia="宋体" w:cs="Times New Roman"/>
                      <w:color w:val="auto"/>
                      <w:sz w:val="22"/>
                      <w:szCs w:val="22"/>
                    </w:rPr>
                    <w:t>（84m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w:t>
                  </w:r>
                  <w:r>
                    <w:rPr>
                      <w:rFonts w:hint="default" w:ascii="Times New Roman" w:hAnsi="Times New Roman" w:cs="Times New Roman"/>
                      <w:color w:val="auto"/>
                      <w:kern w:val="2"/>
                      <w:sz w:val="21"/>
                      <w:szCs w:val="24"/>
                      <w:lang w:val="en-US" w:eastAsia="zh-CN" w:bidi="ar-SA"/>
                    </w:rPr>
                    <w:t>处理达《污水综合排放标准》(GB8978－1996)三级标准后排入园区污水管网，再进入铜梁区东城污水处理厂处理达标后排入淮远河。</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46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eastAsiaTheme="majorEastAsia"/>
                      <w:color w:val="auto"/>
                      <w:sz w:val="21"/>
                      <w:szCs w:val="21"/>
                    </w:rPr>
                    <w:t>抛丸废气密闭收集后经布袋除尘器进行处理，处理后的废气</w:t>
                  </w:r>
                  <w:r>
                    <w:rPr>
                      <w:rFonts w:hint="eastAsia" w:cs="Times New Roman" w:eastAsiaTheme="majorEastAsia"/>
                      <w:color w:val="auto"/>
                      <w:sz w:val="21"/>
                      <w:szCs w:val="21"/>
                      <w:lang w:val="en-US" w:eastAsia="zh-CN"/>
                    </w:rPr>
                    <w:t>通过</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5米高1#排气筒排放。</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6"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4650" w:type="dxa"/>
                  <w:noWrap w:val="0"/>
                  <w:vAlign w:val="center"/>
                </w:tcPr>
                <w:p>
                  <w:pPr>
                    <w:spacing w:line="360" w:lineRule="exact"/>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合理布局，隔声、减震。</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06"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31" w:type="dxa"/>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固体废物</w:t>
                  </w:r>
                </w:p>
              </w:tc>
              <w:tc>
                <w:tcPr>
                  <w:tcW w:w="4650" w:type="dxa"/>
                  <w:noWrap w:val="0"/>
                  <w:vAlign w:val="center"/>
                </w:tcPr>
                <w:p>
                  <w:pPr>
                    <w:pStyle w:val="50"/>
                    <w:autoSpaceDE w:val="0"/>
                    <w:autoSpaceDN w:val="0"/>
                    <w:spacing w:line="360" w:lineRule="exact"/>
                    <w:ind w:left="0" w:leftChars="0" w:firstLine="0" w:firstLineChars="0"/>
                    <w:jc w:val="left"/>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一般固废区</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bCs/>
                      <w:color w:val="auto"/>
                      <w:sz w:val="21"/>
                      <w:szCs w:val="21"/>
                      <w:lang w:eastAsia="zh-CN"/>
                    </w:rPr>
                    <w:t>厂区</w:t>
                  </w:r>
                  <w:r>
                    <w:rPr>
                      <w:rFonts w:hint="eastAsia" w:cs="Times New Roman"/>
                      <w:bCs/>
                      <w:color w:val="auto"/>
                      <w:sz w:val="21"/>
                      <w:szCs w:val="21"/>
                      <w:lang w:val="en-US" w:eastAsia="zh-CN"/>
                    </w:rPr>
                    <w:t>一楼</w:t>
                  </w:r>
                  <w:r>
                    <w:rPr>
                      <w:rFonts w:hint="eastAsia" w:cs="Times New Roman"/>
                      <w:color w:val="auto"/>
                      <w:sz w:val="21"/>
                      <w:szCs w:val="21"/>
                      <w:lang w:val="en-US" w:eastAsia="zh-CN"/>
                    </w:rPr>
                    <w:t>东南</w:t>
                  </w:r>
                  <w:r>
                    <w:rPr>
                      <w:rFonts w:hint="eastAsia"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面积约</w:t>
                  </w:r>
                  <w:r>
                    <w:rPr>
                      <w:rFonts w:hint="eastAsia" w:cs="Times New Roman"/>
                      <w:color w:val="auto"/>
                      <w:kern w:val="2"/>
                      <w:sz w:val="21"/>
                      <w:szCs w:val="21"/>
                      <w:lang w:val="en-US" w:eastAsia="zh-CN" w:bidi="ar-SA"/>
                    </w:rPr>
                    <w:t>40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一般固废区</w:t>
                  </w:r>
                  <w:r>
                    <w:rPr>
                      <w:rFonts w:hint="default" w:ascii="Times New Roman" w:hAnsi="Times New Roman" w:cs="Times New Roman"/>
                      <w:b w:val="0"/>
                      <w:bCs w:val="0"/>
                      <w:color w:val="auto"/>
                      <w:kern w:val="2"/>
                      <w:sz w:val="21"/>
                      <w:szCs w:val="24"/>
                      <w:lang w:val="en-US" w:eastAsia="zh-CN" w:bidi="ar-SA"/>
                    </w:rPr>
                    <w:t>应</w:t>
                  </w:r>
                  <w:r>
                    <w:rPr>
                      <w:rFonts w:hint="default" w:ascii="Times New Roman" w:hAnsi="Times New Roman" w:eastAsia="宋体" w:cs="Times New Roman"/>
                      <w:b w:val="0"/>
                      <w:bCs w:val="0"/>
                      <w:color w:val="auto"/>
                      <w:sz w:val="21"/>
                      <w:szCs w:val="21"/>
                      <w:lang w:val="en-US" w:eastAsia="zh-CN" w:bidi="ar"/>
                    </w:rPr>
                    <w:t>满足“三防要求”（</w:t>
                  </w:r>
                  <w:r>
                    <w:rPr>
                      <w:rFonts w:hint="default" w:ascii="Times New Roman" w:hAnsi="Times New Roman" w:cs="Times New Roman"/>
                      <w:b w:val="0"/>
                      <w:bCs w:val="0"/>
                      <w:color w:val="auto"/>
                      <w:kern w:val="2"/>
                      <w:sz w:val="21"/>
                      <w:szCs w:val="21"/>
                      <w:lang w:val="en-US" w:eastAsia="zh-CN" w:bidi="ar-SA"/>
                    </w:rPr>
                    <w:t>防扬散、防流失、防渗漏</w:t>
                  </w:r>
                  <w:r>
                    <w:rPr>
                      <w:rFonts w:hint="default" w:ascii="Times New Roman" w:hAnsi="Times New Roman" w:eastAsia="宋体" w:cs="Times New Roman"/>
                      <w:b w:val="0"/>
                      <w:bCs w:val="0"/>
                      <w:color w:val="auto"/>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SA"/>
                    </w:rPr>
                    <w:t>。</w:t>
                  </w:r>
                  <w:r>
                    <w:rPr>
                      <w:rFonts w:hint="default" w:ascii="Times New Roman" w:hAnsi="Times New Roman" w:cs="Times New Roman"/>
                      <w:b w:val="0"/>
                      <w:bCs w:val="0"/>
                      <w:color w:val="auto"/>
                      <w:kern w:val="2"/>
                      <w:sz w:val="21"/>
                      <w:szCs w:val="24"/>
                      <w:lang w:val="en-US" w:eastAsia="zh-CN" w:bidi="ar-SA"/>
                    </w:rPr>
                    <w:t>危废暂存间</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bCs/>
                      <w:color w:val="auto"/>
                      <w:sz w:val="21"/>
                      <w:szCs w:val="21"/>
                      <w:lang w:eastAsia="zh-CN"/>
                    </w:rPr>
                    <w:t>厂区</w:t>
                  </w:r>
                  <w:r>
                    <w:rPr>
                      <w:rFonts w:hint="eastAsia" w:cs="Times New Roman"/>
                      <w:bCs/>
                      <w:color w:val="auto"/>
                      <w:sz w:val="21"/>
                      <w:szCs w:val="21"/>
                      <w:lang w:val="en-US" w:eastAsia="zh-CN"/>
                    </w:rPr>
                    <w:t>一楼</w:t>
                  </w:r>
                  <w:r>
                    <w:rPr>
                      <w:rFonts w:hint="eastAsia" w:cs="Times New Roman"/>
                      <w:color w:val="auto"/>
                      <w:sz w:val="21"/>
                      <w:szCs w:val="21"/>
                      <w:lang w:val="en-US" w:eastAsia="zh-CN"/>
                    </w:rPr>
                    <w:t>西北</w:t>
                  </w:r>
                  <w:r>
                    <w:rPr>
                      <w:rFonts w:hint="eastAsia"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面积约</w:t>
                  </w:r>
                  <w:r>
                    <w:rPr>
                      <w:rFonts w:hint="eastAsia"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cs="Times New Roman"/>
                      <w:b w:val="0"/>
                      <w:bCs w:val="0"/>
                      <w:color w:val="auto"/>
                      <w:kern w:val="2"/>
                      <w:sz w:val="21"/>
                      <w:szCs w:val="24"/>
                      <w:lang w:val="en-US" w:eastAsia="zh-CN" w:bidi="ar-SA"/>
                    </w:rPr>
                    <w:t>，应进行重点防渗处理，并设置标识标牌、托盘，危险废物贮存应严格按照《危险废物贮存污染控制标准》（GB18597-2023）进行管理。</w:t>
                  </w: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主要生产设备</w:t>
            </w:r>
          </w:p>
          <w:p>
            <w:pPr>
              <w:spacing w:line="360" w:lineRule="auto"/>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本项目主要生产设备见表</w:t>
            </w:r>
            <w:r>
              <w:rPr>
                <w:rFonts w:hint="default" w:ascii="Times New Roman" w:hAnsi="Times New Roman" w:eastAsia="宋体" w:cs="Times New Roman"/>
                <w:color w:val="auto"/>
                <w:sz w:val="21"/>
                <w:szCs w:val="21"/>
                <w:lang w:val="en-US" w:eastAsia="zh-CN"/>
              </w:rPr>
              <w:t>2.</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项目主要生产设备一览表</w:t>
            </w:r>
          </w:p>
          <w:tbl>
            <w:tblPr>
              <w:tblStyle w:val="28"/>
              <w:tblW w:w="7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89"/>
              <w:gridCol w:w="1863"/>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2189"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设备名称</w:t>
                  </w:r>
                </w:p>
              </w:tc>
              <w:tc>
                <w:tcPr>
                  <w:tcW w:w="1863"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w:t>
                  </w:r>
                </w:p>
              </w:tc>
              <w:tc>
                <w:tcPr>
                  <w:tcW w:w="2448"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2189"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冲床</w:t>
                  </w:r>
                </w:p>
              </w:tc>
              <w:tc>
                <w:tcPr>
                  <w:tcW w:w="1863"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2448"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JG-21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2</w:t>
                  </w:r>
                </w:p>
              </w:tc>
              <w:tc>
                <w:tcPr>
                  <w:tcW w:w="2189"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车床</w:t>
                  </w:r>
                </w:p>
              </w:tc>
              <w:tc>
                <w:tcPr>
                  <w:tcW w:w="1863"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18</w:t>
                  </w:r>
                </w:p>
              </w:tc>
              <w:tc>
                <w:tcPr>
                  <w:tcW w:w="2448"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C6166152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3</w:t>
                  </w:r>
                </w:p>
              </w:tc>
              <w:tc>
                <w:tcPr>
                  <w:tcW w:w="2189"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滚齿机</w:t>
                  </w:r>
                </w:p>
              </w:tc>
              <w:tc>
                <w:tcPr>
                  <w:tcW w:w="1863"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4</w:t>
                  </w:r>
                </w:p>
              </w:tc>
              <w:tc>
                <w:tcPr>
                  <w:tcW w:w="2448"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3150E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4</w:t>
                  </w:r>
                </w:p>
              </w:tc>
              <w:tc>
                <w:tcPr>
                  <w:tcW w:w="2189"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CNC</w:t>
                  </w:r>
                </w:p>
              </w:tc>
              <w:tc>
                <w:tcPr>
                  <w:tcW w:w="1863"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w:t>
                  </w:r>
                </w:p>
              </w:tc>
              <w:tc>
                <w:tcPr>
                  <w:tcW w:w="2448" w:type="dxa"/>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5</w:t>
                  </w:r>
                </w:p>
              </w:tc>
              <w:tc>
                <w:tcPr>
                  <w:tcW w:w="2189" w:type="dxa"/>
                  <w:noWrap w:val="0"/>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液压机</w:t>
                  </w:r>
                </w:p>
              </w:tc>
              <w:tc>
                <w:tcPr>
                  <w:tcW w:w="1863" w:type="dxa"/>
                  <w:noWrap w:val="0"/>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2448" w:type="dxa"/>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YJ-500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6</w:t>
                  </w:r>
                </w:p>
              </w:tc>
              <w:tc>
                <w:tcPr>
                  <w:tcW w:w="2189"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高频感应加热炉</w:t>
                  </w:r>
                </w:p>
              </w:tc>
              <w:tc>
                <w:tcPr>
                  <w:tcW w:w="1863"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2448" w:type="dxa"/>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WZP-120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7</w:t>
                  </w:r>
                </w:p>
              </w:tc>
              <w:tc>
                <w:tcPr>
                  <w:tcW w:w="2189" w:type="dxa"/>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回火炉</w:t>
                  </w:r>
                </w:p>
              </w:tc>
              <w:tc>
                <w:tcPr>
                  <w:tcW w:w="1863"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2448" w:type="dxa"/>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JS-35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8</w:t>
                  </w:r>
                </w:p>
              </w:tc>
              <w:tc>
                <w:tcPr>
                  <w:tcW w:w="2189" w:type="dxa"/>
                  <w:vAlign w:val="center"/>
                </w:tcPr>
                <w:p>
                  <w:pPr>
                    <w:pStyle w:val="51"/>
                    <w:adjustRightInd w:val="0"/>
                    <w:snapToGrid w:val="0"/>
                    <w:spacing w:line="360" w:lineRule="exac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钻床</w:t>
                  </w:r>
                </w:p>
              </w:tc>
              <w:tc>
                <w:tcPr>
                  <w:tcW w:w="1863"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p>
              </w:tc>
              <w:tc>
                <w:tcPr>
                  <w:tcW w:w="2448" w:type="dxa"/>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Z4015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17" w:type="dxa"/>
                  <w:vAlign w:val="center"/>
                </w:tcPr>
                <w:p>
                  <w:pPr>
                    <w:pStyle w:val="51"/>
                    <w:adjustRightInd w:val="0"/>
                    <w:snapToGrid w:val="0"/>
                    <w:spacing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2189" w:type="dxa"/>
                  <w:vAlign w:val="center"/>
                </w:tcPr>
                <w:p>
                  <w:pPr>
                    <w:pStyle w:val="5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抛丸机</w:t>
                  </w:r>
                </w:p>
              </w:tc>
              <w:tc>
                <w:tcPr>
                  <w:tcW w:w="1863" w:type="dxa"/>
                  <w:vAlign w:val="center"/>
                </w:tcPr>
                <w:p>
                  <w:pPr>
                    <w:pStyle w:val="5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2448" w:type="dxa"/>
                  <w:vAlign w:val="center"/>
                </w:tcPr>
                <w:p>
                  <w:pPr>
                    <w:pStyle w:val="5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Q3210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17"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r>
                    <w:rPr>
                      <w:rFonts w:hint="eastAsia" w:cs="Times New Roman"/>
                      <w:color w:val="auto"/>
                      <w:kern w:val="2"/>
                      <w:sz w:val="21"/>
                      <w:szCs w:val="21"/>
                      <w:lang w:val="en-US" w:eastAsia="zh-CN" w:bidi="ar-SA"/>
                    </w:rPr>
                    <w:t>0</w:t>
                  </w:r>
                </w:p>
              </w:tc>
              <w:tc>
                <w:tcPr>
                  <w:tcW w:w="2189"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空压机</w:t>
                  </w:r>
                </w:p>
              </w:tc>
              <w:tc>
                <w:tcPr>
                  <w:tcW w:w="1863" w:type="dxa"/>
                  <w:vAlign w:val="center"/>
                </w:tcPr>
                <w:p>
                  <w:pPr>
                    <w:pStyle w:val="51"/>
                    <w:adjustRightInd w:val="0"/>
                    <w:snapToGrid w:val="0"/>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2448" w:type="dxa"/>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V-0.5/1.25</w:t>
                  </w:r>
                </w:p>
              </w:tc>
            </w:tr>
          </w:tbl>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对照《产业结构调整指导目录</w:t>
            </w:r>
            <w:r>
              <w:rPr>
                <w:rFonts w:hint="default" w:ascii="Times New Roman" w:hAnsi="Times New Roman" w:eastAsia="宋体" w:cs="Times New Roman"/>
                <w:color w:val="auto"/>
                <w:kern w:val="2"/>
                <w:sz w:val="21"/>
                <w:szCs w:val="21"/>
                <w:lang w:val="en-US" w:eastAsia="zh-CN" w:bidi="ar"/>
              </w:rPr>
              <w:t>(2019年本)(2021年修订)</w:t>
            </w:r>
            <w:r>
              <w:rPr>
                <w:rFonts w:hint="default" w:ascii="Times New Roman" w:hAnsi="Times New Roman" w:eastAsia="宋体" w:cs="Times New Roman"/>
                <w:color w:val="auto"/>
                <w:sz w:val="21"/>
                <w:szCs w:val="21"/>
              </w:rPr>
              <w:t>》、《淘汰落后生产能力、工艺和产品的目录》(第一批至第四批)、《部分工业行业淘汰落后生产工艺装备和产品指导目录》(2010年本)、《高耗能落后机电设备(产品)淘汰目录(第一批)》、工信部</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第14号文《高耗能落后机电设备(产品) 淘汰目录(第二批)》等文件，确定本项目所有生产设备均不属于淘汰落后及限制生产或使用的设备。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.4产品方案</w:t>
            </w:r>
          </w:p>
          <w:p>
            <w:pPr>
              <w:pStyle w:val="21"/>
              <w:spacing w:line="36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设计</w:t>
            </w:r>
            <w:r>
              <w:rPr>
                <w:rFonts w:hint="default" w:ascii="Times New Roman" w:hAnsi="Times New Roman" w:eastAsia="宋体" w:cs="Times New Roman"/>
                <w:color w:val="auto"/>
                <w:kern w:val="2"/>
                <w:sz w:val="21"/>
                <w:szCs w:val="21"/>
                <w:lang w:val="en-US" w:eastAsia="zh-CN" w:bidi="ar-SA"/>
              </w:rPr>
              <w:t>生产能力</w:t>
            </w:r>
            <w:r>
              <w:rPr>
                <w:rFonts w:hint="eastAsia" w:cs="Times New Roman"/>
                <w:color w:val="auto"/>
                <w:kern w:val="2"/>
                <w:sz w:val="21"/>
                <w:szCs w:val="21"/>
                <w:lang w:val="en-US" w:eastAsia="zh-CN" w:bidi="ar-SA"/>
              </w:rPr>
              <w:t>为</w:t>
            </w:r>
            <w:r>
              <w:rPr>
                <w:rFonts w:hint="default" w:ascii="Times New Roman" w:hAnsi="Times New Roman" w:eastAsia="宋体" w:cs="Times New Roman"/>
                <w:color w:val="auto"/>
                <w:kern w:val="2"/>
                <w:sz w:val="21"/>
                <w:szCs w:val="21"/>
                <w:lang w:val="en-US" w:eastAsia="zh-CN" w:bidi="ar-SA"/>
              </w:rPr>
              <w:t>年产120万</w:t>
            </w:r>
            <w:r>
              <w:rPr>
                <w:rFonts w:hint="default" w:ascii="Times New Roman" w:hAnsi="Times New Roman" w:eastAsia="宋体" w:cs="Times New Roman"/>
                <w:color w:val="auto"/>
                <w:kern w:val="0"/>
                <w:szCs w:val="21"/>
                <w:lang w:bidi="ar"/>
              </w:rPr>
              <w:t>件</w:t>
            </w:r>
            <w:r>
              <w:rPr>
                <w:rFonts w:hint="default" w:ascii="Times New Roman" w:hAnsi="Times New Roman" w:eastAsia="宋体" w:cs="Times New Roman"/>
                <w:color w:val="auto"/>
                <w:kern w:val="2"/>
                <w:sz w:val="21"/>
                <w:szCs w:val="21"/>
                <w:lang w:val="en-US" w:eastAsia="zh-CN" w:bidi="ar-SA"/>
              </w:rPr>
              <w:t>摩托车配件，产品方案详见表2.</w:t>
            </w:r>
            <w:r>
              <w:rPr>
                <w:rFonts w:hint="default" w:ascii="Times New Roman" w:hAnsi="Times New Roman" w:cs="Times New Roman"/>
                <w:color w:val="auto"/>
                <w:kern w:val="2"/>
                <w:sz w:val="21"/>
                <w:szCs w:val="21"/>
                <w:lang w:val="en-US" w:eastAsia="zh-CN" w:bidi="ar-SA"/>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表2.</w:t>
            </w:r>
            <w:r>
              <w:rPr>
                <w:rFonts w:hint="default" w:ascii="Times New Roman" w:hAnsi="Times New Roman"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rPr>
              <w:t>本项目产品方案</w:t>
            </w:r>
          </w:p>
          <w:tbl>
            <w:tblPr>
              <w:tblStyle w:val="27"/>
              <w:tblW w:w="7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815"/>
              <w:gridCol w:w="2358"/>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889" w:type="dxa"/>
                  <w:noWrap w:val="0"/>
                  <w:vAlign w:val="center"/>
                </w:tcPr>
                <w:p>
                  <w:pPr>
                    <w:keepNext w:val="0"/>
                    <w:keepLines w:val="0"/>
                    <w:pageBreakBefore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序号</w:t>
                  </w:r>
                </w:p>
              </w:tc>
              <w:tc>
                <w:tcPr>
                  <w:tcW w:w="1815" w:type="dxa"/>
                  <w:noWrap w:val="0"/>
                  <w:vAlign w:val="center"/>
                </w:tcPr>
                <w:p>
                  <w:pPr>
                    <w:keepNext w:val="0"/>
                    <w:keepLines w:val="0"/>
                    <w:pageBreakBefore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产品名称</w:t>
                  </w:r>
                </w:p>
              </w:tc>
              <w:tc>
                <w:tcPr>
                  <w:tcW w:w="2358"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20" w:lineRule="atLeast"/>
                    <w:jc w:val="center"/>
                    <w:textAlignment w:val="auto"/>
                    <w:outlineLvl w:val="9"/>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kern w:val="2"/>
                      <w:sz w:val="21"/>
                      <w:szCs w:val="21"/>
                      <w:lang w:eastAsia="zh-CN"/>
                    </w:rPr>
                    <w:t>型号</w:t>
                  </w:r>
                </w:p>
              </w:tc>
              <w:tc>
                <w:tcPr>
                  <w:tcW w:w="2622"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20" w:lineRule="atLeast"/>
                    <w:jc w:val="center"/>
                    <w:textAlignment w:val="auto"/>
                    <w:outlineLvl w:val="9"/>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rPr>
                    <w:t>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w:t>
                  </w:r>
                </w:p>
              </w:tc>
              <w:tc>
                <w:tcPr>
                  <w:tcW w:w="1815" w:type="dxa"/>
                  <w:noWrap w:val="0"/>
                  <w:vAlign w:val="center"/>
                </w:tcPr>
                <w:p>
                  <w:pPr>
                    <w:widowControl/>
                    <w:snapToGrid w:val="0"/>
                    <w:spacing w:line="360" w:lineRule="exact"/>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大链轮</w:t>
                  </w:r>
                </w:p>
              </w:tc>
              <w:tc>
                <w:tcPr>
                  <w:tcW w:w="2358" w:type="dxa"/>
                  <w:noWrap w:val="0"/>
                  <w:vAlign w:val="center"/>
                </w:tcPr>
                <w:p>
                  <w:pPr>
                    <w:widowControl/>
                    <w:snapToGrid w:val="0"/>
                    <w:spacing w:line="3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428（520）</w:t>
                  </w:r>
                </w:p>
              </w:tc>
              <w:tc>
                <w:tcPr>
                  <w:tcW w:w="2622" w:type="dxa"/>
                  <w:noWrap w:val="0"/>
                  <w:vAlign w:val="center"/>
                </w:tcPr>
                <w:p>
                  <w:pPr>
                    <w:widowControl/>
                    <w:snapToGrid w:val="0"/>
                    <w:spacing w:line="360" w:lineRule="exact"/>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bidi="ar"/>
                    </w:rPr>
                    <w:t>60万件</w:t>
                  </w:r>
                  <w:r>
                    <w:rPr>
                      <w:rFonts w:hint="eastAsia" w:cs="Times New Roman"/>
                      <w:color w:val="auto"/>
                      <w:kern w:val="0"/>
                      <w:szCs w:val="21"/>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2</w:t>
                  </w:r>
                </w:p>
              </w:tc>
              <w:tc>
                <w:tcPr>
                  <w:tcW w:w="1815" w:type="dxa"/>
                  <w:noWrap w:val="0"/>
                  <w:vAlign w:val="center"/>
                </w:tcPr>
                <w:p>
                  <w:pPr>
                    <w:widowControl/>
                    <w:snapToGrid w:val="0"/>
                    <w:spacing w:line="360" w:lineRule="exact"/>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bCs/>
                      <w:color w:val="auto"/>
                      <w:szCs w:val="21"/>
                    </w:rPr>
                    <w:t>小链轮</w:t>
                  </w:r>
                </w:p>
              </w:tc>
              <w:tc>
                <w:tcPr>
                  <w:tcW w:w="2358" w:type="dxa"/>
                  <w:noWrap w:val="0"/>
                  <w:vAlign w:val="center"/>
                </w:tcPr>
                <w:p>
                  <w:pPr>
                    <w:widowControl/>
                    <w:snapToGrid w:val="0"/>
                    <w:spacing w:line="360" w:lineRule="exact"/>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Cs w:val="21"/>
                      <w:lang w:bidi="ar"/>
                    </w:rPr>
                    <w:t>428（520）</w:t>
                  </w:r>
                </w:p>
              </w:tc>
              <w:tc>
                <w:tcPr>
                  <w:tcW w:w="2622" w:type="dxa"/>
                  <w:noWrap w:val="0"/>
                  <w:vAlign w:val="center"/>
                </w:tcPr>
                <w:p>
                  <w:pPr>
                    <w:widowControl/>
                    <w:snapToGrid w:val="0"/>
                    <w:spacing w:line="360" w:lineRule="exact"/>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bidi="ar"/>
                    </w:rPr>
                    <w:t>60万件</w:t>
                  </w:r>
                  <w:r>
                    <w:rPr>
                      <w:rFonts w:hint="eastAsia" w:cs="Times New Roman"/>
                      <w:color w:val="auto"/>
                      <w:kern w:val="0"/>
                      <w:szCs w:val="21"/>
                      <w:lang w:val="en-US" w:eastAsia="zh-CN" w:bidi="ar"/>
                    </w:rPr>
                    <w:t>/年</w:t>
                  </w:r>
                </w:p>
              </w:tc>
            </w:tr>
          </w:tbl>
          <w:p>
            <w:pPr>
              <w:spacing w:line="36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2.5</w:t>
            </w:r>
            <w:r>
              <w:rPr>
                <w:rFonts w:hint="default" w:ascii="Times New Roman" w:hAnsi="Times New Roman" w:eastAsia="宋体" w:cs="Times New Roman"/>
                <w:b/>
                <w:bCs/>
                <w:color w:val="auto"/>
                <w:sz w:val="21"/>
                <w:szCs w:val="21"/>
                <w:lang w:eastAsia="zh-CN"/>
              </w:rPr>
              <w:t>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本项目主要原辅材料见表2.</w:t>
            </w: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outlineLvl w:val="9"/>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表2.</w:t>
            </w:r>
            <w:r>
              <w:rPr>
                <w:rFonts w:hint="default" w:ascii="Times New Roman" w:hAnsi="Times New Roman" w:cs="Times New Roman"/>
                <w:b/>
                <w:color w:val="auto"/>
                <w:kern w:val="0"/>
                <w:sz w:val="21"/>
                <w:szCs w:val="21"/>
                <w:lang w:val="en-US" w:eastAsia="zh-CN"/>
              </w:rPr>
              <w:t>4</w:t>
            </w:r>
            <w:r>
              <w:rPr>
                <w:rFonts w:hint="default" w:ascii="Times New Roman" w:hAnsi="Times New Roman" w:eastAsia="宋体" w:cs="Times New Roman"/>
                <w:b/>
                <w:color w:val="auto"/>
                <w:kern w:val="0"/>
                <w:sz w:val="21"/>
                <w:szCs w:val="21"/>
              </w:rPr>
              <w:t>项目原辅材料用量一览表</w:t>
            </w:r>
          </w:p>
          <w:tbl>
            <w:tblPr>
              <w:tblStyle w:val="27"/>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157"/>
              <w:gridCol w:w="1156"/>
              <w:gridCol w:w="130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157"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单位</w:t>
                  </w:r>
                </w:p>
              </w:tc>
              <w:tc>
                <w:tcPr>
                  <w:tcW w:w="115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年耗量</w:t>
                  </w:r>
                </w:p>
              </w:tc>
              <w:tc>
                <w:tcPr>
                  <w:tcW w:w="1309"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left="0" w:leftChars="0" w:firstLine="0" w:firstLineChars="0"/>
                    <w:jc w:val="center"/>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最大储量</w:t>
                  </w:r>
                </w:p>
              </w:tc>
              <w:tc>
                <w:tcPr>
                  <w:tcW w:w="2390"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left="0" w:leftChars="0" w:firstLine="0" w:firstLineChars="0"/>
                    <w:jc w:val="center"/>
                    <w:outlineLvl w:val="9"/>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大链轮毛坯件</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件</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60万</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2万</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小链轮毛坯件</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件</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60万</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2万</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cs="Times New Roman"/>
                      <w:color w:val="auto"/>
                      <w:sz w:val="21"/>
                      <w:szCs w:val="21"/>
                      <w:lang w:val="en-US" w:eastAsia="zh-CN"/>
                    </w:rPr>
                    <w:t>液压油</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0.34</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17</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r>
                    <w:rPr>
                      <w:rFonts w:hint="default" w:ascii="Times New Roman" w:hAnsi="Times New Roman" w:cs="Times New Roman"/>
                      <w:color w:val="auto"/>
                      <w:sz w:val="21"/>
                      <w:szCs w:val="21"/>
                      <w:lang w:val="en-US" w:eastAsia="zh-CN"/>
                    </w:rPr>
                    <w:t>170kg/</w:t>
                  </w:r>
                  <w:r>
                    <w:rPr>
                      <w:rFonts w:hint="default" w:ascii="Times New Roman" w:hAnsi="Times New Roman" w:cs="Times New Roman"/>
                      <w:color w:val="auto"/>
                      <w:sz w:val="21"/>
                      <w:szCs w:val="21"/>
                      <w:lang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切削液</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3</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外购，</w:t>
                  </w:r>
                  <w:r>
                    <w:rPr>
                      <w:rFonts w:hint="default" w:ascii="Times New Roman" w:hAnsi="Times New Roman" w:cs="Times New Roman"/>
                      <w:color w:val="auto"/>
                      <w:sz w:val="21"/>
                      <w:szCs w:val="21"/>
                      <w:lang w:val="en-US" w:eastAsia="zh-CN"/>
                    </w:rPr>
                    <w:t>50kg/</w:t>
                  </w:r>
                  <w:r>
                    <w:rPr>
                      <w:rFonts w:hint="default" w:ascii="Times New Roman" w:hAnsi="Times New Roman" w:cs="Times New Roman"/>
                      <w:color w:val="auto"/>
                      <w:sz w:val="21"/>
                      <w:szCs w:val="21"/>
                      <w:lang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lang w:val="en-US" w:eastAsia="zh-CN"/>
                    </w:rPr>
                    <w:t>钢丸</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t</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2390"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机油</w:t>
                  </w:r>
                </w:p>
              </w:tc>
              <w:tc>
                <w:tcPr>
                  <w:tcW w:w="1157"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t</w:t>
                  </w:r>
                </w:p>
              </w:tc>
              <w:tc>
                <w:tcPr>
                  <w:tcW w:w="115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2</w:t>
                  </w:r>
                </w:p>
              </w:tc>
              <w:tc>
                <w:tcPr>
                  <w:tcW w:w="1309" w:type="dxa"/>
                  <w:noWrap w:val="0"/>
                  <w:vAlign w:val="center"/>
                </w:tcPr>
                <w:p>
                  <w:pPr>
                    <w:pStyle w:val="50"/>
                    <w:snapToGrid w:val="0"/>
                    <w:spacing w:line="360" w:lineRule="exact"/>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05</w:t>
                  </w:r>
                </w:p>
              </w:tc>
              <w:tc>
                <w:tcPr>
                  <w:tcW w:w="2390"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lang w:val="en-US" w:eastAsia="zh-CN" w:bidi="ar-SA"/>
                    </w:rPr>
                    <w:t>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棉纱</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1</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1</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手套</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双</w:t>
                  </w:r>
                </w:p>
              </w:tc>
              <w:tc>
                <w:tcPr>
                  <w:tcW w:w="11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00</w:t>
                  </w:r>
                </w:p>
              </w:tc>
              <w:tc>
                <w:tcPr>
                  <w:tcW w:w="13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水</w:t>
                  </w:r>
                </w:p>
              </w:tc>
              <w:tc>
                <w:tcPr>
                  <w:tcW w:w="1157"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万吨</w:t>
                  </w:r>
                </w:p>
              </w:tc>
              <w:tc>
                <w:tcPr>
                  <w:tcW w:w="115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4512</w:t>
                  </w:r>
                </w:p>
              </w:tc>
              <w:tc>
                <w:tcPr>
                  <w:tcW w:w="1309"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157"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w:t>
                  </w:r>
                  <w:r>
                    <w:rPr>
                      <w:rFonts w:hint="eastAsia" w:cs="Times New Roman"/>
                      <w:color w:val="auto"/>
                      <w:sz w:val="21"/>
                      <w:szCs w:val="21"/>
                      <w:lang w:eastAsia="zh-CN"/>
                    </w:rPr>
                    <w:t>kW</w:t>
                  </w:r>
                  <w:r>
                    <w:rPr>
                      <w:rFonts w:hint="default" w:ascii="Times New Roman" w:hAnsi="Times New Roman" w:eastAsia="宋体" w:cs="Times New Roman"/>
                      <w:color w:val="auto"/>
                      <w:sz w:val="21"/>
                      <w:szCs w:val="21"/>
                    </w:rPr>
                    <w:t>·h</w:t>
                  </w:r>
                </w:p>
              </w:tc>
              <w:tc>
                <w:tcPr>
                  <w:tcW w:w="1156"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309"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wordWrap/>
              <w:topLinePunct w:val="0"/>
              <w:autoSpaceDE/>
              <w:autoSpaceDN/>
              <w:bidi w:val="0"/>
              <w:adjustRightInd w:val="0"/>
              <w:snapToGrid w:val="0"/>
              <w:spacing w:line="360" w:lineRule="auto"/>
              <w:ind w:right="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切削液：切削液主要由乳化剂、极压剂、防锈剂、基础油、消泡剂等多重处分组成；为棕黄色透明油体，有明火可引燃，能完全溶于水。</w:t>
            </w:r>
            <w:r>
              <w:rPr>
                <w:rFonts w:hint="default" w:ascii="Times New Roman" w:hAnsi="Times New Roman" w:cs="Times New Roman"/>
                <w:color w:val="auto"/>
                <w:sz w:val="21"/>
                <w:szCs w:val="21"/>
                <w:lang w:eastAsia="zh-CN"/>
              </w:rPr>
              <w:t>本项目切削原液存放于</w:t>
            </w:r>
            <w:r>
              <w:rPr>
                <w:rFonts w:hint="default" w:ascii="Times New Roman" w:hAnsi="Times New Roman" w:cs="Times New Roman"/>
                <w:color w:val="auto"/>
                <w:sz w:val="21"/>
                <w:szCs w:val="21"/>
                <w:lang w:val="en-US" w:eastAsia="zh-CN"/>
              </w:rPr>
              <w:t>油品存放区，使用时用水按1:20的比例进行稀释配置。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液压油：主要成分为高分子烃类化合物，油状液体，利用液体压力能的液压系统使用的液压介质。它的作用是能量传递、抗磨、系统润滑、防腐、防锈、冷却等。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机油：</w:t>
            </w:r>
            <w:r>
              <w:rPr>
                <w:rFonts w:hint="default" w:ascii="Times New Roman" w:hAnsi="Times New Roman" w:cs="Times New Roman"/>
                <w:color w:val="auto"/>
                <w:sz w:val="21"/>
                <w:szCs w:val="21"/>
                <w:lang w:eastAsia="zh-CN"/>
              </w:rPr>
              <w:t>主要成分为高分子烃类化合物，</w:t>
            </w:r>
            <w:r>
              <w:rPr>
                <w:rFonts w:hint="default" w:ascii="Times New Roman" w:hAnsi="Times New Roman" w:cs="Times New Roman"/>
                <w:color w:val="auto"/>
                <w:sz w:val="21"/>
                <w:szCs w:val="21"/>
              </w:rPr>
              <w:t>油状液体，基础油和添加剂组成，淡黄色至褐色，无气味或略带气味。不溶于水，遇高热、明火可燃。供</w:t>
            </w:r>
            <w:r>
              <w:rPr>
                <w:rFonts w:hint="eastAsia" w:cs="Times New Roman"/>
                <w:color w:val="auto"/>
                <w:sz w:val="21"/>
                <w:szCs w:val="21"/>
                <w:lang w:val="en-US" w:eastAsia="zh-CN"/>
              </w:rPr>
              <w:t>空压机、</w:t>
            </w:r>
            <w:r>
              <w:rPr>
                <w:rFonts w:hint="default" w:ascii="Times New Roman" w:hAnsi="Times New Roman" w:cs="Times New Roman"/>
                <w:color w:val="auto"/>
                <w:sz w:val="21"/>
                <w:szCs w:val="21"/>
              </w:rPr>
              <w:t>各种机加设备使用。</w:t>
            </w:r>
          </w:p>
          <w:p>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2.6</w:t>
            </w:r>
            <w:r>
              <w:rPr>
                <w:rFonts w:hint="default" w:ascii="Times New Roman" w:hAnsi="Times New Roman" w:eastAsia="宋体" w:cs="Times New Roman"/>
                <w:b/>
                <w:color w:val="auto"/>
                <w:sz w:val="21"/>
                <w:szCs w:val="21"/>
                <w:lang w:eastAsia="zh-CN"/>
              </w:rPr>
              <w:t>总平面</w:t>
            </w:r>
            <w:r>
              <w:rPr>
                <w:rFonts w:hint="default" w:ascii="Times New Roman" w:hAnsi="Times New Roman" w:eastAsia="宋体" w:cs="Times New Roman"/>
                <w:b/>
                <w:color w:val="auto"/>
                <w:sz w:val="21"/>
                <w:szCs w:val="21"/>
              </w:rPr>
              <w:t>布置</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本项目</w:t>
            </w:r>
            <w:r>
              <w:rPr>
                <w:rFonts w:hint="default" w:ascii="Times New Roman" w:hAnsi="Times New Roman" w:cs="Times New Roman"/>
                <w:bCs/>
                <w:color w:val="auto"/>
                <w:sz w:val="21"/>
                <w:szCs w:val="21"/>
                <w:lang w:val="en-US" w:eastAsia="zh-CN"/>
              </w:rPr>
              <w:t>购置</w:t>
            </w:r>
            <w:r>
              <w:rPr>
                <w:rFonts w:hint="default" w:ascii="Times New Roman" w:hAnsi="Times New Roman" w:cs="Times New Roman"/>
                <w:color w:val="auto"/>
                <w:kern w:val="2"/>
                <w:sz w:val="21"/>
                <w:szCs w:val="24"/>
                <w:lang w:val="en-US" w:eastAsia="zh-CN" w:bidi="ar-SA"/>
              </w:rPr>
              <w:t>万洋众创城智能制造产业园</w:t>
            </w:r>
            <w:r>
              <w:rPr>
                <w:rFonts w:hint="default" w:ascii="Times New Roman" w:hAnsi="Times New Roman" w:eastAsia="宋体" w:cs="Times New Roman"/>
                <w:color w:val="auto"/>
                <w:sz w:val="22"/>
                <w:szCs w:val="22"/>
                <w:lang w:val="en-US" w:eastAsia="zh-CN"/>
              </w:rPr>
              <w:t>已建</w:t>
            </w:r>
            <w:r>
              <w:rPr>
                <w:rFonts w:hint="default" w:ascii="Times New Roman" w:hAnsi="Times New Roman" w:cs="Times New Roman"/>
                <w:bCs/>
                <w:color w:val="auto"/>
                <w:sz w:val="21"/>
                <w:szCs w:val="21"/>
              </w:rPr>
              <w:t>厂房，</w:t>
            </w:r>
            <w:r>
              <w:rPr>
                <w:rFonts w:hint="eastAsia" w:ascii="Times New Roman" w:hAnsi="Times New Roman" w:eastAsia="宋体" w:cs="Times New Roman"/>
                <w:bCs/>
                <w:color w:val="auto"/>
                <w:sz w:val="21"/>
                <w:szCs w:val="21"/>
                <w:lang w:val="en-US" w:eastAsia="zh-CN"/>
              </w:rPr>
              <w:t>厂房共5楼，</w:t>
            </w:r>
            <w:r>
              <w:rPr>
                <w:rFonts w:hint="default" w:ascii="Times New Roman" w:hAnsi="Times New Roman" w:eastAsia="宋体" w:cs="Times New Roman"/>
                <w:bCs/>
                <w:color w:val="auto"/>
                <w:sz w:val="21"/>
                <w:szCs w:val="21"/>
                <w:lang w:eastAsia="zh-CN"/>
              </w:rPr>
              <w:t>布置形式为</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厂区一楼布置有机加区、热处理区、油品</w:t>
            </w:r>
            <w:r>
              <w:rPr>
                <w:rFonts w:hint="default" w:ascii="Times New Roman" w:hAnsi="Times New Roman" w:eastAsia="宋体" w:cs="Times New Roman"/>
                <w:bCs/>
                <w:color w:val="auto"/>
                <w:sz w:val="21"/>
                <w:szCs w:val="21"/>
                <w:lang w:eastAsia="zh-CN"/>
              </w:rPr>
              <w:t>存放区</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一般固废区、危废暂存间</w:t>
            </w:r>
            <w:r>
              <w:rPr>
                <w:rFonts w:hint="eastAsia" w:ascii="Times New Roman" w:hAnsi="Times New Roman" w:eastAsia="宋体" w:cs="Times New Roman"/>
                <w:bCs/>
                <w:color w:val="auto"/>
                <w:sz w:val="21"/>
                <w:szCs w:val="21"/>
                <w:lang w:val="en-US" w:eastAsia="zh-CN"/>
              </w:rPr>
              <w:t>，原料区、产品区分别位于厂区三楼</w:t>
            </w:r>
            <w:r>
              <w:rPr>
                <w:rFonts w:hint="eastAsia" w:cs="Times New Roman"/>
                <w:bCs/>
                <w:color w:val="auto"/>
                <w:sz w:val="21"/>
                <w:szCs w:val="21"/>
                <w:lang w:val="en-US" w:eastAsia="zh-CN"/>
              </w:rPr>
              <w:t>、四</w:t>
            </w:r>
            <w:r>
              <w:rPr>
                <w:rFonts w:hint="eastAsia" w:ascii="Times New Roman" w:hAnsi="Times New Roman" w:eastAsia="宋体" w:cs="Times New Roman"/>
                <w:bCs/>
                <w:color w:val="auto"/>
                <w:sz w:val="21"/>
                <w:szCs w:val="21"/>
                <w:lang w:val="en-US" w:eastAsia="zh-CN"/>
              </w:rPr>
              <w:t>楼</w:t>
            </w:r>
            <w:r>
              <w:rPr>
                <w:rFonts w:hint="eastAsia"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办公区</w:t>
            </w:r>
            <w:r>
              <w:rPr>
                <w:rFonts w:hint="eastAsia" w:ascii="Times New Roman" w:hAnsi="Times New Roman" w:eastAsia="宋体" w:cs="Times New Roman"/>
                <w:bCs/>
                <w:color w:val="auto"/>
                <w:sz w:val="21"/>
                <w:szCs w:val="21"/>
                <w:lang w:val="en-US" w:eastAsia="zh-CN"/>
              </w:rPr>
              <w:t>位于厂区</w:t>
            </w:r>
            <w:r>
              <w:rPr>
                <w:rFonts w:hint="eastAsia" w:cs="Times New Roman"/>
                <w:bCs/>
                <w:color w:val="auto"/>
                <w:sz w:val="21"/>
                <w:szCs w:val="21"/>
                <w:lang w:val="en-US" w:eastAsia="zh-CN"/>
              </w:rPr>
              <w:t>二</w:t>
            </w:r>
            <w:r>
              <w:rPr>
                <w:rFonts w:hint="eastAsia" w:ascii="Times New Roman" w:hAnsi="Times New Roman" w:eastAsia="宋体" w:cs="Times New Roman"/>
                <w:bCs/>
                <w:color w:val="auto"/>
                <w:sz w:val="21"/>
                <w:szCs w:val="21"/>
                <w:lang w:val="en-US" w:eastAsia="zh-CN"/>
              </w:rPr>
              <w:t>楼</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五楼</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整个</w:t>
            </w:r>
            <w:r>
              <w:rPr>
                <w:rFonts w:hint="default" w:ascii="Times New Roman" w:hAnsi="Times New Roman" w:eastAsia="宋体" w:cs="Times New Roman"/>
                <w:bCs/>
                <w:color w:val="auto"/>
                <w:sz w:val="21"/>
                <w:szCs w:val="21"/>
                <w:lang w:val="en-US" w:eastAsia="zh-CN"/>
              </w:rPr>
              <w:t>车间</w:t>
            </w:r>
            <w:r>
              <w:rPr>
                <w:rFonts w:hint="default" w:ascii="Times New Roman" w:hAnsi="Times New Roman" w:eastAsia="宋体" w:cs="Times New Roman"/>
                <w:bCs/>
                <w:color w:val="auto"/>
                <w:sz w:val="21"/>
                <w:szCs w:val="21"/>
              </w:rPr>
              <w:t>布置简单明了，方便生产和管理，各区间既相互独立，又紧密联系</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eastAsia="zh-CN"/>
              </w:rPr>
              <w:t>厂区</w:t>
            </w:r>
            <w:r>
              <w:rPr>
                <w:rFonts w:hint="default" w:ascii="Times New Roman" w:hAnsi="Times New Roman" w:eastAsia="宋体" w:cs="Times New Roman"/>
                <w:bCs/>
                <w:color w:val="auto"/>
                <w:sz w:val="21"/>
                <w:szCs w:val="21"/>
                <w:lang w:val="en-US" w:eastAsia="zh-CN"/>
              </w:rPr>
              <w:t>布局规划总体合理</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总平面</w:t>
            </w:r>
            <w:r>
              <w:rPr>
                <w:rFonts w:hint="default" w:ascii="Times New Roman" w:hAnsi="Times New Roman" w:eastAsia="宋体" w:cs="Times New Roman"/>
                <w:bCs/>
                <w:color w:val="auto"/>
                <w:sz w:val="21"/>
                <w:szCs w:val="21"/>
              </w:rPr>
              <w:t>布置图详见附图</w:t>
            </w: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2.7</w:t>
            </w:r>
            <w:r>
              <w:rPr>
                <w:rFonts w:hint="default" w:ascii="Times New Roman" w:hAnsi="Times New Roman" w:eastAsia="宋体" w:cs="Times New Roman"/>
                <w:b/>
                <w:color w:val="auto"/>
                <w:sz w:val="21"/>
                <w:szCs w:val="21"/>
              </w:rPr>
              <w:t>公用工程</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1</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给水工程</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项目用水由万洋众创城智能制造产业园内已建的市政自来水</w:t>
            </w:r>
            <w:r>
              <w:rPr>
                <w:rFonts w:hint="eastAsia" w:cs="Times New Roman"/>
                <w:bCs/>
                <w:color w:val="auto"/>
                <w:sz w:val="21"/>
                <w:szCs w:val="21"/>
                <w:lang w:val="en-US" w:eastAsia="zh-CN"/>
              </w:rPr>
              <w:t>管网</w:t>
            </w:r>
            <w:r>
              <w:rPr>
                <w:rFonts w:hint="default" w:ascii="Times New Roman" w:hAnsi="Times New Roman" w:eastAsia="宋体" w:cs="Times New Roman"/>
                <w:bCs/>
                <w:color w:val="auto"/>
                <w:sz w:val="21"/>
                <w:szCs w:val="21"/>
              </w:rPr>
              <w:t>供应。</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2</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排水工程</w:t>
            </w:r>
            <w:r>
              <w:rPr>
                <w:rFonts w:hint="default" w:ascii="Times New Roman" w:hAnsi="Times New Roman" w:eastAsia="宋体" w:cs="Times New Roman"/>
                <w:bCs/>
                <w:color w:val="auto"/>
                <w:sz w:val="21"/>
                <w:szCs w:val="21"/>
              </w:rPr>
              <w:tab/>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项目所在万洋众创城智能制造产业园区</w:t>
            </w:r>
            <w:r>
              <w:rPr>
                <w:rFonts w:hint="eastAsia" w:cs="Times New Roman"/>
                <w:bCs/>
                <w:color w:val="auto"/>
                <w:sz w:val="21"/>
                <w:szCs w:val="21"/>
                <w:lang w:val="en-US" w:eastAsia="zh-CN"/>
              </w:rPr>
              <w:t>已</w:t>
            </w:r>
            <w:r>
              <w:rPr>
                <w:rFonts w:hint="default" w:ascii="Times New Roman" w:hAnsi="Times New Roman" w:eastAsia="宋体" w:cs="Times New Roman"/>
                <w:bCs/>
                <w:color w:val="auto"/>
                <w:sz w:val="21"/>
                <w:szCs w:val="21"/>
              </w:rPr>
              <w:t>采用雨污分流，雨水经园区内的雨水管网收集后进入市政雨水管网；</w:t>
            </w:r>
            <w:r>
              <w:rPr>
                <w:rFonts w:hint="default" w:ascii="Times New Roman" w:hAnsi="Times New Roman" w:cs="Times New Roman"/>
                <w:color w:val="auto"/>
                <w:sz w:val="21"/>
                <w:szCs w:val="21"/>
                <w:lang w:val="en-US"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eastAsia="宋体" w:cs="Times New Roman"/>
                <w:bCs/>
                <w:color w:val="auto"/>
                <w:sz w:val="21"/>
                <w:szCs w:val="21"/>
              </w:rPr>
              <w:t>生活污水</w:t>
            </w:r>
            <w:r>
              <w:rPr>
                <w:rFonts w:hint="eastAsia" w:cs="Times New Roman"/>
                <w:bCs/>
                <w:color w:val="auto"/>
                <w:sz w:val="21"/>
                <w:szCs w:val="21"/>
                <w:lang w:val="en-US" w:eastAsia="zh-CN"/>
              </w:rPr>
              <w:t>一起</w:t>
            </w:r>
            <w:r>
              <w:rPr>
                <w:rFonts w:hint="default" w:ascii="Times New Roman" w:hAnsi="Times New Roman" w:eastAsia="宋体" w:cs="Times New Roman"/>
                <w:bCs/>
                <w:color w:val="auto"/>
                <w:sz w:val="21"/>
                <w:szCs w:val="21"/>
              </w:rPr>
              <w:t>排入万洋众创城智能制造产业园已建生化池（84m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/d）内，通过市政污水管网进入东城污水处理厂深度处理</w:t>
            </w:r>
            <w:r>
              <w:rPr>
                <w:rFonts w:hint="default" w:ascii="Times New Roman" w:hAnsi="Times New Roman" w:eastAsia="宋体" w:cs="Times New Roman"/>
                <w:bCs/>
                <w:color w:val="auto"/>
                <w:sz w:val="21"/>
                <w:szCs w:val="21"/>
                <w:lang w:val="en-US" w:eastAsia="zh-CN"/>
              </w:rPr>
              <w:t>后达标排放</w:t>
            </w:r>
            <w:r>
              <w:rPr>
                <w:rFonts w:hint="default" w:ascii="Times New Roman" w:hAnsi="Times New Roman" w:eastAsia="宋体" w:cs="Times New Roman"/>
                <w:bCs/>
                <w:color w:val="auto"/>
                <w:sz w:val="21"/>
                <w:szCs w:val="21"/>
              </w:rPr>
              <w:t>。</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3</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供电工程</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项目用电由园区供电电网供给，已接入标准厂房的供电箱。</w:t>
            </w:r>
          </w:p>
          <w:p>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2.8</w:t>
            </w:r>
            <w:r>
              <w:rPr>
                <w:rFonts w:hint="default" w:ascii="Times New Roman" w:hAnsi="Times New Roman" w:eastAsia="宋体" w:cs="Times New Roman"/>
                <w:b/>
                <w:color w:val="auto"/>
                <w:sz w:val="21"/>
                <w:szCs w:val="21"/>
                <w:lang w:eastAsia="zh-CN"/>
              </w:rPr>
              <w:t>水平衡</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项目营运期</w:t>
            </w:r>
            <w:r>
              <w:rPr>
                <w:rFonts w:hint="default" w:ascii="Times New Roman" w:hAnsi="Times New Roman" w:eastAsia="宋体" w:cs="Times New Roman"/>
                <w:bCs/>
                <w:color w:val="auto"/>
                <w:sz w:val="21"/>
                <w:szCs w:val="21"/>
              </w:rPr>
              <w:t>废水主要为职工生活废水</w:t>
            </w:r>
            <w:r>
              <w:rPr>
                <w:rFonts w:hint="default" w:ascii="Times New Roman" w:hAnsi="Times New Roman" w:eastAsia="宋体" w:cs="Times New Roman"/>
                <w:bCs/>
                <w:color w:val="auto"/>
                <w:sz w:val="21"/>
                <w:szCs w:val="21"/>
                <w:lang w:val="en-US" w:eastAsia="zh-CN"/>
              </w:rPr>
              <w:t>和</w:t>
            </w:r>
            <w:r>
              <w:rPr>
                <w:rFonts w:hint="default" w:ascii="Times New Roman" w:hAnsi="Times New Roman" w:eastAsia="宋体" w:cs="Times New Roman"/>
                <w:bCs/>
                <w:color w:val="auto"/>
                <w:sz w:val="21"/>
                <w:szCs w:val="21"/>
                <w:lang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eastAsia="宋体" w:cs="Times New Roman"/>
                <w:bCs/>
                <w:color w:val="auto"/>
                <w:sz w:val="21"/>
                <w:szCs w:val="21"/>
                <w:lang w:eastAsia="zh-CN"/>
              </w:rPr>
              <w:t>。地面清洁仅用湿拖布拖地，不涉及地面冲洗，抹布和拖把清洗时产生地面清洁废水用水指标按照1L/m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·次计算。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FF0000"/>
                <w:sz w:val="21"/>
                <w:szCs w:val="21"/>
              </w:rPr>
              <w:t>空压机缩小后的气体有一部分被储存在储气罐中，而气体里是带有部分水分子，当这种高速运动的水分子遇到储气罐壁时，会凝结变成水，历经一段时间的累积，底端会出现少量含油废水。</w:t>
            </w:r>
            <w:r>
              <w:rPr>
                <w:rFonts w:hint="eastAsia" w:cs="Times New Roman"/>
                <w:bCs/>
                <w:color w:val="FF0000"/>
                <w:sz w:val="21"/>
                <w:szCs w:val="21"/>
                <w:lang w:val="en-US" w:eastAsia="zh-CN"/>
              </w:rPr>
              <w:t>本项目</w:t>
            </w:r>
            <w:r>
              <w:rPr>
                <w:rFonts w:hint="default" w:ascii="Times New Roman" w:hAnsi="Times New Roman" w:eastAsia="宋体" w:cs="Times New Roman"/>
                <w:bCs/>
                <w:color w:val="FF0000"/>
                <w:sz w:val="21"/>
                <w:szCs w:val="21"/>
              </w:rPr>
              <w:t>设置</w:t>
            </w:r>
            <w:r>
              <w:rPr>
                <w:rFonts w:hint="eastAsia" w:cs="Times New Roman"/>
                <w:bCs/>
                <w:color w:val="FF0000"/>
                <w:sz w:val="21"/>
                <w:szCs w:val="21"/>
                <w:lang w:val="en-US" w:eastAsia="zh-CN"/>
              </w:rPr>
              <w:t>1</w:t>
            </w:r>
            <w:r>
              <w:rPr>
                <w:rFonts w:hint="default" w:ascii="Times New Roman" w:hAnsi="Times New Roman" w:eastAsia="宋体" w:cs="Times New Roman"/>
                <w:bCs/>
                <w:color w:val="FF0000"/>
                <w:sz w:val="21"/>
                <w:szCs w:val="21"/>
              </w:rPr>
              <w:t>台空压机，空压机处理风量约</w:t>
            </w:r>
            <w:r>
              <w:rPr>
                <w:rFonts w:hint="eastAsia" w:cs="Times New Roman"/>
                <w:bCs/>
                <w:color w:val="FF0000"/>
                <w:sz w:val="21"/>
                <w:szCs w:val="21"/>
                <w:lang w:val="en-US" w:eastAsia="zh-CN"/>
              </w:rPr>
              <w:t>5</w:t>
            </w:r>
            <w:r>
              <w:rPr>
                <w:rFonts w:hint="default" w:ascii="Times New Roman" w:hAnsi="Times New Roman" w:eastAsia="宋体" w:cs="Times New Roman"/>
                <w:bCs/>
                <w:color w:val="FF0000"/>
                <w:sz w:val="21"/>
                <w:szCs w:val="21"/>
              </w:rPr>
              <w:t>m</w:t>
            </w:r>
            <w:r>
              <w:rPr>
                <w:rFonts w:hint="default" w:ascii="Times New Roman" w:hAnsi="Times New Roman" w:eastAsia="宋体" w:cs="Times New Roman"/>
                <w:bCs/>
                <w:color w:val="FF0000"/>
                <w:sz w:val="21"/>
                <w:szCs w:val="21"/>
                <w:vertAlign w:val="superscript"/>
              </w:rPr>
              <w:t>3</w:t>
            </w:r>
            <w:r>
              <w:rPr>
                <w:rFonts w:hint="default" w:ascii="Times New Roman" w:hAnsi="Times New Roman" w:eastAsia="宋体" w:cs="Times New Roman"/>
                <w:bCs/>
                <w:color w:val="FF0000"/>
                <w:sz w:val="21"/>
                <w:szCs w:val="21"/>
              </w:rPr>
              <w:t>/min，参考文献《空压机含油废水特性及处理对策》（2022年8月）长沙电力学院学报（自然科学版）第17卷第3期空压机冷凝水量计算，则单台空压机冷凝水排放量约为</w:t>
            </w:r>
            <w:r>
              <w:rPr>
                <w:rFonts w:hint="eastAsia" w:cs="Times New Roman"/>
                <w:bCs/>
                <w:color w:val="FF0000"/>
                <w:sz w:val="21"/>
                <w:szCs w:val="21"/>
                <w:lang w:val="en-US" w:eastAsia="zh-CN"/>
              </w:rPr>
              <w:t>6</w:t>
            </w:r>
            <w:r>
              <w:rPr>
                <w:rFonts w:hint="default" w:ascii="Times New Roman" w:hAnsi="Times New Roman" w:eastAsia="宋体" w:cs="Times New Roman"/>
                <w:bCs/>
                <w:color w:val="FF0000"/>
                <w:sz w:val="21"/>
                <w:szCs w:val="21"/>
              </w:rPr>
              <w:t>L/h，</w:t>
            </w:r>
            <w:r>
              <w:rPr>
                <w:rFonts w:hint="eastAsia" w:cs="Times New Roman"/>
                <w:bCs/>
                <w:color w:val="FF0000"/>
                <w:sz w:val="21"/>
                <w:szCs w:val="21"/>
                <w:lang w:val="en-US" w:eastAsia="zh-CN"/>
              </w:rPr>
              <w:t>每天运行时间为8h</w:t>
            </w:r>
            <w:r>
              <w:rPr>
                <w:rFonts w:hint="default" w:ascii="Times New Roman" w:hAnsi="Times New Roman" w:eastAsia="宋体" w:cs="Times New Roman"/>
                <w:bCs/>
                <w:color w:val="FF0000"/>
                <w:sz w:val="21"/>
                <w:szCs w:val="21"/>
              </w:rPr>
              <w:t>，</w:t>
            </w:r>
            <w:r>
              <w:rPr>
                <w:rFonts w:hint="eastAsia" w:cs="Times New Roman"/>
                <w:bCs/>
                <w:color w:val="FF0000"/>
                <w:sz w:val="21"/>
                <w:szCs w:val="21"/>
                <w:lang w:val="en-US" w:eastAsia="zh-CN"/>
              </w:rPr>
              <w:t>则</w:t>
            </w:r>
            <w:r>
              <w:rPr>
                <w:rFonts w:hint="default" w:ascii="Times New Roman" w:hAnsi="Times New Roman" w:eastAsia="宋体" w:cs="Times New Roman"/>
                <w:bCs/>
                <w:color w:val="FF0000"/>
                <w:sz w:val="21"/>
                <w:szCs w:val="21"/>
              </w:rPr>
              <w:t>空压机含油废水量为</w:t>
            </w:r>
            <w:r>
              <w:rPr>
                <w:rFonts w:hint="eastAsia" w:cs="Times New Roman"/>
                <w:bCs/>
                <w:color w:val="FF0000"/>
                <w:sz w:val="21"/>
                <w:szCs w:val="21"/>
                <w:lang w:val="en-US" w:eastAsia="zh-CN"/>
              </w:rPr>
              <w:t>0.048</w:t>
            </w:r>
            <w:r>
              <w:rPr>
                <w:rFonts w:hint="default" w:ascii="Times New Roman" w:hAnsi="Times New Roman" w:eastAsia="宋体" w:cs="Times New Roman"/>
                <w:bCs/>
                <w:color w:val="FF0000"/>
                <w:sz w:val="21"/>
                <w:szCs w:val="21"/>
              </w:rPr>
              <w:t>m</w:t>
            </w:r>
            <w:r>
              <w:rPr>
                <w:rFonts w:hint="default" w:ascii="Times New Roman" w:hAnsi="Times New Roman" w:eastAsia="宋体" w:cs="Times New Roman"/>
                <w:bCs/>
                <w:color w:val="FF0000"/>
                <w:sz w:val="21"/>
                <w:szCs w:val="21"/>
                <w:vertAlign w:val="superscript"/>
              </w:rPr>
              <w:t>3</w:t>
            </w:r>
            <w:r>
              <w:rPr>
                <w:rFonts w:hint="default" w:ascii="Times New Roman" w:hAnsi="Times New Roman" w:eastAsia="宋体" w:cs="Times New Roman"/>
                <w:bCs/>
                <w:color w:val="FF0000"/>
                <w:sz w:val="21"/>
                <w:szCs w:val="21"/>
              </w:rPr>
              <w:t>/</w:t>
            </w:r>
            <w:r>
              <w:rPr>
                <w:rFonts w:hint="eastAsia" w:cs="Times New Roman"/>
                <w:bCs/>
                <w:color w:val="FF0000"/>
                <w:sz w:val="21"/>
                <w:szCs w:val="21"/>
                <w:lang w:val="en-US" w:eastAsia="zh-CN"/>
              </w:rPr>
              <w:t>d</w:t>
            </w:r>
            <w:r>
              <w:rPr>
                <w:rFonts w:hint="default" w:ascii="Times New Roman" w:hAnsi="Times New Roman" w:eastAsia="宋体" w:cs="Times New Roman"/>
                <w:bCs/>
                <w:color w:val="FF0000"/>
                <w:sz w:val="21"/>
                <w:szCs w:val="21"/>
              </w:rPr>
              <w:t>，含油浓度最大为19.29mg/L。</w:t>
            </w:r>
            <w:r>
              <w:rPr>
                <w:rFonts w:hint="eastAsia" w:cs="Times New Roman"/>
                <w:bCs/>
                <w:color w:val="auto"/>
                <w:sz w:val="21"/>
                <w:szCs w:val="21"/>
                <w:lang w:val="en-US" w:eastAsia="zh-CN"/>
              </w:rPr>
              <w:t>空压机含油废水收集后</w:t>
            </w:r>
            <w:r>
              <w:rPr>
                <w:rFonts w:hint="default" w:ascii="Times New Roman" w:hAnsi="Times New Roman" w:eastAsia="宋体" w:cs="Times New Roman"/>
                <w:bCs/>
                <w:color w:val="FF0000"/>
                <w:sz w:val="21"/>
                <w:szCs w:val="21"/>
              </w:rPr>
              <w:t>经</w:t>
            </w:r>
            <w:r>
              <w:rPr>
                <w:rFonts w:hint="eastAsia" w:eastAsia="宋体" w:cs="Times New Roman"/>
                <w:bCs/>
                <w:color w:val="FF0000"/>
                <w:sz w:val="21"/>
                <w:szCs w:val="21"/>
                <w:lang w:val="en-US" w:eastAsia="zh-CN"/>
              </w:rPr>
              <w:t>隔油池进行处理，然</w:t>
            </w:r>
            <w:r>
              <w:rPr>
                <w:rFonts w:hint="default" w:ascii="Times New Roman" w:hAnsi="Times New Roman" w:eastAsia="宋体" w:cs="Times New Roman"/>
                <w:bCs/>
                <w:color w:val="FF0000"/>
                <w:sz w:val="21"/>
                <w:szCs w:val="21"/>
              </w:rPr>
              <w:t>后与生活污水一同排入生化池处理。</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根据《关于印发《重庆市城市生活用水定额（2017年修订版）》的通知》（渝水</w:t>
            </w:r>
            <w:r>
              <w:rPr>
                <w:rFonts w:hint="default"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2018</w:t>
            </w:r>
            <w:r>
              <w:rPr>
                <w:rFonts w:hint="default"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66号）中规定的重庆市用水标准，并结合《城市排水工程规划规范》（GB 50318-2017）中数据，拟建项目的污水排放系数取值为0.9，核算表见表</w:t>
            </w:r>
            <w:r>
              <w:rPr>
                <w:rFonts w:hint="default" w:ascii="Times New Roman" w:hAnsi="Times New Roman" w:eastAsia="宋体" w:cs="Times New Roman"/>
                <w:bCs/>
                <w:color w:val="auto"/>
                <w:sz w:val="21"/>
                <w:szCs w:val="21"/>
                <w:lang w:val="en-US" w:eastAsia="zh-CN"/>
              </w:rPr>
              <w:t>2.</w:t>
            </w:r>
            <w:r>
              <w:rPr>
                <w:rFonts w:hint="eastAsia" w:cs="Times New Roman"/>
                <w:bCs/>
                <w:color w:val="auto"/>
                <w:sz w:val="21"/>
                <w:szCs w:val="21"/>
                <w:lang w:val="en-US" w:eastAsia="zh-CN"/>
              </w:rPr>
              <w:t>5</w:t>
            </w:r>
            <w:r>
              <w:rPr>
                <w:rFonts w:hint="default" w:ascii="Times New Roman" w:hAnsi="Times New Roman" w:eastAsia="宋体" w:cs="Times New Roman"/>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拟建项目用水量和排水量统计表</w:t>
            </w:r>
          </w:p>
          <w:tbl>
            <w:tblPr>
              <w:tblStyle w:val="27"/>
              <w:tblpPr w:leftFromText="181" w:rightFromText="181" w:vertAnchor="text" w:horzAnchor="page" w:tblpXSpec="center" w:tblpY="1"/>
              <w:tblOverlap w:val="never"/>
              <w:tblW w:w="80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7"/>
              <w:gridCol w:w="831"/>
              <w:gridCol w:w="1052"/>
              <w:gridCol w:w="1301"/>
              <w:gridCol w:w="1053"/>
              <w:gridCol w:w="1347"/>
              <w:gridCol w:w="13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用水单位</w:t>
                  </w:r>
                </w:p>
              </w:tc>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用水</w:t>
                  </w:r>
                </w:p>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规模</w:t>
                  </w:r>
                </w:p>
              </w:tc>
              <w:tc>
                <w:tcPr>
                  <w:tcW w:w="10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用水</w:t>
                  </w:r>
                </w:p>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w:t>
                  </w:r>
                </w:p>
              </w:tc>
              <w:tc>
                <w:tcPr>
                  <w:tcW w:w="13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日</w:t>
                  </w:r>
                  <w:r>
                    <w:rPr>
                      <w:rFonts w:hint="default" w:ascii="Times New Roman" w:hAnsi="Times New Roman" w:cs="Times New Roman"/>
                      <w:b/>
                      <w:bCs w:val="0"/>
                      <w:color w:val="auto"/>
                      <w:sz w:val="21"/>
                      <w:szCs w:val="21"/>
                      <w:lang w:val="en-US" w:eastAsia="zh-CN"/>
                    </w:rPr>
                    <w:t>最大</w:t>
                  </w:r>
                  <w:r>
                    <w:rPr>
                      <w:rFonts w:hint="default" w:ascii="Times New Roman" w:hAnsi="Times New Roman" w:eastAsia="宋体" w:cs="Times New Roman"/>
                      <w:b/>
                      <w:bCs w:val="0"/>
                      <w:color w:val="auto"/>
                      <w:sz w:val="21"/>
                      <w:szCs w:val="21"/>
                    </w:rPr>
                    <w:t>用水量（m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tc>
              <w:tc>
                <w:tcPr>
                  <w:tcW w:w="10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年用水量（m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/a）</w:t>
                  </w:r>
                </w:p>
              </w:tc>
              <w:tc>
                <w:tcPr>
                  <w:tcW w:w="13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日</w:t>
                  </w:r>
                  <w:r>
                    <w:rPr>
                      <w:rFonts w:hint="default" w:ascii="Times New Roman" w:hAnsi="Times New Roman" w:cs="Times New Roman"/>
                      <w:b/>
                      <w:bCs w:val="0"/>
                      <w:color w:val="auto"/>
                      <w:sz w:val="21"/>
                      <w:szCs w:val="21"/>
                      <w:lang w:val="en-US" w:eastAsia="zh-CN"/>
                    </w:rPr>
                    <w:t>最大</w:t>
                  </w:r>
                  <w:r>
                    <w:rPr>
                      <w:rFonts w:hint="default" w:ascii="Times New Roman" w:hAnsi="Times New Roman" w:eastAsia="宋体" w:cs="Times New Roman"/>
                      <w:b/>
                      <w:bCs w:val="0"/>
                      <w:color w:val="auto"/>
                      <w:sz w:val="21"/>
                      <w:szCs w:val="21"/>
                    </w:rPr>
                    <w:t>排水量（m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tc>
              <w:tc>
                <w:tcPr>
                  <w:tcW w:w="13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年排水量</w:t>
                  </w:r>
                </w:p>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职工生活</w:t>
                  </w:r>
                </w:p>
              </w:tc>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人</w:t>
                  </w:r>
                </w:p>
              </w:tc>
              <w:tc>
                <w:tcPr>
                  <w:tcW w:w="10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50L/d</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rPr>
                    <w:t>人</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10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r>
                    <w:rPr>
                      <w:rFonts w:hint="default" w:ascii="Times New Roman" w:hAnsi="Times New Roman" w:eastAsia="宋体" w:cs="Times New Roman"/>
                      <w:i w:val="0"/>
                      <w:iCs w:val="0"/>
                      <w:color w:val="auto"/>
                      <w:kern w:val="0"/>
                      <w:sz w:val="21"/>
                      <w:szCs w:val="21"/>
                      <w:u w:val="none"/>
                      <w:lang w:val="en-US" w:eastAsia="zh-CN" w:bidi="ar"/>
                    </w:rPr>
                    <w:t>0</w:t>
                  </w:r>
                </w:p>
              </w:tc>
              <w:tc>
                <w:tcPr>
                  <w:tcW w:w="13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9</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067"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color w:val="auto"/>
                      <w:sz w:val="21"/>
                      <w:szCs w:val="21"/>
                    </w:rPr>
                    <w:t>地面清洁废水</w:t>
                  </w:r>
                </w:p>
              </w:tc>
              <w:tc>
                <w:tcPr>
                  <w:tcW w:w="1883" w:type="dxa"/>
                  <w:gridSpan w:val="2"/>
                  <w:tcBorders>
                    <w:left w:val="single" w:color="auto" w:sz="4" w:space="0"/>
                  </w:tcBorders>
                  <w:noWrap w:val="0"/>
                  <w:vAlign w:val="center"/>
                </w:tcPr>
                <w:p>
                  <w:pPr>
                    <w:pStyle w:val="86"/>
                    <w:keepNext w:val="0"/>
                    <w:keepLines w:val="0"/>
                    <w:pageBreakBefore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Cs/>
                      <w:color w:val="auto"/>
                      <w:sz w:val="21"/>
                      <w:szCs w:val="21"/>
                    </w:rPr>
                    <w:t>5992.32</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1L/m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次，2次/月</w:t>
                  </w:r>
                </w:p>
              </w:tc>
              <w:tc>
                <w:tcPr>
                  <w:tcW w:w="1301"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105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144</w:t>
                  </w:r>
                </w:p>
              </w:tc>
              <w:tc>
                <w:tcPr>
                  <w:tcW w:w="134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5.4</w:t>
                  </w:r>
                </w:p>
              </w:tc>
              <w:tc>
                <w:tcPr>
                  <w:tcW w:w="1385"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067"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jc w:val="center"/>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空压机含油废水</w:t>
                  </w:r>
                </w:p>
              </w:tc>
              <w:tc>
                <w:tcPr>
                  <w:tcW w:w="1883" w:type="dxa"/>
                  <w:gridSpan w:val="2"/>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jc w:val="center"/>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0.048</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天</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53"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347"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bCs/>
                      <w:color w:val="auto"/>
                      <w:sz w:val="21"/>
                      <w:szCs w:val="21"/>
                      <w:lang w:val="en-US" w:eastAsia="zh-CN"/>
                    </w:rPr>
                    <w:t>0.048</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067"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切削液</w:t>
                  </w:r>
                </w:p>
                <w:p>
                  <w:pPr>
                    <w:keepNext w:val="0"/>
                    <w:keepLines w:val="0"/>
                    <w:pageBreakBefore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配置</w:t>
                  </w:r>
                </w:p>
              </w:tc>
              <w:tc>
                <w:tcPr>
                  <w:tcW w:w="1883" w:type="dxa"/>
                  <w:gridSpan w:val="2"/>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t/年，</w:t>
                  </w:r>
                  <w:r>
                    <w:rPr>
                      <w:rFonts w:hint="default" w:ascii="Times New Roman" w:hAnsi="Times New Roman" w:cs="Times New Roman"/>
                      <w:bCs/>
                      <w:color w:val="auto"/>
                      <w:sz w:val="21"/>
                      <w:szCs w:val="21"/>
                      <w:lang w:val="en-US" w:eastAsia="zh-CN"/>
                    </w:rPr>
                    <w:t>与水配比为</w:t>
                  </w:r>
                  <w:r>
                    <w:rPr>
                      <w:rFonts w:hint="default" w:ascii="Times New Roman" w:hAnsi="Times New Roman" w:eastAsia="宋体" w:cs="Times New Roman"/>
                      <w:color w:val="auto"/>
                      <w:sz w:val="21"/>
                      <w:szCs w:val="21"/>
                      <w:lang w:val="en-US" w:eastAsia="zh-CN"/>
                    </w:rPr>
                    <w:t>1:20</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2</w:t>
                  </w:r>
                </w:p>
              </w:tc>
              <w:tc>
                <w:tcPr>
                  <w:tcW w:w="10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3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067"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淬火用水补充</w:t>
                  </w:r>
                </w:p>
              </w:tc>
              <w:tc>
                <w:tcPr>
                  <w:tcW w:w="1883" w:type="dxa"/>
                  <w:gridSpan w:val="2"/>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/月</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0.1</w:t>
                  </w:r>
                </w:p>
              </w:tc>
              <w:tc>
                <w:tcPr>
                  <w:tcW w:w="10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w:t>
                  </w:r>
                </w:p>
              </w:tc>
              <w:tc>
                <w:tcPr>
                  <w:tcW w:w="13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95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合计</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7.12</w:t>
                  </w:r>
                </w:p>
              </w:tc>
              <w:tc>
                <w:tcPr>
                  <w:tcW w:w="1053"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451.2</w:t>
                  </w:r>
                </w:p>
              </w:tc>
              <w:tc>
                <w:tcPr>
                  <w:tcW w:w="1347"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6.348</w:t>
                  </w:r>
                </w:p>
              </w:tc>
              <w:tc>
                <w:tcPr>
                  <w:tcW w:w="1385" w:type="dxa"/>
                  <w:noWrap w:val="0"/>
                  <w:vAlign w:val="center"/>
                </w:tcPr>
                <w:p>
                  <w:pPr>
                    <w:keepNext w:val="0"/>
                    <w:keepLines w:val="0"/>
                    <w:pageBreakBefore w:val="0"/>
                    <w:widowControl/>
                    <w:suppressLineNumbers w:val="0"/>
                    <w:kinsoku/>
                    <w:wordWrap/>
                    <w:overflowPunct/>
                    <w:topLinePunct w:val="0"/>
                    <w:autoSpaceDE/>
                    <w:autoSpaceDN/>
                    <w:bidi w:val="0"/>
                    <w:spacing w:line="240" w:lineRule="atLeast"/>
                    <w:jc w:val="center"/>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414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项目水平衡详见图</w:t>
            </w:r>
            <w:r>
              <w:rPr>
                <w:rFonts w:hint="default" w:ascii="Times New Roman" w:hAnsi="Times New Roman" w:eastAsia="宋体" w:cs="Times New Roman"/>
                <w:bCs/>
                <w:color w:val="auto"/>
                <w:sz w:val="21"/>
                <w:szCs w:val="21"/>
                <w:lang w:val="en-US" w:eastAsia="zh-CN"/>
              </w:rPr>
              <w:t>2.1</w:t>
            </w:r>
            <w:r>
              <w:rPr>
                <w:rFonts w:hint="default" w:ascii="Times New Roman" w:hAnsi="Times New Roman" w:eastAsia="宋体" w:cs="Times New Roman"/>
                <w:bCs/>
                <w:color w:val="auto"/>
                <w:sz w:val="21"/>
                <w:szCs w:val="21"/>
              </w:rPr>
              <w:t>。</w:t>
            </w:r>
          </w:p>
          <w:p>
            <w:pPr>
              <w:pStyle w:val="11"/>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object>
                <v:shape id="_x0000_i1025" o:spt="75" type="#_x0000_t75" style="height:311.85pt;width:394.2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 xml:space="preserve">2.1 </w:t>
            </w:r>
            <w:r>
              <w:rPr>
                <w:rFonts w:hint="default" w:ascii="Times New Roman" w:hAnsi="Times New Roman" w:eastAsia="宋体" w:cs="Times New Roman"/>
                <w:b/>
                <w:color w:val="auto"/>
                <w:sz w:val="21"/>
                <w:szCs w:val="21"/>
              </w:rPr>
              <w:t>项目水平衡图单位：t/</w:t>
            </w:r>
            <w:r>
              <w:rPr>
                <w:rFonts w:hint="default" w:ascii="Times New Roman" w:hAnsi="Times New Roman" w:eastAsia="宋体" w:cs="Times New Roman"/>
                <w:b/>
                <w:color w:val="auto"/>
                <w:sz w:val="21"/>
                <w:szCs w:val="21"/>
                <w:lang w:val="en-US" w:eastAsia="zh-CN"/>
              </w:rPr>
              <w:t>d</w:t>
            </w:r>
          </w:p>
          <w:p>
            <w:pPr>
              <w:pStyle w:val="12"/>
              <w:rPr>
                <w:rFonts w:hint="default" w:ascii="Times New Roman" w:hAnsi="Times New Roman" w:eastAsia="宋体" w:cs="Times New Roman"/>
                <w:b/>
                <w:color w:val="auto"/>
                <w:sz w:val="21"/>
                <w:szCs w:val="21"/>
                <w:lang w:val="en-US" w:eastAsia="zh-CN"/>
              </w:rPr>
            </w:pPr>
          </w:p>
          <w:p>
            <w:pPr>
              <w:pStyle w:val="12"/>
              <w:rPr>
                <w:rFonts w:hint="default" w:ascii="Times New Roman" w:hAnsi="Times New Roman" w:eastAsia="宋体" w:cs="Times New Roman"/>
                <w:b/>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0" w:hRule="atLeast"/>
          <w:jc w:val="center"/>
        </w:trPr>
        <w:tc>
          <w:tcPr>
            <w:tcW w:w="823" w:type="dxa"/>
            <w:noWrap w:val="0"/>
            <w:vAlign w:val="center"/>
          </w:tcPr>
          <w:p>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10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w:t>
            </w:r>
            <w:r>
              <w:rPr>
                <w:rFonts w:hint="default" w:ascii="Times New Roman" w:hAnsi="Times New Roman" w:cs="Times New Roman"/>
                <w:b/>
                <w:color w:val="auto"/>
                <w:sz w:val="21"/>
                <w:szCs w:val="21"/>
                <w:lang w:val="en-US" w:eastAsia="zh-CN"/>
              </w:rPr>
              <w:t>9</w:t>
            </w:r>
            <w:r>
              <w:rPr>
                <w:rFonts w:hint="default" w:ascii="Times New Roman" w:hAnsi="Times New Roman" w:eastAsia="宋体" w:cs="Times New Roman"/>
                <w:b/>
                <w:color w:val="auto"/>
                <w:sz w:val="21"/>
                <w:szCs w:val="21"/>
              </w:rPr>
              <w:t>施工期工艺流程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本项目</w:t>
            </w:r>
            <w:r>
              <w:rPr>
                <w:rFonts w:hint="default" w:ascii="Times New Roman" w:hAnsi="Times New Roman" w:cs="Times New Roman"/>
                <w:bCs/>
                <w:color w:val="auto"/>
                <w:sz w:val="21"/>
                <w:szCs w:val="21"/>
                <w:lang w:val="en-US" w:eastAsia="zh-CN"/>
              </w:rPr>
              <w:t>购置</w:t>
            </w:r>
            <w:r>
              <w:rPr>
                <w:rFonts w:hint="default" w:ascii="Times New Roman" w:hAnsi="Times New Roman" w:cs="Times New Roman"/>
                <w:color w:val="auto"/>
                <w:kern w:val="2"/>
                <w:sz w:val="21"/>
                <w:szCs w:val="24"/>
                <w:lang w:val="en-US" w:eastAsia="zh-CN" w:bidi="ar-SA"/>
              </w:rPr>
              <w:t>万洋众创城智能制造产业园内</w:t>
            </w:r>
            <w:r>
              <w:rPr>
                <w:rFonts w:hint="default" w:ascii="Times New Roman" w:hAnsi="Times New Roman" w:eastAsia="宋体" w:cs="Times New Roman"/>
                <w:color w:val="auto"/>
                <w:sz w:val="22"/>
                <w:szCs w:val="22"/>
                <w:lang w:val="en-US" w:eastAsia="zh-CN"/>
              </w:rPr>
              <w:t>已建</w:t>
            </w:r>
            <w:r>
              <w:rPr>
                <w:rFonts w:hint="default" w:ascii="Times New Roman" w:hAnsi="Times New Roman" w:cs="Times New Roman"/>
                <w:bCs/>
                <w:color w:val="auto"/>
                <w:sz w:val="21"/>
                <w:szCs w:val="21"/>
              </w:rPr>
              <w:t>厂房，</w:t>
            </w:r>
            <w:r>
              <w:rPr>
                <w:rFonts w:hint="default" w:ascii="Times New Roman" w:hAnsi="Times New Roman" w:eastAsia="宋体" w:cs="Times New Roman"/>
                <w:color w:val="auto"/>
                <w:sz w:val="21"/>
                <w:szCs w:val="21"/>
              </w:rPr>
              <w:t>不新建构建筑物，不涉及土建工程，施工期建设内容仅为设备的安装及厂房装修，安装设备少，施工体量小。本次评价仅对其进行</w:t>
            </w:r>
            <w:r>
              <w:rPr>
                <w:rFonts w:hint="default" w:ascii="Times New Roman" w:hAnsi="Times New Roman" w:eastAsia="宋体" w:cs="Times New Roman"/>
                <w:color w:val="auto"/>
                <w:sz w:val="21"/>
                <w:szCs w:val="21"/>
                <w:lang w:eastAsia="zh-CN"/>
              </w:rPr>
              <w:t>简单</w:t>
            </w:r>
            <w:r>
              <w:rPr>
                <w:rFonts w:hint="default" w:ascii="Times New Roman" w:hAnsi="Times New Roman" w:eastAsia="宋体" w:cs="Times New Roman"/>
                <w:color w:val="auto"/>
                <w:sz w:val="21"/>
                <w:szCs w:val="21"/>
              </w:rPr>
              <w:t>分析。</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2.1</w:t>
            </w:r>
            <w:r>
              <w:rPr>
                <w:rFonts w:hint="default" w:ascii="Times New Roman" w:hAnsi="Times New Roman" w:cs="Times New Roman"/>
                <w:b/>
                <w:color w:val="auto"/>
                <w:sz w:val="21"/>
                <w:szCs w:val="21"/>
                <w:lang w:val="en-US" w:eastAsia="zh-CN"/>
              </w:rPr>
              <w:t>0</w:t>
            </w:r>
            <w:r>
              <w:rPr>
                <w:rFonts w:hint="default" w:ascii="Times New Roman" w:hAnsi="Times New Roman" w:eastAsia="宋体" w:cs="Times New Roman"/>
                <w:b/>
                <w:color w:val="auto"/>
                <w:sz w:val="21"/>
                <w:szCs w:val="21"/>
              </w:rPr>
              <w:t>营运期工艺流程</w:t>
            </w:r>
          </w:p>
          <w:p>
            <w:pPr>
              <w:pStyle w:val="5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本项目营运期</w:t>
            </w:r>
            <w:r>
              <w:rPr>
                <w:rFonts w:hint="default" w:ascii="Times New Roman" w:hAnsi="Times New Roman" w:eastAsia="宋体" w:cs="Times New Roman"/>
                <w:b w:val="0"/>
                <w:bCs w:val="0"/>
                <w:color w:val="auto"/>
                <w:sz w:val="21"/>
                <w:szCs w:val="21"/>
                <w:lang w:val="en-US" w:eastAsia="zh-CN"/>
              </w:rPr>
              <w:t>具体的工艺流程及产污环节示意图详</w:t>
            </w:r>
            <w:r>
              <w:rPr>
                <w:rFonts w:hint="default" w:ascii="Times New Roman" w:hAnsi="Times New Roman" w:eastAsia="宋体" w:cs="Times New Roman"/>
                <w:b w:val="0"/>
                <w:bCs w:val="0"/>
                <w:color w:val="auto"/>
                <w:sz w:val="21"/>
                <w:szCs w:val="21"/>
              </w:rPr>
              <w:t>见图</w:t>
            </w:r>
            <w:r>
              <w:rPr>
                <w:rFonts w:hint="default" w:ascii="Times New Roman" w:hAnsi="Times New Roman" w:cs="Times New Roman"/>
                <w:b w:val="0"/>
                <w:bCs w:val="0"/>
                <w:color w:val="auto"/>
                <w:sz w:val="21"/>
                <w:szCs w:val="21"/>
                <w:lang w:val="en-US" w:eastAsia="zh-CN"/>
              </w:rPr>
              <w:t>2.2、</w:t>
            </w:r>
            <w:r>
              <w:rPr>
                <w:rFonts w:hint="default" w:ascii="Times New Roman" w:hAnsi="Times New Roman" w:eastAsia="宋体" w:cs="Times New Roman"/>
                <w:b w:val="0"/>
                <w:bCs w:val="0"/>
                <w:color w:val="auto"/>
                <w:sz w:val="21"/>
                <w:szCs w:val="21"/>
              </w:rPr>
              <w:t>图</w:t>
            </w:r>
            <w:r>
              <w:rPr>
                <w:rFonts w:hint="default" w:ascii="Times New Roman" w:hAnsi="Times New Roman" w:cs="Times New Roman"/>
                <w:b w:val="0"/>
                <w:bCs w:val="0"/>
                <w:color w:val="auto"/>
                <w:sz w:val="21"/>
                <w:szCs w:val="21"/>
                <w:lang w:val="en-US" w:eastAsia="zh-CN"/>
              </w:rPr>
              <w:t>2.3</w:t>
            </w:r>
            <w:r>
              <w:rPr>
                <w:rFonts w:hint="default" w:ascii="Times New Roman" w:hAnsi="Times New Roman" w:eastAsia="宋体" w:cs="Times New Roman"/>
                <w:b w:val="0"/>
                <w:bCs w:val="0"/>
                <w:color w:val="auto"/>
                <w:sz w:val="21"/>
                <w:szCs w:val="21"/>
              </w:rPr>
              <w:t>。</w:t>
            </w:r>
          </w:p>
          <w:p>
            <w:pPr>
              <w:pStyle w:val="5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4"/>
              </w:rPr>
              <w:object>
                <v:shape id="_x0000_i1026" o:spt="75" type="#_x0000_t75" style="height:158.3pt;width:412.4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2.2大链轮、小链轮生产</w:t>
            </w:r>
            <w:r>
              <w:rPr>
                <w:rFonts w:hint="default" w:ascii="Times New Roman" w:hAnsi="Times New Roman" w:cs="Times New Roman"/>
                <w:b/>
                <w:bCs/>
                <w:color w:val="auto"/>
                <w:sz w:val="21"/>
                <w:szCs w:val="21"/>
              </w:rPr>
              <w:t>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大链轮、小链轮</w:t>
            </w:r>
            <w:r>
              <w:rPr>
                <w:rFonts w:hint="default" w:ascii="Times New Roman" w:hAnsi="Times New Roman" w:cs="Times New Roman"/>
                <w:b/>
                <w:bCs/>
                <w:color w:val="auto"/>
                <w:sz w:val="21"/>
                <w:szCs w:val="21"/>
              </w:rPr>
              <w:t>生产工艺流程说明：</w:t>
            </w:r>
          </w:p>
          <w:p>
            <w:pPr>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冲孔：</w:t>
            </w:r>
            <w:r>
              <w:rPr>
                <w:rFonts w:hint="default" w:ascii="Times New Roman" w:hAnsi="Times New Roman" w:cs="Times New Roman"/>
                <w:bCs/>
                <w:color w:val="auto"/>
                <w:sz w:val="21"/>
                <w:szCs w:val="21"/>
              </w:rPr>
              <w:t>通过冲床对毛坯件进行机械加工，使工件中间形成孔洞。</w:t>
            </w:r>
            <w:r>
              <w:rPr>
                <w:rFonts w:hint="default" w:ascii="Times New Roman" w:hAnsi="Times New Roman" w:cs="Times New Roman"/>
                <w:color w:val="auto"/>
                <w:sz w:val="21"/>
                <w:szCs w:val="21"/>
              </w:rPr>
              <w:t>该工艺过程会产生噪声</w:t>
            </w:r>
            <w:r>
              <w:rPr>
                <w:rFonts w:hint="default" w:ascii="Times New Roman" w:hAnsi="Times New Roman" w:cs="Times New Roman"/>
                <w:color w:val="auto"/>
                <w:sz w:val="21"/>
                <w:szCs w:val="21"/>
                <w:lang w:val="en-US" w:eastAsia="zh-CN"/>
              </w:rPr>
              <w:t>N</w:t>
            </w:r>
            <w:r>
              <w:rPr>
                <w:rFonts w:hint="default" w:ascii="Times New Roman" w:hAnsi="Times New Roman" w:cs="Times New Roman"/>
                <w:color w:val="auto"/>
                <w:sz w:val="21"/>
                <w:szCs w:val="21"/>
              </w:rPr>
              <w:t>和</w:t>
            </w:r>
            <w:r>
              <w:rPr>
                <w:rFonts w:hint="default" w:ascii="Times New Roman" w:hAnsi="Times New Roman" w:cs="Times New Roman"/>
                <w:color w:val="auto"/>
                <w:sz w:val="21"/>
                <w:szCs w:val="21"/>
                <w:lang w:val="en-US" w:eastAsia="zh-CN"/>
              </w:rPr>
              <w:t>不含油金属屑S1</w:t>
            </w:r>
            <w:r>
              <w:rPr>
                <w:rFonts w:hint="default" w:ascii="Times New Roman" w:hAnsi="Times New Roman" w:cs="Times New Roman"/>
                <w:color w:val="auto"/>
                <w:sz w:val="21"/>
                <w:szCs w:val="21"/>
              </w:rPr>
              <w:t>。</w:t>
            </w:r>
          </w:p>
          <w:p>
            <w:pPr>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压平：</w:t>
            </w:r>
            <w:r>
              <w:rPr>
                <w:rFonts w:hint="default" w:ascii="Times New Roman" w:hAnsi="Times New Roman" w:cs="Times New Roman"/>
                <w:bCs/>
                <w:color w:val="auto"/>
                <w:sz w:val="21"/>
                <w:szCs w:val="21"/>
              </w:rPr>
              <w:t>通过液压机使工件表面平整。</w:t>
            </w:r>
            <w:r>
              <w:rPr>
                <w:rFonts w:hint="default" w:ascii="Times New Roman" w:hAnsi="Times New Roman" w:cs="Times New Roman"/>
                <w:color w:val="auto"/>
                <w:sz w:val="21"/>
                <w:szCs w:val="21"/>
              </w:rPr>
              <w:t>该工艺过程会产生噪声</w:t>
            </w:r>
            <w:r>
              <w:rPr>
                <w:rFonts w:hint="default" w:ascii="Times New Roman" w:hAnsi="Times New Roman" w:cs="Times New Roman"/>
                <w:color w:val="auto"/>
                <w:sz w:val="21"/>
                <w:szCs w:val="21"/>
                <w:lang w:val="en-US" w:eastAsia="zh-CN"/>
              </w:rPr>
              <w:t>N</w:t>
            </w:r>
            <w:r>
              <w:rPr>
                <w:rFonts w:hint="default" w:ascii="Times New Roman" w:hAnsi="Times New Roman" w:cs="Times New Roman"/>
                <w:color w:val="auto"/>
                <w:sz w:val="21"/>
                <w:szCs w:val="21"/>
              </w:rPr>
              <w:t>。</w:t>
            </w:r>
          </w:p>
          <w:p>
            <w:pPr>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车床加工：</w:t>
            </w:r>
            <w:r>
              <w:rPr>
                <w:rFonts w:hint="default" w:ascii="Times New Roman" w:hAnsi="Times New Roman" w:cs="Times New Roman"/>
                <w:color w:val="auto"/>
                <w:sz w:val="21"/>
                <w:szCs w:val="21"/>
              </w:rPr>
              <w:t>将工件固定</w:t>
            </w:r>
            <w:r>
              <w:rPr>
                <w:rFonts w:hint="eastAsia" w:cs="Times New Roman"/>
                <w:color w:val="auto"/>
                <w:sz w:val="21"/>
                <w:szCs w:val="21"/>
                <w:lang w:val="en-US" w:eastAsia="zh-CN"/>
              </w:rPr>
              <w:t>在车床、CNC上</w:t>
            </w:r>
            <w:r>
              <w:rPr>
                <w:rFonts w:hint="default" w:ascii="Times New Roman" w:hAnsi="Times New Roman" w:cs="Times New Roman"/>
                <w:color w:val="auto"/>
                <w:sz w:val="21"/>
                <w:szCs w:val="21"/>
              </w:rPr>
              <w:t>，通过工件的高速旋转，车刀（</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HYPERLINK "https://baike.baidu.com/item/%E5%88%80%E6%9E%B6/10848516" \t "https://baike.baidu.com/item/%E8%BD%A6%E5%BA%8A%E5%8A%A0%E5%B7%A5/_blank"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刀架</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）的横向和纵向移动进行精度加工</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加工过程会使用切削液进行冷却。该工艺过程会产生噪声N和</w:t>
            </w:r>
            <w:r>
              <w:rPr>
                <w:rFonts w:hint="default" w:ascii="Times New Roman" w:hAnsi="Times New Roman" w:eastAsia="宋体" w:cs="Times New Roman"/>
                <w:color w:val="auto"/>
                <w:sz w:val="21"/>
                <w:szCs w:val="21"/>
                <w:lang w:val="en-US" w:eastAsia="zh-CN"/>
              </w:rPr>
              <w:t>含油金属屑S2、废切削液S3</w:t>
            </w:r>
            <w:r>
              <w:rPr>
                <w:rFonts w:hint="default" w:ascii="Times New Roman" w:hAnsi="Times New Roman" w:cs="Times New Roman"/>
                <w:color w:val="auto"/>
                <w:lang w:val="en-US" w:eastAsia="zh-CN"/>
              </w:rPr>
              <w:t>。</w:t>
            </w:r>
          </w:p>
          <w:p>
            <w:pPr>
              <w:spacing w:line="360" w:lineRule="auto"/>
              <w:ind w:firstLine="422" w:firstLineChars="20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滚齿：</w:t>
            </w:r>
            <w:r>
              <w:rPr>
                <w:rFonts w:hint="default" w:ascii="Times New Roman" w:hAnsi="Times New Roman" w:cs="Times New Roman"/>
                <w:bCs/>
                <w:color w:val="auto"/>
                <w:sz w:val="21"/>
                <w:szCs w:val="21"/>
              </w:rPr>
              <w:t>通过滚齿机对工件的外壁进行机械加工，使工件的外壁形成细齿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加工过程会使用切削液进行冷却。该工艺过程会产生噪声N和</w:t>
            </w:r>
            <w:r>
              <w:rPr>
                <w:rFonts w:hint="default" w:ascii="Times New Roman" w:hAnsi="Times New Roman" w:eastAsia="宋体" w:cs="Times New Roman"/>
                <w:color w:val="auto"/>
                <w:sz w:val="21"/>
                <w:szCs w:val="21"/>
                <w:lang w:val="en-US" w:eastAsia="zh-CN"/>
              </w:rPr>
              <w:t>含油金属屑S2、废切削液S3</w:t>
            </w:r>
            <w:r>
              <w:rPr>
                <w:rFonts w:hint="default" w:ascii="Times New Roman" w:hAnsi="Times New Roman" w:cs="Times New Roman"/>
                <w:color w:val="auto"/>
                <w:lang w:val="en-US" w:eastAsia="zh-CN"/>
              </w:rPr>
              <w:t>。</w:t>
            </w:r>
          </w:p>
          <w:p>
            <w:pPr>
              <w:spacing w:line="360" w:lineRule="auto"/>
              <w:ind w:firstLine="422" w:firstLineChars="200"/>
              <w:rPr>
                <w:rFonts w:hint="default"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eastAsia="zh-CN"/>
              </w:rPr>
              <w:t>加热</w:t>
            </w:r>
            <w:r>
              <w:rPr>
                <w:rFonts w:hint="default" w:ascii="Times New Roman" w:hAnsi="Times New Roman" w:cs="Times New Roman"/>
                <w:b/>
                <w:bCs/>
                <w:color w:val="auto"/>
                <w:sz w:val="21"/>
                <w:szCs w:val="21"/>
              </w:rPr>
              <w:t>淬火：</w:t>
            </w:r>
            <w:r>
              <w:rPr>
                <w:rFonts w:hint="default" w:ascii="Times New Roman" w:hAnsi="Times New Roman" w:cs="Times New Roman"/>
                <w:bCs/>
                <w:color w:val="auto"/>
                <w:sz w:val="21"/>
                <w:szCs w:val="21"/>
              </w:rPr>
              <w:t>利用高频感应加热炉对工件进行加热，每次加热时间为10s</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然后将加热后的工件放入自来水槽中进行淬火迅速冷却</w:t>
            </w:r>
            <w:r>
              <w:rPr>
                <w:rFonts w:hint="default" w:ascii="Times New Roman" w:hAnsi="Times New Roman" w:cs="Times New Roman"/>
                <w:bCs/>
                <w:color w:val="auto"/>
                <w:sz w:val="21"/>
                <w:szCs w:val="21"/>
              </w:rPr>
              <w:t>。淬火可以大幅提高钢的刚性、硬度、耐磨性、疲劳强度以及韧性等，从而满足各种机械零件和工具的不同使用要求。</w:t>
            </w:r>
            <w:r>
              <w:rPr>
                <w:rFonts w:hint="eastAsia" w:ascii="Times New Roman" w:hAnsi="Times New Roman" w:cs="Times New Roman"/>
                <w:bCs/>
                <w:color w:val="auto"/>
                <w:sz w:val="21"/>
                <w:szCs w:val="21"/>
                <w:lang w:val="en-US" w:eastAsia="zh-CN"/>
              </w:rPr>
              <w:t>自来水槽装载水量约1m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，槽内自来水循环使用不外排，每个月补充一次，每次补充量约为装载量的10%。</w:t>
            </w:r>
          </w:p>
          <w:p>
            <w:pPr>
              <w:adjustRightInd w:val="0"/>
              <w:snapToGrid w:val="0"/>
              <w:spacing w:line="360" w:lineRule="auto"/>
              <w:ind w:firstLine="422" w:firstLineChars="200"/>
              <w:rPr>
                <w:rFonts w:hint="default" w:ascii="Times New Roman" w:hAnsi="Times New Roman" w:cs="Times New Roman"/>
                <w:bCs/>
                <w:color w:val="auto"/>
                <w:sz w:val="21"/>
                <w:szCs w:val="21"/>
              </w:rPr>
            </w:pPr>
            <w:r>
              <w:rPr>
                <w:rFonts w:hint="default" w:ascii="Times New Roman" w:hAnsi="Times New Roman" w:cs="Times New Roman"/>
                <w:b/>
                <w:color w:val="auto"/>
                <w:sz w:val="21"/>
                <w:szCs w:val="21"/>
              </w:rPr>
              <w:t>回火：</w:t>
            </w:r>
            <w:r>
              <w:rPr>
                <w:rFonts w:hint="default" w:ascii="Times New Roman" w:hAnsi="Times New Roman" w:cs="Times New Roman"/>
                <w:bCs/>
                <w:color w:val="auto"/>
                <w:sz w:val="21"/>
                <w:szCs w:val="21"/>
              </w:rPr>
              <w:t>为了降低工件的脆性，将淬火后的工件在回火炉进行长时间的保温，回火炉采用电阻丝加热，回火温度为200℃。</w:t>
            </w:r>
          </w:p>
          <w:p>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钻孔：</w:t>
            </w:r>
            <w:r>
              <w:rPr>
                <w:rFonts w:hint="default" w:ascii="Times New Roman" w:hAnsi="Times New Roman" w:cs="Times New Roman"/>
                <w:bCs/>
                <w:color w:val="auto"/>
                <w:sz w:val="21"/>
                <w:szCs w:val="21"/>
              </w:rPr>
              <w:t>通过钻床对工件进行机械加工，使工件中间形成孔洞。</w:t>
            </w:r>
            <w:r>
              <w:rPr>
                <w:rFonts w:hint="default" w:ascii="Times New Roman" w:hAnsi="Times New Roman" w:cs="Times New Roman"/>
                <w:color w:val="auto"/>
                <w:sz w:val="21"/>
                <w:szCs w:val="21"/>
              </w:rPr>
              <w:t>该工艺过程会产生噪声</w:t>
            </w:r>
            <w:r>
              <w:rPr>
                <w:rFonts w:hint="default" w:ascii="Times New Roman" w:hAnsi="Times New Roman" w:cs="Times New Roman"/>
                <w:color w:val="auto"/>
                <w:sz w:val="21"/>
                <w:szCs w:val="21"/>
                <w:lang w:val="en-US" w:eastAsia="zh-CN"/>
              </w:rPr>
              <w:t>N</w:t>
            </w:r>
            <w:r>
              <w:rPr>
                <w:rFonts w:hint="default" w:ascii="Times New Roman" w:hAnsi="Times New Roman" w:cs="Times New Roman"/>
                <w:color w:val="auto"/>
                <w:sz w:val="21"/>
                <w:szCs w:val="21"/>
              </w:rPr>
              <w:t>和</w:t>
            </w:r>
            <w:r>
              <w:rPr>
                <w:rFonts w:hint="default" w:ascii="Times New Roman" w:hAnsi="Times New Roman" w:cs="Times New Roman"/>
                <w:color w:val="auto"/>
                <w:sz w:val="21"/>
                <w:szCs w:val="21"/>
                <w:lang w:val="en-US" w:eastAsia="zh-CN"/>
              </w:rPr>
              <w:t>不含油金属屑S1</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2" w:firstLineChars="20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bCs/>
                <w:color w:val="auto"/>
                <w:sz w:val="21"/>
                <w:szCs w:val="21"/>
                <w:lang w:val="en-US" w:eastAsia="zh-CN"/>
              </w:rPr>
              <w:t>抛丸：</w:t>
            </w:r>
            <w:r>
              <w:rPr>
                <w:rFonts w:hint="default" w:ascii="Times New Roman" w:hAnsi="Times New Roman" w:cs="Times New Roman"/>
                <w:b w:val="0"/>
                <w:bCs w:val="0"/>
                <w:color w:val="auto"/>
                <w:sz w:val="21"/>
                <w:szCs w:val="21"/>
                <w:lang w:val="en-US" w:eastAsia="zh-CN"/>
              </w:rPr>
              <w:t>通过抛丸机将钢丸高速抛落冲击在材料物体表面的一种处理技术，使工件的表面达到一定的粗糙度，让工件变得美观。该过程会产生抛丸粉尘G1和噪声N</w:t>
            </w:r>
            <w:r>
              <w:rPr>
                <w:rFonts w:hint="default" w:ascii="Times New Roman" w:hAnsi="Times New Roman" w:eastAsia="宋体" w:cs="Times New Roman"/>
                <w:b w:val="0"/>
                <w:bCs w:val="0"/>
                <w:color w:val="auto"/>
                <w:szCs w:val="21"/>
                <w:lang w:val="en-US" w:eastAsia="zh-CN"/>
              </w:rPr>
              <w:t>、废钢丸S</w:t>
            </w:r>
            <w:r>
              <w:rPr>
                <w:rFonts w:hint="default" w:ascii="Times New Roman" w:hAnsi="Times New Roman" w:cs="Times New Roman"/>
                <w:b w:val="0"/>
                <w:bCs w:val="0"/>
                <w:color w:val="auto"/>
                <w:szCs w:val="21"/>
                <w:lang w:val="en-US" w:eastAsia="zh-CN"/>
              </w:rPr>
              <w:t>4</w:t>
            </w:r>
            <w:r>
              <w:rPr>
                <w:rFonts w:hint="default" w:ascii="Times New Roman" w:hAnsi="Times New Roman" w:cs="Times New Roman"/>
                <w:b w:val="0"/>
                <w:bCs w:val="0"/>
                <w:color w:val="auto"/>
                <w:sz w:val="21"/>
                <w:szCs w:val="21"/>
                <w:lang w:val="en-US" w:eastAsia="zh-CN"/>
              </w:rPr>
              <w:t>。</w:t>
            </w:r>
          </w:p>
          <w:p>
            <w:pPr>
              <w:adjustRightInd w:val="0"/>
              <w:snapToGrid w:val="0"/>
              <w:spacing w:line="336" w:lineRule="auto"/>
              <w:ind w:firstLine="422" w:firstLineChars="200"/>
              <w:rPr>
                <w:rFonts w:hint="default" w:ascii="Times New Roman" w:hAnsi="Times New Roman" w:cs="Times New Roman"/>
                <w:bCs/>
                <w:color w:val="auto"/>
                <w:szCs w:val="21"/>
                <w:highlight w:val="none"/>
                <w:lang w:eastAsia="zh-CN"/>
              </w:rPr>
            </w:pPr>
            <w:r>
              <w:rPr>
                <w:rFonts w:hint="default" w:ascii="Times New Roman" w:hAnsi="Times New Roman" w:cs="Times New Roman"/>
                <w:b/>
                <w:bCs w:val="0"/>
                <w:color w:val="auto"/>
                <w:szCs w:val="21"/>
                <w:highlight w:val="none"/>
                <w:lang w:val="en-US" w:eastAsia="zh-CN"/>
              </w:rPr>
              <w:t>检验</w:t>
            </w:r>
            <w:r>
              <w:rPr>
                <w:rFonts w:hint="default" w:ascii="Times New Roman" w:hAnsi="Times New Roman" w:cs="Times New Roman"/>
                <w:b/>
                <w:bCs w:val="0"/>
                <w:color w:val="auto"/>
                <w:szCs w:val="21"/>
                <w:highlight w:val="none"/>
                <w:lang w:eastAsia="zh-CN"/>
              </w:rPr>
              <w:t>包装：</w:t>
            </w:r>
            <w:r>
              <w:rPr>
                <w:rFonts w:hint="default" w:ascii="Times New Roman" w:hAnsi="Times New Roman" w:cs="Times New Roman"/>
                <w:bCs/>
                <w:color w:val="auto"/>
                <w:szCs w:val="21"/>
                <w:highlight w:val="none"/>
                <w:lang w:eastAsia="zh-CN"/>
              </w:rPr>
              <w:t>工人</w:t>
            </w:r>
            <w:r>
              <w:rPr>
                <w:rFonts w:hint="default" w:ascii="Times New Roman" w:hAnsi="Times New Roman" w:cs="Times New Roman"/>
                <w:bCs/>
                <w:color w:val="auto"/>
                <w:szCs w:val="21"/>
                <w:highlight w:val="none"/>
                <w:lang w:val="en-US" w:eastAsia="zh-CN"/>
              </w:rPr>
              <w:t>对完成</w:t>
            </w:r>
            <w:r>
              <w:rPr>
                <w:rFonts w:hint="default" w:ascii="Times New Roman" w:hAnsi="Times New Roman" w:cs="Times New Roman"/>
                <w:b w:val="0"/>
                <w:bCs w:val="0"/>
                <w:color w:val="auto"/>
                <w:sz w:val="21"/>
                <w:szCs w:val="21"/>
                <w:lang w:val="en-US" w:eastAsia="zh-CN"/>
              </w:rPr>
              <w:t>抛丸</w:t>
            </w:r>
            <w:r>
              <w:rPr>
                <w:rFonts w:hint="default" w:ascii="Times New Roman" w:hAnsi="Times New Roman" w:cs="Times New Roman"/>
                <w:bCs/>
                <w:color w:val="auto"/>
                <w:szCs w:val="21"/>
                <w:highlight w:val="none"/>
                <w:lang w:val="en-US" w:eastAsia="zh-CN"/>
              </w:rPr>
              <w:t>的产品外观进行检验，检验合格的产品包装入库待售，</w:t>
            </w:r>
            <w:r>
              <w:rPr>
                <w:rFonts w:hint="default" w:ascii="Times New Roman" w:hAnsi="Times New Roman" w:cs="Times New Roman"/>
                <w:bCs/>
                <w:color w:val="auto"/>
                <w:szCs w:val="21"/>
                <w:highlight w:val="none"/>
                <w:lang w:eastAsia="zh-CN"/>
              </w:rPr>
              <w:t>此工序会产生不合格产品S</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lang w:eastAsia="zh-CN"/>
              </w:rPr>
              <w:t>。</w:t>
            </w:r>
          </w:p>
          <w:p>
            <w:pPr>
              <w:spacing w:line="360" w:lineRule="auto"/>
              <w:ind w:firstLine="420" w:firstLineChars="200"/>
              <w:rPr>
                <w:rFonts w:hint="default" w:ascii="Times New Roman" w:hAnsi="Times New Roman"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5" w:hRule="atLeast"/>
          <w:jc w:val="center"/>
        </w:trPr>
        <w:tc>
          <w:tcPr>
            <w:tcW w:w="823" w:type="dxa"/>
            <w:noWrap w:val="0"/>
            <w:vAlign w:val="center"/>
          </w:tcPr>
          <w:p>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1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拟建项目位于重庆铜梁高新技术产业开发区，</w:t>
            </w:r>
            <w:r>
              <w:rPr>
                <w:rFonts w:hint="eastAsia" w:cs="Times New Roman"/>
                <w:bCs/>
                <w:color w:val="auto"/>
                <w:szCs w:val="21"/>
                <w:lang w:val="en-US" w:eastAsia="zh-CN"/>
              </w:rPr>
              <w:t>项目所用厂房</w:t>
            </w:r>
            <w:r>
              <w:rPr>
                <w:rFonts w:hint="default" w:ascii="Times New Roman" w:hAnsi="Times New Roman" w:cs="Times New Roman"/>
                <w:bCs/>
                <w:color w:val="auto"/>
                <w:szCs w:val="21"/>
              </w:rPr>
              <w:t>为企业购买</w:t>
            </w:r>
            <w:r>
              <w:rPr>
                <w:rFonts w:hint="eastAsia" w:cs="Times New Roman"/>
                <w:bCs/>
                <w:color w:val="auto"/>
                <w:szCs w:val="21"/>
                <w:lang w:val="en-US" w:eastAsia="zh-CN"/>
              </w:rPr>
              <w:t>的</w:t>
            </w:r>
            <w:r>
              <w:rPr>
                <w:rFonts w:hint="default" w:ascii="Times New Roman" w:hAnsi="Times New Roman" w:cs="Times New Roman"/>
                <w:color w:val="auto"/>
                <w:kern w:val="2"/>
                <w:sz w:val="21"/>
                <w:szCs w:val="24"/>
                <w:lang w:val="en-US" w:eastAsia="zh-CN" w:bidi="ar-SA"/>
              </w:rPr>
              <w:t>万洋众创城智能制造产业园</w:t>
            </w:r>
            <w:r>
              <w:rPr>
                <w:rFonts w:hint="default" w:ascii="Times New Roman" w:hAnsi="Times New Roman" w:cs="Times New Roman"/>
                <w:bCs/>
                <w:color w:val="auto"/>
                <w:szCs w:val="21"/>
              </w:rPr>
              <w:t>已建标准厂房</w:t>
            </w:r>
            <w:r>
              <w:rPr>
                <w:rFonts w:hint="eastAsia" w:cs="Times New Roman"/>
                <w:bCs/>
                <w:color w:val="auto"/>
                <w:szCs w:val="21"/>
                <w:lang w:eastAsia="zh-CN"/>
              </w:rPr>
              <w:t>，</w:t>
            </w:r>
            <w:r>
              <w:rPr>
                <w:rFonts w:hint="default" w:ascii="Times New Roman" w:hAnsi="Times New Roman" w:cs="Times New Roman"/>
                <w:bCs/>
                <w:color w:val="auto"/>
                <w:szCs w:val="21"/>
              </w:rPr>
              <w:t>目前空置</w:t>
            </w:r>
            <w:r>
              <w:rPr>
                <w:rFonts w:hint="eastAsia" w:cs="Times New Roman"/>
                <w:bCs/>
                <w:color w:val="auto"/>
                <w:szCs w:val="21"/>
                <w:lang w:val="en-US" w:eastAsia="zh-CN"/>
              </w:rPr>
              <w:t>未用</w:t>
            </w:r>
            <w:r>
              <w:rPr>
                <w:rFonts w:hint="default" w:ascii="Times New Roman" w:hAnsi="Times New Roman" w:cs="Times New Roman"/>
                <w:bCs/>
                <w:color w:val="auto"/>
                <w:szCs w:val="21"/>
              </w:rPr>
              <w:t>，项目周边为其他标准厂房。项目评价范围内无自然保护区、风景旅游区、名胜古迹等。项目占地范围无珍稀野生动植物分布，不存在遗留的环境问题。</w:t>
            </w:r>
          </w:p>
        </w:tc>
      </w:tr>
    </w:tbl>
    <w:p>
      <w:pPr>
        <w:pStyle w:val="23"/>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.1环境空气质量现状</w:t>
            </w:r>
          </w:p>
          <w:p>
            <w:pPr>
              <w:adjustRightInd w:val="0"/>
              <w:snapToGrid w:val="0"/>
              <w:spacing w:line="360" w:lineRule="auto"/>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本评价引用重庆市生态环境局公布的20</w:t>
            </w:r>
            <w:r>
              <w:rPr>
                <w:rFonts w:hint="default" w:ascii="Times New Roman" w:hAnsi="Times New Roman" w:cs="Times New Roman"/>
                <w:color w:val="auto"/>
                <w:szCs w:val="21"/>
                <w:highlight w:val="none"/>
                <w:shd w:val="clear" w:color="auto" w:fill="auto"/>
                <w:lang w:val="en-US" w:eastAsia="zh-CN"/>
              </w:rPr>
              <w:t>22</w:t>
            </w:r>
            <w:r>
              <w:rPr>
                <w:rFonts w:hint="default" w:ascii="Times New Roman" w:hAnsi="Times New Roman" w:cs="Times New Roman"/>
                <w:color w:val="auto"/>
                <w:szCs w:val="21"/>
                <w:highlight w:val="none"/>
                <w:shd w:val="clear" w:color="auto" w:fill="auto"/>
              </w:rPr>
              <w:t>重庆市环境状况公报中</w:t>
            </w:r>
            <w:r>
              <w:rPr>
                <w:rFonts w:hint="default" w:ascii="Times New Roman" w:hAnsi="Times New Roman" w:cs="Times New Roman"/>
                <w:color w:val="auto"/>
                <w:szCs w:val="21"/>
                <w:highlight w:val="none"/>
                <w:shd w:val="clear" w:color="auto" w:fill="auto"/>
                <w:lang w:eastAsia="zh-CN"/>
              </w:rPr>
              <w:t>铜梁</w:t>
            </w:r>
            <w:r>
              <w:rPr>
                <w:rFonts w:hint="default" w:ascii="Times New Roman" w:hAnsi="Times New Roman" w:cs="Times New Roman"/>
                <w:color w:val="auto"/>
                <w:szCs w:val="21"/>
                <w:highlight w:val="none"/>
                <w:shd w:val="clear" w:color="auto" w:fill="auto"/>
              </w:rPr>
              <w:t>区环境空气质量现状数据，区域空气质量现状评价见表3-1。</w:t>
            </w:r>
          </w:p>
          <w:p>
            <w:pPr>
              <w:adjustRightInd w:val="0"/>
              <w:snapToGrid w:val="0"/>
              <w:spacing w:line="460" w:lineRule="exact"/>
              <w:jc w:val="center"/>
              <w:rPr>
                <w:rFonts w:hint="default" w:ascii="Times New Roman" w:hAnsi="Times New Roman" w:cs="Times New Roman"/>
                <w:b/>
                <w:bCs/>
                <w:color w:val="auto"/>
                <w:szCs w:val="21"/>
                <w:highlight w:val="none"/>
                <w:shd w:val="clear" w:color="auto" w:fill="auto"/>
              </w:rPr>
            </w:pPr>
            <w:r>
              <w:rPr>
                <w:rFonts w:hint="default" w:ascii="Times New Roman" w:hAnsi="Times New Roman" w:cs="Times New Roman"/>
                <w:b/>
                <w:bCs/>
                <w:color w:val="auto"/>
                <w:szCs w:val="21"/>
                <w:highlight w:val="none"/>
                <w:shd w:val="clear" w:color="auto" w:fill="auto"/>
              </w:rPr>
              <w:t>表3-1  20</w:t>
            </w:r>
            <w:r>
              <w:rPr>
                <w:rFonts w:hint="default" w:ascii="Times New Roman" w:hAnsi="Times New Roman" w:cs="Times New Roman"/>
                <w:b/>
                <w:bCs/>
                <w:color w:val="auto"/>
                <w:szCs w:val="21"/>
                <w:highlight w:val="none"/>
                <w:shd w:val="clear" w:color="auto" w:fill="auto"/>
                <w:lang w:val="en-US" w:eastAsia="zh-CN"/>
              </w:rPr>
              <w:t>22</w:t>
            </w:r>
            <w:r>
              <w:rPr>
                <w:rFonts w:hint="default" w:ascii="Times New Roman" w:hAnsi="Times New Roman" w:cs="Times New Roman"/>
                <w:b/>
                <w:bCs/>
                <w:color w:val="auto"/>
                <w:szCs w:val="21"/>
                <w:highlight w:val="none"/>
                <w:shd w:val="clear" w:color="auto" w:fill="auto"/>
              </w:rPr>
              <w:t>年度</w:t>
            </w:r>
            <w:r>
              <w:rPr>
                <w:rFonts w:hint="default" w:ascii="Times New Roman" w:hAnsi="Times New Roman" w:cs="Times New Roman"/>
                <w:b/>
                <w:bCs/>
                <w:color w:val="auto"/>
                <w:szCs w:val="21"/>
                <w:highlight w:val="none"/>
                <w:shd w:val="clear" w:color="auto" w:fill="auto"/>
                <w:lang w:eastAsia="zh-CN"/>
              </w:rPr>
              <w:t>区域空气质</w:t>
            </w:r>
            <w:r>
              <w:rPr>
                <w:rFonts w:hint="default" w:ascii="Times New Roman" w:hAnsi="Times New Roman" w:cs="Times New Roman"/>
                <w:b/>
                <w:bCs/>
                <w:color w:val="auto"/>
                <w:szCs w:val="21"/>
                <w:highlight w:val="none"/>
                <w:shd w:val="clear" w:color="auto" w:fill="auto"/>
              </w:rPr>
              <w:t>量现状</w:t>
            </w:r>
          </w:p>
          <w:tbl>
            <w:tblPr>
              <w:tblStyle w:val="27"/>
              <w:tblW w:w="4998"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3"/>
              <w:gridCol w:w="1324"/>
              <w:gridCol w:w="1237"/>
              <w:gridCol w:w="1208"/>
              <w:gridCol w:w="1275"/>
              <w:gridCol w:w="899"/>
              <w:gridCol w:w="9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污染物</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年评价指标</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评价标准（ug/m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vertAlign w:val="baseline"/>
                      <w:lang w:val="en-US" w:eastAsia="zh-CN"/>
                    </w:rPr>
                    <w:t>）</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现状浓度（ug/m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vertAlign w:val="baseline"/>
                      <w:lang w:val="en-US" w:eastAsia="zh-CN"/>
                    </w:rPr>
                    <w:t>）</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最大浓度占标率（%）</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超标</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倍数</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SO2</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年日均值</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60</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11</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18</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NO2</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年日均值</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40</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27</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67.5</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PM10</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年日均值</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70</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53</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75.7</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PM2.5</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年日均值</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35</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34</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97.1</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CO</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小时平均值</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4000</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1000</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25</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69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O3</w:t>
                  </w:r>
                </w:p>
              </w:tc>
              <w:tc>
                <w:tcPr>
                  <w:tcW w:w="83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日最大8小时平均值</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160</w:t>
                  </w:r>
                </w:p>
              </w:tc>
              <w:tc>
                <w:tcPr>
                  <w:tcW w:w="75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149</w:t>
                  </w:r>
                </w:p>
              </w:tc>
              <w:tc>
                <w:tcPr>
                  <w:tcW w:w="80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93.1</w:t>
                  </w:r>
                </w:p>
              </w:tc>
              <w:tc>
                <w:tcPr>
                  <w:tcW w:w="5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由上表可知，本项目所在地铜梁区基本污染物SO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r>
              <w:rPr>
                <w:rFonts w:hint="default" w:ascii="Times New Roman" w:hAnsi="Times New Roman" w:cs="Times New Roman"/>
                <w:bCs/>
                <w:color w:val="auto"/>
                <w:sz w:val="21"/>
                <w:szCs w:val="21"/>
              </w:rPr>
              <w:t>NO</w:t>
            </w:r>
            <w:r>
              <w:rPr>
                <w:rFonts w:hint="default" w:ascii="Times New Roman" w:hAnsi="Times New Roman" w:cs="Times New Roman"/>
                <w:bCs/>
                <w:color w:val="auto"/>
                <w:sz w:val="21"/>
                <w:szCs w:val="21"/>
                <w:vertAlign w:val="subscript"/>
              </w:rPr>
              <w:t>2</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bscript"/>
              </w:rPr>
              <w:t>3</w:t>
            </w:r>
            <w:r>
              <w:rPr>
                <w:rFonts w:hint="eastAsia" w:cs="Times New Roman"/>
                <w:color w:val="auto"/>
                <w:sz w:val="21"/>
                <w:szCs w:val="21"/>
                <w:vertAlign w:val="baseline"/>
                <w:lang w:val="en-US" w:eastAsia="zh-CN"/>
              </w:rPr>
              <w:t>满足</w:t>
            </w:r>
            <w:r>
              <w:rPr>
                <w:rFonts w:hint="default" w:ascii="Times New Roman" w:hAnsi="Times New Roman" w:cs="Times New Roman"/>
                <w:color w:val="auto"/>
                <w:sz w:val="21"/>
                <w:szCs w:val="21"/>
              </w:rPr>
              <w:t>《环境空气质量标准》(GB3095-2012)二级标准，属于达标区。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.2地表水环境质量现状</w:t>
            </w:r>
          </w:p>
          <w:p>
            <w:pPr>
              <w:pStyle w:val="87"/>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根据现场调查，项目废水最终受纳水体为淮远河。根据《重庆市人民政府批转重庆市地表水环境功能类别调整方案的通知》（渝环发</w:t>
            </w:r>
            <w:r>
              <w:rPr>
                <w:rFonts w:hint="eastAsia" w:cs="Times New Roman"/>
                <w:bCs w:val="0"/>
                <w:color w:val="auto"/>
                <w:kern w:val="2"/>
                <w:sz w:val="21"/>
                <w:szCs w:val="21"/>
                <w:lang w:val="en-US" w:eastAsia="zh-CN" w:bidi="ar-SA"/>
              </w:rPr>
              <w:t>〔</w:t>
            </w:r>
            <w:r>
              <w:rPr>
                <w:rFonts w:hint="default" w:ascii="Times New Roman" w:hAnsi="Times New Roman" w:eastAsia="宋体" w:cs="Times New Roman"/>
                <w:bCs w:val="0"/>
                <w:color w:val="auto"/>
                <w:kern w:val="2"/>
                <w:sz w:val="21"/>
                <w:szCs w:val="21"/>
                <w:lang w:val="en-US" w:eastAsia="zh-CN" w:bidi="ar-SA"/>
              </w:rPr>
              <w:t>2012</w:t>
            </w:r>
            <w:r>
              <w:rPr>
                <w:rFonts w:hint="eastAsia" w:cs="Times New Roman"/>
                <w:bCs w:val="0"/>
                <w:color w:val="auto"/>
                <w:kern w:val="2"/>
                <w:sz w:val="21"/>
                <w:szCs w:val="21"/>
                <w:lang w:val="en-US" w:eastAsia="zh-CN" w:bidi="ar-SA"/>
              </w:rPr>
              <w:t>〕</w:t>
            </w:r>
            <w:r>
              <w:rPr>
                <w:rFonts w:hint="default" w:ascii="Times New Roman" w:hAnsi="Times New Roman" w:eastAsia="宋体" w:cs="Times New Roman"/>
                <w:bCs w:val="0"/>
                <w:color w:val="auto"/>
                <w:kern w:val="2"/>
                <w:sz w:val="21"/>
                <w:szCs w:val="21"/>
                <w:lang w:val="en-US" w:eastAsia="zh-CN" w:bidi="ar-SA"/>
              </w:rPr>
              <w:t>4号），淮远河属于Ⅳ类水域，为渔业用水和农业灌溉用水，执行《地表水环境质量标准》（GB3838-2002）中的Ⅳ类水域标准。</w:t>
            </w:r>
          </w:p>
          <w:p>
            <w:pPr>
              <w:pStyle w:val="87"/>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val="0"/>
                <w:color w:val="auto"/>
                <w:kern w:val="2"/>
                <w:sz w:val="21"/>
                <w:szCs w:val="21"/>
                <w:lang w:val="en-US" w:eastAsia="zh-CN" w:bidi="ar-SA"/>
              </w:rPr>
            </w:pPr>
            <w:r>
              <w:rPr>
                <w:rFonts w:hint="default" w:ascii="Times New Roman" w:hAnsi="Times New Roman" w:eastAsia="宋体" w:cs="Times New Roman"/>
                <w:bCs w:val="0"/>
                <w:color w:val="auto"/>
                <w:kern w:val="2"/>
                <w:sz w:val="21"/>
                <w:szCs w:val="21"/>
                <w:lang w:val="en-US" w:eastAsia="zh-CN" w:bidi="ar-SA"/>
              </w:rPr>
              <w:t>根据重庆市铜梁区生态环境局2023年06月07日在重庆市铜梁区人民政府网网站上对外公布公示的《2023年4月铜梁区水环境质量状况》（网址：</w:t>
            </w:r>
            <w:r>
              <w:rPr>
                <w:rFonts w:hint="default" w:ascii="Times New Roman" w:hAnsi="Times New Roman" w:eastAsia="宋体" w:cs="Times New Roman"/>
                <w:bCs w:val="0"/>
                <w:color w:val="auto"/>
                <w:kern w:val="2"/>
                <w:sz w:val="21"/>
                <w:szCs w:val="21"/>
                <w:lang w:val="en-US" w:eastAsia="zh-CN" w:bidi="ar-SA"/>
              </w:rPr>
              <w:fldChar w:fldCharType="begin"/>
            </w:r>
            <w:r>
              <w:rPr>
                <w:rFonts w:hint="default" w:ascii="Times New Roman" w:hAnsi="Times New Roman" w:eastAsia="宋体" w:cs="Times New Roman"/>
                <w:bCs w:val="0"/>
                <w:color w:val="auto"/>
                <w:kern w:val="2"/>
                <w:sz w:val="21"/>
                <w:szCs w:val="21"/>
                <w:lang w:val="en-US" w:eastAsia="zh-CN" w:bidi="ar-SA"/>
              </w:rPr>
              <w:instrText xml:space="preserve"> HYPERLINK "https://www.cqstl.gov.cn/bm/qsthjj_71108/zwgk_7083" </w:instrText>
            </w:r>
            <w:r>
              <w:rPr>
                <w:rFonts w:hint="default" w:ascii="Times New Roman" w:hAnsi="Times New Roman" w:eastAsia="宋体" w:cs="Times New Roman"/>
                <w:bCs w:val="0"/>
                <w:color w:val="auto"/>
                <w:kern w:val="2"/>
                <w:sz w:val="21"/>
                <w:szCs w:val="21"/>
                <w:lang w:val="en-US" w:eastAsia="zh-CN" w:bidi="ar-SA"/>
              </w:rPr>
              <w:fldChar w:fldCharType="separate"/>
            </w:r>
            <w:r>
              <w:rPr>
                <w:rFonts w:hint="default" w:ascii="Times New Roman" w:hAnsi="Times New Roman" w:eastAsia="宋体" w:cs="Times New Roman"/>
                <w:bCs w:val="0"/>
                <w:color w:val="auto"/>
                <w:kern w:val="2"/>
                <w:sz w:val="21"/>
                <w:szCs w:val="21"/>
                <w:lang w:val="en-US" w:eastAsia="zh-CN" w:bidi="ar-SA"/>
              </w:rPr>
              <w:t>https://www.cqstl.gov.cn/bm/qsthjj_71108/zwgk_7083</w:t>
            </w:r>
            <w:r>
              <w:rPr>
                <w:rFonts w:hint="default" w:ascii="Times New Roman" w:hAnsi="Times New Roman" w:eastAsia="宋体" w:cs="Times New Roman"/>
                <w:bCs w:val="0"/>
                <w:color w:val="auto"/>
                <w:kern w:val="2"/>
                <w:sz w:val="21"/>
                <w:szCs w:val="21"/>
                <w:lang w:val="en-US" w:eastAsia="zh-CN" w:bidi="ar-SA"/>
              </w:rPr>
              <w:fldChar w:fldCharType="end"/>
            </w:r>
            <w:r>
              <w:rPr>
                <w:rFonts w:hint="default" w:ascii="Times New Roman" w:hAnsi="Times New Roman" w:eastAsia="宋体" w:cs="Times New Roman"/>
                <w:bCs w:val="0"/>
                <w:color w:val="auto"/>
                <w:kern w:val="2"/>
                <w:sz w:val="21"/>
                <w:szCs w:val="21"/>
                <w:lang w:val="en-US" w:eastAsia="zh-CN" w:bidi="ar-SA"/>
              </w:rPr>
              <w:t>1/fdzdgknr_70834/jdjc/jdjc/202306/t20230607_12039927.html），淮远河-众志桥断面地表水水质类别达到《地表水环境质量标准》（GB3838-2002）Ⅳ类水域水质标准限值要求，为水环境达标区。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.3声环境质量现状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本项目位于</w:t>
            </w:r>
            <w:r>
              <w:rPr>
                <w:rFonts w:hint="default" w:ascii="Times New Roman" w:hAnsi="Times New Roman" w:cs="Times New Roman"/>
                <w:color w:val="auto"/>
                <w:sz w:val="21"/>
                <w:szCs w:val="21"/>
              </w:rPr>
              <w:t>《声环境质量标准》（GB3096-2008）</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w:t>
            </w:r>
            <w:r>
              <w:rPr>
                <w:rFonts w:hint="default" w:ascii="Times New Roman" w:hAnsi="Times New Roman" w:cs="Times New Roman"/>
                <w:color w:val="auto"/>
                <w:sz w:val="21"/>
                <w:szCs w:val="21"/>
                <w:lang w:eastAsia="zh-CN"/>
              </w:rPr>
              <w:t>声功能区，</w:t>
            </w:r>
            <w:r>
              <w:rPr>
                <w:rFonts w:hint="default" w:ascii="Times New Roman" w:hAnsi="Times New Roman" w:cs="Times New Roman"/>
                <w:color w:val="auto"/>
                <w:szCs w:val="21"/>
                <w:highlight w:val="none"/>
              </w:rPr>
              <w:t>项目厂界外50m范围内无声环境保护目标，</w:t>
            </w:r>
            <w:r>
              <w:rPr>
                <w:rFonts w:hint="default" w:ascii="Times New Roman" w:hAnsi="Times New Roman" w:cs="Times New Roman"/>
                <w:color w:val="auto"/>
                <w:szCs w:val="21"/>
                <w:highlight w:val="none"/>
                <w:lang w:eastAsia="zh-CN"/>
              </w:rPr>
              <w:t>根据《建设项目环境影响报告表编制技术指南（污染影响类）（试行）》，可</w:t>
            </w:r>
            <w:r>
              <w:rPr>
                <w:rFonts w:hint="default" w:ascii="Times New Roman" w:hAnsi="Times New Roman" w:cs="Times New Roman"/>
                <w:color w:val="auto"/>
                <w:szCs w:val="21"/>
                <w:highlight w:val="none"/>
              </w:rPr>
              <w:t>不对声环境质量现状进行监测</w:t>
            </w:r>
            <w:r>
              <w:rPr>
                <w:rFonts w:hint="default" w:ascii="Times New Roman" w:hAnsi="Times New Roman" w:cs="Times New Roman"/>
                <w:color w:val="auto"/>
                <w:szCs w:val="21"/>
                <w:highlight w:val="none"/>
                <w:lang w:eastAsia="zh-CN"/>
              </w:rPr>
              <w:t>。</w:t>
            </w:r>
          </w:p>
          <w:p>
            <w:pPr>
              <w:pStyle w:val="11"/>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cs="Times New Roman"/>
                <w:b/>
                <w:bCs/>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3.4地下水、土壤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本项目对厂区进行分区防渗，对</w:t>
            </w:r>
            <w:r>
              <w:rPr>
                <w:rFonts w:hint="default" w:ascii="Times New Roman" w:hAnsi="Times New Roman" w:cs="Times New Roman"/>
                <w:bCs/>
                <w:color w:val="auto"/>
                <w:sz w:val="21"/>
                <w:szCs w:val="21"/>
                <w:lang w:eastAsia="zh-CN"/>
              </w:rPr>
              <w:t>危废暂存间、油品存储区、</w:t>
            </w:r>
            <w:r>
              <w:rPr>
                <w:rFonts w:hint="default" w:ascii="Times New Roman" w:hAnsi="Times New Roman" w:cs="Times New Roman"/>
                <w:b w:val="0"/>
                <w:bCs w:val="0"/>
                <w:color w:val="auto"/>
                <w:sz w:val="21"/>
                <w:szCs w:val="21"/>
                <w:lang w:val="en-US" w:eastAsia="zh-CN"/>
              </w:rPr>
              <w:t>隔油池</w:t>
            </w:r>
            <w:r>
              <w:rPr>
                <w:rFonts w:hint="default" w:ascii="Times New Roman" w:hAnsi="Times New Roman" w:cs="Times New Roman"/>
                <w:color w:val="auto"/>
                <w:kern w:val="2"/>
                <w:sz w:val="21"/>
                <w:szCs w:val="24"/>
                <w:lang w:val="en-US" w:eastAsia="zh-CN" w:bidi="ar-SA"/>
              </w:rPr>
              <w:t>进行重点防渗处理，危险废物严格按照《危险废物贮存污染控制标准》（GB18597-2023)进行管理。在采取以上措施后，项目基本无污染土壤及地下水环境影响途径，可不开展地下水及土壤现状调查。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46"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目标</w:t>
            </w:r>
          </w:p>
        </w:tc>
        <w:tc>
          <w:tcPr>
            <w:tcW w:w="8190" w:type="dxa"/>
            <w:noWrap w:val="0"/>
            <w:vAlign w:val="center"/>
          </w:tcPr>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color w:val="auto"/>
                <w:kern w:val="44"/>
                <w:sz w:val="21"/>
                <w:szCs w:val="21"/>
                <w:lang w:val="en-US" w:eastAsia="zh-CN"/>
              </w:rPr>
            </w:pPr>
            <w:r>
              <w:rPr>
                <w:rFonts w:hint="default" w:ascii="Times New Roman" w:hAnsi="Times New Roman" w:eastAsia="宋体" w:cs="Times New Roman"/>
                <w:b/>
                <w:color w:val="auto"/>
                <w:kern w:val="44"/>
                <w:sz w:val="21"/>
                <w:szCs w:val="21"/>
                <w:lang w:val="en-US" w:eastAsia="zh-CN"/>
              </w:rPr>
              <w:t>3.</w:t>
            </w:r>
            <w:r>
              <w:rPr>
                <w:rFonts w:hint="eastAsia" w:eastAsia="宋体" w:cs="Times New Roman"/>
                <w:b/>
                <w:color w:val="auto"/>
                <w:kern w:val="44"/>
                <w:sz w:val="21"/>
                <w:szCs w:val="21"/>
                <w:lang w:val="en-US" w:eastAsia="zh-CN"/>
              </w:rPr>
              <w:t>5</w:t>
            </w:r>
            <w:r>
              <w:rPr>
                <w:rFonts w:hint="default" w:ascii="Times New Roman" w:hAnsi="Times New Roman" w:eastAsia="宋体" w:cs="Times New Roman"/>
                <w:b/>
                <w:color w:val="auto"/>
                <w:kern w:val="44"/>
                <w:sz w:val="21"/>
                <w:szCs w:val="21"/>
                <w:lang w:val="en-US" w:eastAsia="zh-CN"/>
              </w:rPr>
              <w:t>主要环境敏感点和环境保护目标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bidi="ar"/>
              </w:rPr>
              <w:t>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本项目位于铜梁区高新区万洋众创城智能制造产业园内，周边均为规划工业用地，居民基本已进行搬迁安置。根据现场踏勘，厂界外500m范围内</w:t>
            </w:r>
            <w:r>
              <w:rPr>
                <w:rFonts w:hint="default" w:ascii="Times New Roman" w:hAnsi="Times New Roman" w:cs="Times New Roman"/>
                <w:color w:val="auto"/>
                <w:sz w:val="21"/>
                <w:szCs w:val="21"/>
                <w:lang w:eastAsia="zh-CN" w:bidi="ar"/>
              </w:rPr>
              <w:t>无</w:t>
            </w:r>
            <w:r>
              <w:rPr>
                <w:rFonts w:hint="default" w:ascii="Times New Roman" w:hAnsi="Times New Roman" w:cs="Times New Roman"/>
                <w:color w:val="auto"/>
                <w:sz w:val="21"/>
                <w:szCs w:val="21"/>
                <w:lang w:eastAsia="zh-CN"/>
              </w:rPr>
              <w:t>居民区、</w:t>
            </w:r>
            <w:r>
              <w:rPr>
                <w:rFonts w:hint="default" w:ascii="Times New Roman" w:hAnsi="Times New Roman" w:eastAsia="宋体" w:cs="Times New Roman"/>
                <w:color w:val="auto"/>
                <w:sz w:val="21"/>
                <w:szCs w:val="21"/>
                <w:lang w:bidi="ar"/>
              </w:rPr>
              <w:t>自然保护区、风景名胜区、文化区</w:t>
            </w:r>
            <w:r>
              <w:rPr>
                <w:rFonts w:hint="default" w:ascii="Times New Roman" w:hAnsi="Times New Roman" w:eastAsia="宋体" w:cs="Times New Roman"/>
                <w:color w:val="auto"/>
                <w:sz w:val="21"/>
                <w:szCs w:val="21"/>
                <w:lang w:eastAsia="zh-CN" w:bidi="ar"/>
              </w:rPr>
              <w:t>等</w:t>
            </w:r>
            <w:r>
              <w:rPr>
                <w:rFonts w:hint="default" w:ascii="Times New Roman" w:hAnsi="Times New Roman" w:cs="Times New Roman"/>
                <w:color w:val="auto"/>
                <w:sz w:val="21"/>
                <w:szCs w:val="21"/>
                <w:lang w:eastAsia="zh-CN" w:bidi="ar"/>
              </w:rPr>
              <w:t>其他</w:t>
            </w:r>
            <w:r>
              <w:rPr>
                <w:rFonts w:hint="default" w:ascii="Times New Roman" w:hAnsi="Times New Roman" w:eastAsia="宋体" w:cs="Times New Roman"/>
                <w:color w:val="auto"/>
                <w:sz w:val="21"/>
                <w:szCs w:val="21"/>
                <w:lang w:eastAsia="zh-CN" w:bidi="ar"/>
              </w:rPr>
              <w:t>大气敏感目标</w:t>
            </w:r>
            <w:r>
              <w:rPr>
                <w:rFonts w:hint="default" w:ascii="Times New Roman" w:hAnsi="Times New Roman" w:eastAsia="宋体" w:cs="Times New Roman"/>
                <w:color w:val="auto"/>
                <w:sz w:val="21"/>
                <w:szCs w:val="21"/>
                <w:lang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2、地表水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本项目</w:t>
            </w:r>
            <w:r>
              <w:rPr>
                <w:rFonts w:hint="default" w:ascii="Times New Roman" w:hAnsi="Times New Roman" w:eastAsia="宋体" w:cs="Times New Roman"/>
                <w:color w:val="auto"/>
                <w:sz w:val="21"/>
                <w:szCs w:val="21"/>
                <w:lang w:bidi="ar"/>
              </w:rPr>
              <w:t>外排废水为间接排放，</w:t>
            </w:r>
            <w:r>
              <w:rPr>
                <w:rFonts w:hint="default" w:ascii="Times New Roman" w:hAnsi="Times New Roman" w:eastAsia="宋体" w:cs="Times New Roman"/>
                <w:color w:val="auto"/>
                <w:sz w:val="21"/>
                <w:szCs w:val="21"/>
                <w:lang w:eastAsia="zh-CN" w:bidi="ar"/>
              </w:rPr>
              <w:t>不涉及地表水敏感目标。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bidi="ar"/>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拟建项目厂界外50m范围内无声环境保护目标</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
              </w:rPr>
              <w:t>4</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bidi="ar"/>
              </w:rPr>
              <w:t>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bidi="ar"/>
              </w:rPr>
            </w:pPr>
            <w:r>
              <w:rPr>
                <w:rFonts w:hint="default" w:ascii="Times New Roman" w:hAnsi="Times New Roman" w:cs="Times New Roman"/>
                <w:color w:val="auto"/>
              </w:rPr>
              <w:t>本项目</w:t>
            </w:r>
            <w:r>
              <w:rPr>
                <w:rFonts w:hint="default" w:ascii="Times New Roman" w:hAnsi="Times New Roman" w:eastAsia="宋体" w:cs="Times New Roman"/>
                <w:color w:val="auto"/>
                <w:sz w:val="21"/>
                <w:szCs w:val="21"/>
                <w:lang w:bidi="ar"/>
              </w:rPr>
              <w:t>厂界外500m范围内无地下水集中式饮用水水源和热水、矿泉水、温泉等特殊地下水资源。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
              </w:rPr>
              <w:t>5</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bidi="ar"/>
              </w:rPr>
              <w:t>生态环境</w:t>
            </w:r>
          </w:p>
          <w:p>
            <w:pPr>
              <w:pStyle w:val="11"/>
              <w:ind w:firstLine="420" w:firstLineChars="200"/>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eastAsia="zh-CN" w:bidi="ar"/>
              </w:rPr>
              <w:t>本项目</w:t>
            </w:r>
            <w:r>
              <w:rPr>
                <w:rFonts w:hint="default" w:ascii="Times New Roman" w:hAnsi="Times New Roman" w:cs="Times New Roman"/>
                <w:color w:val="auto"/>
                <w:sz w:val="21"/>
                <w:szCs w:val="21"/>
                <w:lang w:val="en-US" w:eastAsia="zh-CN" w:bidi="ar"/>
              </w:rPr>
              <w:t>购置</w:t>
            </w:r>
            <w:r>
              <w:rPr>
                <w:rFonts w:hint="default" w:ascii="Times New Roman" w:hAnsi="Times New Roman" w:eastAsia="宋体" w:cs="Times New Roman"/>
                <w:color w:val="auto"/>
                <w:sz w:val="21"/>
                <w:szCs w:val="21"/>
                <w:lang w:eastAsia="zh-CN" w:bidi="ar"/>
              </w:rPr>
              <w:t>已建厂房，不涉及新增用地，</w:t>
            </w:r>
            <w:r>
              <w:rPr>
                <w:rFonts w:hint="default" w:ascii="Times New Roman" w:hAnsi="Times New Roman" w:cs="Times New Roman"/>
                <w:color w:val="auto"/>
                <w:sz w:val="21"/>
                <w:szCs w:val="21"/>
                <w:lang w:eastAsia="zh-CN" w:bidi="ar"/>
              </w:rPr>
              <w:t>不涉及</w:t>
            </w:r>
            <w:r>
              <w:rPr>
                <w:rFonts w:hint="default" w:ascii="Times New Roman" w:hAnsi="Times New Roman" w:eastAsia="宋体" w:cs="Times New Roman"/>
                <w:color w:val="auto"/>
                <w:sz w:val="21"/>
                <w:szCs w:val="21"/>
                <w:lang w:bidi="ar"/>
              </w:rPr>
              <w:t>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4"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center"/>
          </w:tcPr>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color w:val="auto"/>
                <w:kern w:val="44"/>
                <w:sz w:val="21"/>
                <w:szCs w:val="21"/>
              </w:rPr>
            </w:pPr>
            <w:r>
              <w:rPr>
                <w:rFonts w:hint="default" w:ascii="Times New Roman" w:hAnsi="Times New Roman" w:eastAsia="宋体" w:cs="Times New Roman"/>
                <w:b/>
                <w:color w:val="auto"/>
                <w:kern w:val="44"/>
                <w:sz w:val="21"/>
                <w:szCs w:val="21"/>
                <w:lang w:val="en-US" w:eastAsia="zh-CN"/>
              </w:rPr>
              <w:t>3.</w:t>
            </w:r>
            <w:r>
              <w:rPr>
                <w:rFonts w:hint="eastAsia" w:eastAsia="宋体" w:cs="Times New Roman"/>
                <w:b/>
                <w:color w:val="auto"/>
                <w:kern w:val="44"/>
                <w:sz w:val="21"/>
                <w:szCs w:val="21"/>
                <w:lang w:val="en-US" w:eastAsia="zh-CN"/>
              </w:rPr>
              <w:t>6</w:t>
            </w:r>
            <w:r>
              <w:rPr>
                <w:rFonts w:hint="default" w:ascii="Times New Roman" w:hAnsi="Times New Roman" w:eastAsia="宋体" w:cs="Times New Roman"/>
                <w:b/>
                <w:color w:val="auto"/>
                <w:kern w:val="44"/>
                <w:sz w:val="21"/>
                <w:szCs w:val="21"/>
              </w:rPr>
              <w:t>废水</w:t>
            </w:r>
          </w:p>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right="0" w:firstLine="420" w:firstLineChars="200"/>
              <w:jc w:val="both"/>
              <w:textAlignment w:val="baseline"/>
              <w:rPr>
                <w:rFonts w:hint="default" w:ascii="Times New Roman" w:hAnsi="Times New Roman" w:eastAsia="宋体" w:cs="Times New Roman"/>
                <w:b w:val="0"/>
                <w:color w:val="auto"/>
                <w:kern w:val="2"/>
                <w:sz w:val="21"/>
                <w:szCs w:val="21"/>
              </w:rPr>
            </w:pPr>
            <w:r>
              <w:rPr>
                <w:rFonts w:hint="default" w:ascii="Times New Roman" w:hAnsi="Times New Roman" w:eastAsia="宋体" w:cs="Times New Roman"/>
                <w:b w:val="0"/>
                <w:color w:val="auto"/>
                <w:kern w:val="2"/>
                <w:sz w:val="21"/>
                <w:szCs w:val="21"/>
                <w:lang w:val="en-US" w:eastAsia="zh-CN" w:bidi="ar"/>
              </w:rPr>
              <w:t>本项目</w:t>
            </w:r>
            <w:r>
              <w:rPr>
                <w:rFonts w:hint="default" w:ascii="Times New Roman" w:hAnsi="Times New Roman" w:cs="Times New Roman"/>
                <w:color w:val="auto"/>
                <w:sz w:val="21"/>
                <w:szCs w:val="21"/>
                <w:lang w:val="en-US" w:eastAsia="zh-CN"/>
              </w:rPr>
              <w:t>地面清洁废水</w:t>
            </w:r>
            <w:r>
              <w:rPr>
                <w:rFonts w:hint="eastAsia"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eastAsia="宋体" w:cs="Times New Roman"/>
                <w:bCs/>
                <w:color w:val="auto"/>
                <w:sz w:val="21"/>
                <w:szCs w:val="21"/>
              </w:rPr>
              <w:t>生活污水</w:t>
            </w:r>
            <w:r>
              <w:rPr>
                <w:rFonts w:hint="eastAsia" w:cs="Times New Roman"/>
                <w:bCs/>
                <w:color w:val="auto"/>
                <w:sz w:val="21"/>
                <w:szCs w:val="21"/>
                <w:lang w:val="en-US" w:eastAsia="zh-CN"/>
              </w:rPr>
              <w:t>一起</w:t>
            </w:r>
            <w:r>
              <w:rPr>
                <w:rFonts w:hint="default" w:ascii="Times New Roman" w:hAnsi="Times New Roman" w:eastAsia="宋体" w:cs="Times New Roman"/>
                <w:b w:val="0"/>
                <w:color w:val="auto"/>
                <w:kern w:val="2"/>
                <w:sz w:val="21"/>
                <w:szCs w:val="21"/>
                <w:lang w:val="en-US" w:eastAsia="zh-CN" w:bidi="ar"/>
              </w:rPr>
              <w:t>依托万洋众创城智能制造产业园内</w:t>
            </w:r>
            <w:r>
              <w:rPr>
                <w:rFonts w:hint="eastAsia" w:ascii="Times New Roman" w:hAnsi="Times New Roman" w:cs="Times New Roman"/>
                <w:b w:val="0"/>
                <w:color w:val="auto"/>
                <w:kern w:val="2"/>
                <w:sz w:val="21"/>
                <w:szCs w:val="21"/>
                <w:lang w:val="en-US" w:eastAsia="zh-CN" w:bidi="ar"/>
              </w:rPr>
              <w:t>已建</w:t>
            </w:r>
            <w:r>
              <w:rPr>
                <w:rFonts w:hint="default" w:ascii="Times New Roman" w:hAnsi="Times New Roman" w:eastAsia="宋体" w:cs="Times New Roman"/>
                <w:b w:val="0"/>
                <w:color w:val="auto"/>
                <w:kern w:val="2"/>
                <w:sz w:val="21"/>
                <w:szCs w:val="21"/>
                <w:lang w:val="en-US" w:eastAsia="zh-CN" w:bidi="ar"/>
              </w:rPr>
              <w:t>生化池处理达</w:t>
            </w:r>
            <w:r>
              <w:rPr>
                <w:rFonts w:hint="default" w:ascii="Times New Roman" w:hAnsi="Times New Roman" w:cs="Times New Roman"/>
                <w:color w:val="auto"/>
                <w:sz w:val="21"/>
                <w:szCs w:val="21"/>
              </w:rPr>
              <w:t>《污水综合排放标准》(GB8978－1996)三级标准</w:t>
            </w:r>
            <w:r>
              <w:rPr>
                <w:rFonts w:hint="default" w:ascii="Times New Roman" w:hAnsi="Times New Roman" w:cs="Times New Roman"/>
                <w:color w:val="auto"/>
                <w:sz w:val="21"/>
                <w:szCs w:val="21"/>
                <w:lang w:eastAsia="zh-CN"/>
              </w:rPr>
              <w:t>（氨氮执行《污水排入城镇下水道水质标准》（GB/T 31962-2015）B级标准）后</w:t>
            </w:r>
            <w:r>
              <w:rPr>
                <w:rFonts w:hint="default" w:ascii="Times New Roman" w:hAnsi="Times New Roman" w:cs="Times New Roman"/>
                <w:color w:val="auto"/>
                <w:sz w:val="21"/>
                <w:szCs w:val="21"/>
              </w:rPr>
              <w:t>排入园区污水管网，再进入</w:t>
            </w:r>
            <w:r>
              <w:rPr>
                <w:rFonts w:hint="default" w:ascii="Times New Roman" w:hAnsi="Times New Roman" w:cs="Times New Roman"/>
                <w:color w:val="auto"/>
                <w:kern w:val="2"/>
                <w:sz w:val="21"/>
                <w:szCs w:val="21"/>
                <w:shd w:val="clear" w:color="auto" w:fill="auto"/>
                <w:lang w:val="en-US" w:eastAsia="zh-CN" w:bidi="ar"/>
              </w:rPr>
              <w:t>铜梁区东城污水处理厂</w:t>
            </w:r>
            <w:r>
              <w:rPr>
                <w:rFonts w:hint="default" w:ascii="Times New Roman" w:hAnsi="Times New Roman" w:cs="Times New Roman"/>
                <w:color w:val="auto"/>
                <w:sz w:val="21"/>
                <w:szCs w:val="21"/>
              </w:rPr>
              <w:t>处理</w:t>
            </w:r>
            <w:r>
              <w:rPr>
                <w:rFonts w:hint="default" w:ascii="Times New Roman" w:hAnsi="Times New Roman" w:cs="Times New Roman"/>
                <w:color w:val="auto"/>
                <w:sz w:val="21"/>
                <w:szCs w:val="21"/>
                <w:lang w:eastAsia="zh-CN"/>
              </w:rPr>
              <w:t>达</w:t>
            </w:r>
            <w:r>
              <w:rPr>
                <w:rFonts w:hint="default" w:ascii="Times New Roman" w:hAnsi="Times New Roman" w:cs="Times New Roman"/>
                <w:color w:val="auto"/>
                <w:sz w:val="21"/>
                <w:szCs w:val="21"/>
              </w:rPr>
              <w:t>《城镇污水处理厂污染物排放标准》（GB18918-2002）一级</w:t>
            </w:r>
            <w:r>
              <w:rPr>
                <w:rFonts w:hint="default"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标准后排入</w:t>
            </w:r>
            <w:r>
              <w:rPr>
                <w:rFonts w:hint="default" w:ascii="Times New Roman" w:hAnsi="Times New Roman" w:cs="Times New Roman"/>
                <w:color w:val="auto"/>
                <w:sz w:val="21"/>
                <w:szCs w:val="21"/>
                <w:lang w:eastAsia="zh-CN"/>
              </w:rPr>
              <w:t>淮远河</w:t>
            </w:r>
            <w:r>
              <w:rPr>
                <w:rFonts w:hint="default" w:ascii="Times New Roman" w:hAnsi="Times New Roman" w:cs="Times New Roman"/>
                <w:color w:val="auto"/>
                <w:sz w:val="21"/>
                <w:szCs w:val="21"/>
              </w:rPr>
              <w:t>。</w:t>
            </w:r>
          </w:p>
          <w:p>
            <w:pPr>
              <w:pStyle w:val="23"/>
              <w:keepNext w:val="0"/>
              <w:keepLines w:val="0"/>
              <w:widowControl w:val="0"/>
              <w:suppressLineNumbers w:val="0"/>
              <w:overflowPunct w:val="0"/>
              <w:adjustRightInd w:val="0"/>
              <w:snapToGrid w:val="0"/>
              <w:spacing w:before="0" w:beforeAutospacing="0" w:after="0" w:afterAutospacing="0" w:line="500" w:lineRule="exact"/>
              <w:ind w:left="0" w:right="0" w:firstLine="0" w:firstLineChars="0"/>
              <w:jc w:val="center"/>
              <w:textAlignment w:val="baseline"/>
              <w:rPr>
                <w:rFonts w:hint="default" w:ascii="Times New Roman" w:hAnsi="Times New Roman" w:cs="Times New Roman"/>
                <w:b/>
                <w:color w:val="auto"/>
                <w:kern w:val="0"/>
                <w:sz w:val="21"/>
                <w:szCs w:val="21"/>
                <w:lang w:val="en-US" w:eastAsia="zh-CN" w:bidi="ar-SA"/>
              </w:rPr>
            </w:pPr>
            <w:r>
              <w:rPr>
                <w:rFonts w:hint="default" w:ascii="Times New Roman" w:hAnsi="Times New Roman" w:cs="Times New Roman"/>
                <w:b/>
                <w:color w:val="auto"/>
                <w:kern w:val="0"/>
                <w:sz w:val="21"/>
                <w:szCs w:val="21"/>
                <w:lang w:val="en-US" w:eastAsia="zh-CN" w:bidi="ar-SA"/>
              </w:rPr>
              <w:t>表3.</w:t>
            </w:r>
            <w:r>
              <w:rPr>
                <w:rFonts w:hint="eastAsia" w:ascii="Times New Roman" w:hAnsi="Times New Roman" w:cs="Times New Roman"/>
                <w:b/>
                <w:color w:val="auto"/>
                <w:kern w:val="0"/>
                <w:sz w:val="21"/>
                <w:szCs w:val="21"/>
                <w:lang w:val="en-US" w:eastAsia="zh-CN" w:bidi="ar-SA"/>
              </w:rPr>
              <w:t>2</w:t>
            </w:r>
            <w:r>
              <w:rPr>
                <w:rFonts w:hint="default" w:ascii="Times New Roman" w:hAnsi="Times New Roman" w:cs="Times New Roman"/>
                <w:b/>
                <w:color w:val="auto"/>
                <w:kern w:val="0"/>
                <w:sz w:val="21"/>
                <w:szCs w:val="21"/>
                <w:lang w:val="en-US" w:eastAsia="zh-CN" w:bidi="ar-SA"/>
              </w:rPr>
              <w:t xml:space="preserve">  污水排放标准   单位：mg/L</w:t>
            </w:r>
          </w:p>
          <w:tbl>
            <w:tblPr>
              <w:tblStyle w:val="27"/>
              <w:tblW w:w="8116"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3025"/>
              <w:gridCol w:w="848"/>
              <w:gridCol w:w="848"/>
              <w:gridCol w:w="848"/>
              <w:gridCol w:w="848"/>
              <w:gridCol w:w="848"/>
              <w:gridCol w:w="85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69" w:hRule="atLeast"/>
                <w:jc w:val="center"/>
              </w:trPr>
              <w:tc>
                <w:tcPr>
                  <w:tcW w:w="3025"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标准名称</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851"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69" w:hRule="atLeast"/>
                <w:jc w:val="center"/>
              </w:trPr>
              <w:tc>
                <w:tcPr>
                  <w:tcW w:w="3025"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w:t>
                  </w:r>
                  <w:r>
                    <w:rPr>
                      <w:rFonts w:hint="default" w:ascii="Times New Roman" w:hAnsi="Times New Roman" w:cs="Times New Roman"/>
                      <w:color w:val="auto"/>
                      <w:spacing w:val="10"/>
                      <w:szCs w:val="21"/>
                    </w:rPr>
                    <w:t>（GB8978-1996）中</w:t>
                  </w:r>
                  <w:r>
                    <w:rPr>
                      <w:rFonts w:hint="default" w:ascii="Times New Roman" w:hAnsi="Times New Roman" w:cs="Times New Roman"/>
                      <w:color w:val="auto"/>
                      <w:szCs w:val="21"/>
                    </w:rPr>
                    <w:t>三级标准</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848"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bCs/>
                      <w:color w:val="auto"/>
                      <w:szCs w:val="21"/>
                    </w:rPr>
                    <w:t>45</w:t>
                  </w:r>
                  <w:r>
                    <w:rPr>
                      <w:rFonts w:hint="default" w:ascii="Times New Roman" w:hAnsi="Times New Roman" w:cs="Times New Roman"/>
                      <w:snapToGrid w:val="0"/>
                      <w:color w:val="auto"/>
                      <w:kern w:val="0"/>
                      <w:szCs w:val="21"/>
                      <w:vertAlign w:val="superscript"/>
                    </w:rPr>
                    <w:t>①</w:t>
                  </w:r>
                </w:p>
              </w:tc>
              <w:tc>
                <w:tcPr>
                  <w:tcW w:w="851" w:type="dxa"/>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eastAsia="宋体" w:cs="Times New Roman"/>
                      <w:color w:val="auto"/>
                      <w:kern w:val="0"/>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69" w:hRule="atLeast"/>
                <w:jc w:val="center"/>
              </w:trPr>
              <w:tc>
                <w:tcPr>
                  <w:tcW w:w="3025" w:type="dxa"/>
                  <w:noWrap w:val="0"/>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《城镇污水处理厂污染物排放标准》（GB18918-2002）中的一级B标</w:t>
                  </w:r>
                </w:p>
              </w:tc>
              <w:tc>
                <w:tcPr>
                  <w:tcW w:w="848" w:type="dxa"/>
                  <w:noWrap w:val="0"/>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color w:val="auto"/>
                      <w:szCs w:val="21"/>
                    </w:rPr>
                    <w:t>6~9</w:t>
                  </w:r>
                </w:p>
              </w:tc>
              <w:tc>
                <w:tcPr>
                  <w:tcW w:w="848" w:type="dxa"/>
                  <w:noWrap w:val="0"/>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w:t>
                  </w:r>
                </w:p>
              </w:tc>
              <w:tc>
                <w:tcPr>
                  <w:tcW w:w="848" w:type="dxa"/>
                  <w:noWrap w:val="0"/>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c>
                <w:tcPr>
                  <w:tcW w:w="848" w:type="dxa"/>
                  <w:noWrap w:val="0"/>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color w:val="auto"/>
                      <w:szCs w:val="21"/>
                    </w:rPr>
                    <w:t>≤</w:t>
                  </w:r>
                  <w:r>
                    <w:rPr>
                      <w:rFonts w:hint="default" w:ascii="Times New Roman" w:hAnsi="Times New Roman" w:cs="Times New Roman"/>
                      <w:bCs/>
                      <w:color w:val="auto"/>
                      <w:szCs w:val="21"/>
                    </w:rPr>
                    <w:t>20</w:t>
                  </w:r>
                </w:p>
              </w:tc>
              <w:tc>
                <w:tcPr>
                  <w:tcW w:w="848" w:type="dxa"/>
                  <w:noWrap w:val="0"/>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≤8（15）</w:t>
                  </w:r>
                </w:p>
              </w:tc>
              <w:tc>
                <w:tcPr>
                  <w:tcW w:w="851" w:type="dxa"/>
                  <w:noWrap w:val="0"/>
                  <w:vAlign w:val="center"/>
                </w:tcPr>
                <w:p>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69" w:hRule="atLeast"/>
                <w:jc w:val="center"/>
              </w:trPr>
              <w:tc>
                <w:tcPr>
                  <w:tcW w:w="8116" w:type="dxa"/>
                  <w:gridSpan w:val="7"/>
                  <w:noWrap w:val="0"/>
                  <w:vAlign w:val="center"/>
                </w:tcPr>
                <w:p>
                  <w:pPr>
                    <w:spacing w:line="240" w:lineRule="auto"/>
                    <w:ind w:left="105" w:hanging="105"/>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注：①NH</w:t>
                  </w:r>
                  <w:r>
                    <w:rPr>
                      <w:rFonts w:hint="default" w:ascii="Times New Roman" w:hAnsi="Times New Roman" w:cs="Times New Roman"/>
                      <w:snapToGrid w:val="0"/>
                      <w:color w:val="auto"/>
                      <w:kern w:val="0"/>
                      <w:szCs w:val="21"/>
                      <w:vertAlign w:val="subscript"/>
                    </w:rPr>
                    <w:t>3</w:t>
                  </w:r>
                  <w:r>
                    <w:rPr>
                      <w:rFonts w:hint="default" w:ascii="Times New Roman" w:hAnsi="Times New Roman" w:cs="Times New Roman"/>
                      <w:snapToGrid w:val="0"/>
                      <w:color w:val="auto"/>
                      <w:kern w:val="0"/>
                      <w:szCs w:val="21"/>
                    </w:rPr>
                    <w:t>-N参照执行《污水排入城镇下水道水质标准》（GB/T 31962-2015）。</w:t>
                  </w:r>
                </w:p>
                <w:p>
                  <w:pPr>
                    <w:spacing w:line="240" w:lineRule="auto"/>
                    <w:ind w:left="105" w:hanging="105"/>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②</w:t>
                  </w:r>
                  <w:r>
                    <w:rPr>
                      <w:rFonts w:hint="default" w:ascii="Times New Roman" w:hAnsi="Times New Roman" w:cs="Times New Roman"/>
                      <w:color w:val="auto"/>
                      <w:szCs w:val="21"/>
                    </w:rPr>
                    <w:t>括号外数值为水温＞12℃时的控制指标，括号内数值为水温＜12℃时的控制指标。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3.</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废气</w:t>
            </w:r>
          </w:p>
          <w:p>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eastAsia="zh-CN"/>
              </w:rPr>
              <w:t>本项目营运期</w:t>
            </w:r>
            <w:r>
              <w:rPr>
                <w:rFonts w:hint="default" w:ascii="Times New Roman" w:hAnsi="Times New Roman" w:cs="Times New Roman"/>
                <w:color w:val="auto"/>
                <w:sz w:val="21"/>
                <w:szCs w:val="21"/>
                <w:lang w:val="en-US" w:eastAsia="zh-CN"/>
              </w:rPr>
              <w:t>排放的废气</w:t>
            </w:r>
            <w:r>
              <w:rPr>
                <w:rFonts w:hint="default" w:ascii="Times New Roman" w:hAnsi="Times New Roman" w:cs="Times New Roman"/>
                <w:color w:val="auto"/>
                <w:sz w:val="21"/>
                <w:szCs w:val="21"/>
              </w:rPr>
              <w:t>执行</w:t>
            </w:r>
            <w:r>
              <w:rPr>
                <w:rFonts w:hint="default" w:ascii="Times New Roman" w:hAnsi="Times New Roman" w:cs="Times New Roman"/>
                <w:color w:val="auto"/>
                <w:sz w:val="21"/>
                <w:szCs w:val="21"/>
                <w:lang w:eastAsia="zh-CN"/>
              </w:rPr>
              <w:t>《大气污染物综合排放标准》（DB50/418－2016）表1中大气污染物排放限值</w:t>
            </w:r>
            <w:r>
              <w:rPr>
                <w:rFonts w:hint="default" w:ascii="Times New Roman" w:hAnsi="Times New Roman" w:cs="Times New Roman"/>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详见表3.</w:t>
            </w:r>
            <w:r>
              <w:rPr>
                <w:rFonts w:hint="eastAsia" w:cs="Times New Roman"/>
                <w:b w:val="0"/>
                <w:bCs w:val="0"/>
                <w:color w:val="auto"/>
                <w:kern w:val="2"/>
                <w:sz w:val="21"/>
                <w:szCs w:val="21"/>
                <w:lang w:val="en-US" w:eastAsia="zh-CN" w:bidi="ar"/>
              </w:rPr>
              <w:t>3</w:t>
            </w:r>
            <w:r>
              <w:rPr>
                <w:rFonts w:hint="default" w:ascii="Times New Roman" w:hAnsi="Times New Roman" w:eastAsia="宋体" w:cs="Times New Roman"/>
                <w:color w:val="auto"/>
                <w:kern w:val="2"/>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w:t>
            </w:r>
            <w:r>
              <w:rPr>
                <w:rFonts w:hint="default" w:ascii="Times New Roman" w:hAnsi="Times New Roman" w:cs="Times New Roman"/>
                <w:b/>
                <w:color w:val="auto"/>
                <w:kern w:val="0"/>
                <w:sz w:val="21"/>
                <w:szCs w:val="21"/>
                <w:lang w:val="en-US" w:eastAsia="zh-CN"/>
              </w:rPr>
              <w:t>3.</w:t>
            </w:r>
            <w:r>
              <w:rPr>
                <w:rFonts w:hint="eastAsia" w:cs="Times New Roman"/>
                <w:b/>
                <w:color w:val="auto"/>
                <w:kern w:val="0"/>
                <w:sz w:val="21"/>
                <w:szCs w:val="21"/>
                <w:lang w:val="en-US" w:eastAsia="zh-CN"/>
              </w:rPr>
              <w:t>3</w:t>
            </w:r>
            <w:r>
              <w:rPr>
                <w:rFonts w:hint="default" w:ascii="Times New Roman" w:hAnsi="Times New Roman" w:cs="Times New Roman"/>
                <w:b/>
                <w:color w:val="auto"/>
                <w:kern w:val="0"/>
                <w:sz w:val="21"/>
                <w:szCs w:val="21"/>
                <w:lang w:val="en-US" w:eastAsia="zh-CN"/>
              </w:rPr>
              <w:t xml:space="preserve"> 《大气污染物综合排放标准》（DB50/418－2016）排放标准限值</w:t>
            </w:r>
          </w:p>
          <w:tbl>
            <w:tblPr>
              <w:tblStyle w:val="27"/>
              <w:tblW w:w="7997"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527"/>
              <w:gridCol w:w="2298"/>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1874"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527"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2298"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textAlignment w:val="baseline"/>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val="en-US" w:eastAsia="zh-CN"/>
                    </w:rPr>
                    <w:t>20m高排气筒排放速率</w:t>
                  </w:r>
                  <w:r>
                    <w:rPr>
                      <w:rFonts w:hint="default" w:ascii="Times New Roman" w:hAnsi="Times New Roman" w:cs="Times New Roman"/>
                      <w:b/>
                      <w:bCs/>
                      <w:color w:val="auto"/>
                      <w:sz w:val="21"/>
                      <w:szCs w:val="21"/>
                    </w:rPr>
                    <w:t>限值（</w:t>
                  </w:r>
                  <w:r>
                    <w:rPr>
                      <w:rFonts w:hint="default" w:ascii="Times New Roman" w:hAnsi="Times New Roman" w:cs="Times New Roman"/>
                      <w:b/>
                      <w:bCs/>
                      <w:color w:val="auto"/>
                      <w:sz w:val="21"/>
                      <w:szCs w:val="21"/>
                      <w:lang w:val="en-US" w:eastAsia="zh-CN"/>
                    </w:rPr>
                    <w:t>k</w:t>
                  </w:r>
                  <w:r>
                    <w:rPr>
                      <w:rFonts w:hint="default" w:ascii="Times New Roman" w:hAnsi="Times New Roman" w:cs="Times New Roman"/>
                      <w:b/>
                      <w:bCs/>
                      <w:color w:val="auto"/>
                      <w:sz w:val="21"/>
                      <w:szCs w:val="21"/>
                    </w:rPr>
                    <w:t>g/</w:t>
                  </w:r>
                  <w:r>
                    <w:rPr>
                      <w:rFonts w:hint="default" w:ascii="Times New Roman" w:hAnsi="Times New Roman" w:cs="Times New Roman"/>
                      <w:b/>
                      <w:bCs/>
                      <w:color w:val="auto"/>
                      <w:sz w:val="21"/>
                      <w:szCs w:val="21"/>
                      <w:lang w:val="en-US" w:eastAsia="zh-CN"/>
                    </w:rPr>
                    <w:t>h</w:t>
                  </w:r>
                  <w:r>
                    <w:rPr>
                      <w:rFonts w:hint="default" w:ascii="Times New Roman" w:hAnsi="Times New Roman" w:cs="Times New Roman"/>
                      <w:b/>
                      <w:bCs/>
                      <w:color w:val="auto"/>
                      <w:sz w:val="21"/>
                      <w:szCs w:val="21"/>
                    </w:rPr>
                    <w:t>）</w:t>
                  </w:r>
                </w:p>
              </w:tc>
              <w:tc>
                <w:tcPr>
                  <w:tcW w:w="2298"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textAlignment w:val="baseline"/>
                    <w:rPr>
                      <w:rFonts w:hint="default" w:ascii="Times New Roman" w:hAnsi="Times New Roman" w:cs="Times New Roman"/>
                      <w:color w:val="auto"/>
                      <w:kern w:val="0"/>
                      <w:sz w:val="21"/>
                      <w:szCs w:val="21"/>
                      <w:lang w:bidi="ar-SA"/>
                    </w:rPr>
                  </w:pPr>
                  <w:r>
                    <w:rPr>
                      <w:rFonts w:hint="default" w:ascii="Times New Roman" w:hAnsi="Times New Roman" w:cs="Times New Roman"/>
                      <w:b/>
                      <w:bCs/>
                      <w:color w:val="auto"/>
                      <w:sz w:val="21"/>
                      <w:szCs w:val="21"/>
                    </w:rPr>
                    <w:t>企业边界大气污染物浓度限值（mg/m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6" w:hRule="atLeast"/>
              </w:trPr>
              <w:tc>
                <w:tcPr>
                  <w:tcW w:w="1874" w:type="dxa"/>
                  <w:tcBorders>
                    <w:top w:val="single" w:color="000000" w:sz="4" w:space="0"/>
                    <w:bottom w:val="single" w:color="000000" w:sz="4" w:space="0"/>
                    <w:right w:val="single" w:color="000000" w:sz="4" w:space="0"/>
                  </w:tcBorders>
                  <w:noWrap w:val="0"/>
                  <w:vAlign w:val="center"/>
                </w:tcPr>
                <w:p>
                  <w:pPr>
                    <w:adjustRightInd w:val="0"/>
                    <w:snapToGrid w:val="0"/>
                    <w:spacing w:line="320" w:lineRule="exac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颗粒物</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20" w:lineRule="exac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120</w:t>
                  </w:r>
                </w:p>
              </w:tc>
              <w:tc>
                <w:tcPr>
                  <w:tcW w:w="2298"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20" w:lineRule="exac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2.95</w:t>
                  </w:r>
                </w:p>
              </w:tc>
              <w:tc>
                <w:tcPr>
                  <w:tcW w:w="2298" w:type="dxa"/>
                  <w:tcBorders>
                    <w:top w:val="single" w:color="000000" w:sz="4" w:space="0"/>
                    <w:left w:val="single" w:color="000000" w:sz="4" w:space="0"/>
                    <w:bottom w:val="single" w:color="000000" w:sz="4" w:space="0"/>
                  </w:tcBorders>
                  <w:noWrap w:val="0"/>
                  <w:vAlign w:val="center"/>
                </w:tcPr>
                <w:p>
                  <w:pPr>
                    <w:adjustRightInd w:val="0"/>
                    <w:snapToGrid w:val="0"/>
                    <w:spacing w:line="320" w:lineRule="exact"/>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7997" w:type="dxa"/>
                  <w:gridSpan w:val="4"/>
                  <w:noWrap w:val="0"/>
                  <w:vAlign w:val="center"/>
                </w:tcPr>
                <w:p>
                  <w:pPr>
                    <w:keepNext w:val="0"/>
                    <w:keepLines w:val="0"/>
                    <w:pageBreakBefore w:val="0"/>
                    <w:widowControl w:val="0"/>
                    <w:kinsoku/>
                    <w:wordWrap/>
                    <w:overflowPunct/>
                    <w:topLinePunct/>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注：本项目排气筒高度未高出200m半径范围内周边建筑物5m以上，排放速率限值按照50%执行。</w:t>
                  </w:r>
                </w:p>
              </w:tc>
            </w:tr>
          </w:tbl>
          <w:p>
            <w:pPr>
              <w:pStyle w:val="3"/>
              <w:keepNext/>
              <w:keepLines/>
              <w:pageBreakBefore w:val="0"/>
              <w:widowControl/>
              <w:kinsoku/>
              <w:wordWrap/>
              <w:overflowPunct/>
              <w:topLinePunct w:val="0"/>
              <w:autoSpaceDE/>
              <w:autoSpaceDN/>
              <w:bidi w:val="0"/>
              <w:adjustRightInd w:val="0"/>
              <w:snapToGrid w:val="0"/>
              <w:spacing w:before="157" w:beforeLines="50" w:after="0" w:line="360" w:lineRule="auto"/>
              <w:textAlignment w:val="auto"/>
              <w:rPr>
                <w:rFonts w:hint="default" w:ascii="Times New Roman" w:hAnsi="Times New Roman" w:eastAsia="宋体" w:cs="Times New Roman"/>
                <w:b/>
                <w:bCs/>
                <w:color w:val="auto"/>
                <w:kern w:val="44"/>
                <w:sz w:val="21"/>
                <w:szCs w:val="21"/>
              </w:rPr>
            </w:pPr>
            <w:r>
              <w:rPr>
                <w:rFonts w:hint="default" w:ascii="Times New Roman" w:hAnsi="Times New Roman" w:eastAsia="宋体" w:cs="Times New Roman"/>
                <w:b/>
                <w:bCs/>
                <w:color w:val="auto"/>
                <w:kern w:val="44"/>
                <w:sz w:val="21"/>
                <w:szCs w:val="21"/>
                <w:lang w:val="en-US" w:eastAsia="zh-CN"/>
              </w:rPr>
              <w:t>3.</w:t>
            </w:r>
            <w:r>
              <w:rPr>
                <w:rFonts w:hint="eastAsia" w:eastAsia="宋体" w:cs="Times New Roman"/>
                <w:b/>
                <w:bCs/>
                <w:color w:val="auto"/>
                <w:kern w:val="44"/>
                <w:sz w:val="21"/>
                <w:szCs w:val="21"/>
                <w:lang w:val="en-US" w:eastAsia="zh-CN"/>
              </w:rPr>
              <w:t>8</w:t>
            </w:r>
            <w:r>
              <w:rPr>
                <w:rFonts w:hint="default" w:ascii="Times New Roman" w:hAnsi="Times New Roman" w:eastAsia="宋体" w:cs="Times New Roman"/>
                <w:b/>
                <w:bCs/>
                <w:color w:val="auto"/>
                <w:kern w:val="44"/>
                <w:sz w:val="21"/>
                <w:szCs w:val="21"/>
              </w:rPr>
              <w:t>噪声</w:t>
            </w:r>
          </w:p>
          <w:p>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施工期噪声执行《建筑施工场界环境噪声排放标准》（GB12523-2011）；本项目位于工业园区内，营运期厂界噪声执行3类标准。标准值详见</w:t>
            </w:r>
            <w:r>
              <w:rPr>
                <w:rFonts w:hint="default" w:ascii="Times New Roman" w:hAnsi="Times New Roman" w:eastAsia="宋体" w:cs="Times New Roman"/>
                <w:color w:val="auto"/>
                <w:sz w:val="21"/>
                <w:szCs w:val="21"/>
                <w:lang w:val="en-US" w:eastAsia="zh-CN"/>
              </w:rPr>
              <w:t>下</w:t>
            </w:r>
            <w:r>
              <w:rPr>
                <w:rFonts w:hint="default" w:ascii="Times New Roman" w:hAnsi="Times New Roman" w:eastAsia="宋体" w:cs="Times New Roman"/>
                <w:color w:val="auto"/>
                <w:sz w:val="21"/>
                <w:szCs w:val="21"/>
                <w:lang w:eastAsia="zh-CN"/>
              </w:rPr>
              <w:t>表。</w:t>
            </w:r>
          </w:p>
          <w:p>
            <w:pPr>
              <w:pStyle w:val="78"/>
              <w:keepNext w:val="0"/>
              <w:keepLines w:val="0"/>
              <w:pageBreakBefore w:val="0"/>
              <w:widowControl/>
              <w:kinsoku/>
              <w:wordWrap/>
              <w:overflowPunct/>
              <w:topLinePunct w:val="0"/>
              <w:autoSpaceDE/>
              <w:autoSpaceDN/>
              <w:bidi w:val="0"/>
              <w:adjustRightInd w:val="0"/>
              <w:snapToGrid w:val="0"/>
              <w:spacing w:before="0" w:after="0"/>
              <w:ind w:right="113" w:firstLine="482"/>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表</w:t>
            </w:r>
            <w:r>
              <w:rPr>
                <w:rFonts w:hint="default" w:ascii="Times New Roman" w:hAnsi="Times New Roman" w:cs="Times New Roman"/>
                <w:color w:val="auto"/>
                <w:sz w:val="21"/>
                <w:szCs w:val="21"/>
              </w:rPr>
              <w:t>3-</w:t>
            </w:r>
            <w:r>
              <w:rPr>
                <w:rFonts w:hint="eastAsia" w:cs="Times New Roman"/>
                <w:color w:val="auto"/>
                <w:sz w:val="21"/>
                <w:szCs w:val="21"/>
                <w:lang w:val="en-US" w:eastAsia="zh-CN"/>
              </w:rPr>
              <w:t>4</w:t>
            </w:r>
            <w:r>
              <w:rPr>
                <w:rFonts w:hint="default" w:ascii="Times New Roman" w:hAnsi="Times New Roman" w:cs="Times New Roman"/>
                <w:snapToGrid w:val="0"/>
                <w:color w:val="auto"/>
                <w:kern w:val="0"/>
                <w:sz w:val="21"/>
                <w:szCs w:val="21"/>
              </w:rPr>
              <w:t xml:space="preserve"> </w:t>
            </w:r>
            <w:r>
              <w:rPr>
                <w:rFonts w:hint="default" w:ascii="Times New Roman" w:hAnsi="Times New Roman" w:cs="Times New Roman"/>
                <w:snapToGrid w:val="0"/>
                <w:color w:val="auto"/>
                <w:kern w:val="0"/>
                <w:sz w:val="21"/>
                <w:szCs w:val="21"/>
                <w:lang w:eastAsia="zh-CN"/>
              </w:rPr>
              <w:t xml:space="preserve"> </w:t>
            </w:r>
            <w:r>
              <w:rPr>
                <w:rFonts w:hint="default" w:ascii="Times New Roman" w:hAnsi="Times New Roman" w:cs="Times New Roman"/>
                <w:color w:val="auto"/>
                <w:sz w:val="21"/>
                <w:szCs w:val="21"/>
              </w:rPr>
              <w:t>《建筑施工场界环境噪声排放标准》（GB12523-2011）</w:t>
            </w:r>
            <w:r>
              <w:rPr>
                <w:rFonts w:hint="default" w:ascii="Times New Roman" w:hAnsi="Times New Roman" w:cs="Times New Roman"/>
                <w:snapToGrid w:val="0"/>
                <w:color w:val="auto"/>
                <w:kern w:val="0"/>
                <w:sz w:val="21"/>
                <w:szCs w:val="21"/>
              </w:rPr>
              <w:t>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tcBorders>
                    <w:top w:val="single" w:color="auto" w:sz="4" w:space="0"/>
                    <w:left w:val="single" w:color="auto" w:sz="4" w:space="0"/>
                    <w:bottom w:val="single" w:color="auto" w:sz="4" w:space="0"/>
                    <w:right w:val="single" w:color="auto" w:sz="4" w:space="0"/>
                  </w:tcBorders>
                  <w:noWrap w:val="0"/>
                  <w:vAlign w:val="center"/>
                </w:tcPr>
                <w:p>
                  <w:pPr>
                    <w:pStyle w:val="88"/>
                    <w:spacing w:line="320" w:lineRule="exact"/>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昼间</w:t>
                  </w:r>
                </w:p>
              </w:tc>
              <w:tc>
                <w:tcPr>
                  <w:tcW w:w="2291" w:type="pct"/>
                  <w:tcBorders>
                    <w:top w:val="single" w:color="auto" w:sz="4" w:space="0"/>
                    <w:left w:val="single" w:color="auto" w:sz="4" w:space="0"/>
                    <w:bottom w:val="single" w:color="auto" w:sz="4" w:space="0"/>
                    <w:right w:val="single" w:color="auto" w:sz="4" w:space="0"/>
                  </w:tcBorders>
                  <w:noWrap w:val="0"/>
                  <w:vAlign w:val="center"/>
                </w:tcPr>
                <w:p>
                  <w:pPr>
                    <w:pStyle w:val="88"/>
                    <w:spacing w:line="320" w:lineRule="exact"/>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tcBorders>
                    <w:top w:val="single" w:color="auto" w:sz="4" w:space="0"/>
                    <w:left w:val="single" w:color="auto" w:sz="4" w:space="0"/>
                    <w:bottom w:val="single" w:color="auto" w:sz="4" w:space="0"/>
                    <w:right w:val="single" w:color="auto" w:sz="4" w:space="0"/>
                  </w:tcBorders>
                  <w:noWrap w:val="0"/>
                  <w:vAlign w:val="center"/>
                </w:tcPr>
                <w:p>
                  <w:pPr>
                    <w:pStyle w:val="88"/>
                    <w:spacing w:line="320" w:lineRule="exact"/>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w:t>
                  </w:r>
                </w:p>
              </w:tc>
              <w:tc>
                <w:tcPr>
                  <w:tcW w:w="2291" w:type="pct"/>
                  <w:tcBorders>
                    <w:top w:val="single" w:color="auto" w:sz="4" w:space="0"/>
                    <w:left w:val="single" w:color="auto" w:sz="4" w:space="0"/>
                    <w:bottom w:val="single" w:color="auto" w:sz="4" w:space="0"/>
                    <w:right w:val="single" w:color="auto" w:sz="4" w:space="0"/>
                  </w:tcBorders>
                  <w:noWrap w:val="0"/>
                  <w:vAlign w:val="center"/>
                </w:tcPr>
                <w:p>
                  <w:pPr>
                    <w:pStyle w:val="88"/>
                    <w:spacing w:line="320" w:lineRule="exact"/>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55</w:t>
                  </w:r>
                </w:p>
              </w:tc>
            </w:tr>
          </w:tbl>
          <w:p>
            <w:pPr>
              <w:pStyle w:val="78"/>
              <w:keepNext w:val="0"/>
              <w:keepLines w:val="0"/>
              <w:pageBreakBefore w:val="0"/>
              <w:widowControl/>
              <w:kinsoku/>
              <w:wordWrap/>
              <w:overflowPunct/>
              <w:topLinePunct w:val="0"/>
              <w:autoSpaceDE/>
              <w:autoSpaceDN/>
              <w:bidi w:val="0"/>
              <w:adjustRightInd w:val="0"/>
              <w:snapToGrid w:val="0"/>
              <w:spacing w:before="0" w:after="0"/>
              <w:ind w:right="113" w:firstLine="482"/>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kern w:val="0"/>
                <w:sz w:val="21"/>
                <w:szCs w:val="21"/>
              </w:rPr>
              <w:t>表</w:t>
            </w:r>
            <w:r>
              <w:rPr>
                <w:rFonts w:hint="default" w:ascii="Times New Roman" w:hAnsi="Times New Roman" w:cs="Times New Roman"/>
                <w:color w:val="auto"/>
                <w:sz w:val="21"/>
                <w:szCs w:val="21"/>
              </w:rPr>
              <w:t>3-</w:t>
            </w:r>
            <w:r>
              <w:rPr>
                <w:rFonts w:hint="eastAsia" w:cs="Times New Roman"/>
                <w:color w:val="auto"/>
                <w:sz w:val="21"/>
                <w:szCs w:val="21"/>
                <w:lang w:val="en-US" w:eastAsia="zh-CN"/>
              </w:rPr>
              <w:t>5</w:t>
            </w:r>
            <w:r>
              <w:rPr>
                <w:rFonts w:hint="default" w:ascii="Times New Roman" w:hAnsi="Times New Roman" w:cs="Times New Roman"/>
                <w:snapToGrid w:val="0"/>
                <w:color w:val="auto"/>
                <w:kern w:val="0"/>
                <w:sz w:val="21"/>
                <w:szCs w:val="21"/>
              </w:rPr>
              <w:t xml:space="preserve"> </w:t>
            </w:r>
            <w:r>
              <w:rPr>
                <w:rFonts w:hint="default" w:ascii="Times New Roman" w:hAnsi="Times New Roman" w:cs="Times New Roman"/>
                <w:snapToGrid w:val="0"/>
                <w:color w:val="auto"/>
                <w:kern w:val="0"/>
                <w:sz w:val="21"/>
                <w:szCs w:val="21"/>
                <w:lang w:eastAsia="zh-CN"/>
              </w:rPr>
              <w:t xml:space="preserve"> </w:t>
            </w:r>
            <w:r>
              <w:rPr>
                <w:rFonts w:hint="default" w:ascii="Times New Roman" w:hAnsi="Times New Roman" w:cs="Times New Roman"/>
                <w:snapToGrid w:val="0"/>
                <w:color w:val="auto"/>
                <w:kern w:val="0"/>
                <w:sz w:val="21"/>
                <w:szCs w:val="21"/>
              </w:rPr>
              <w:t>《工业企业厂界环境噪声排放标准》（GB12348-2008）单位：dB（A）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8"/>
              <w:gridCol w:w="2310"/>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2121" w:type="pct"/>
                  <w:tcBorders>
                    <w:top w:val="single" w:color="auto" w:sz="4" w:space="0"/>
                    <w:left w:val="single" w:color="auto" w:sz="4" w:space="0"/>
                    <w:bottom w:val="single" w:color="auto" w:sz="4" w:space="0"/>
                    <w:right w:val="single" w:color="auto" w:sz="4" w:space="0"/>
                  </w:tcBorders>
                  <w:noWrap w:val="0"/>
                  <w:vAlign w:val="center"/>
                </w:tcPr>
                <w:p>
                  <w:pPr>
                    <w:pStyle w:val="8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声环境功能区类别</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8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429" w:type="pct"/>
                  <w:tcBorders>
                    <w:top w:val="single" w:color="auto" w:sz="4" w:space="0"/>
                    <w:left w:val="single" w:color="auto" w:sz="4" w:space="0"/>
                    <w:bottom w:val="single" w:color="auto" w:sz="4" w:space="0"/>
                    <w:right w:val="single" w:color="auto" w:sz="4" w:space="0"/>
                  </w:tcBorders>
                  <w:noWrap w:val="0"/>
                  <w:vAlign w:val="center"/>
                </w:tcPr>
                <w:p>
                  <w:pPr>
                    <w:pStyle w:val="8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2121" w:type="pct"/>
                  <w:tcBorders>
                    <w:top w:val="single" w:color="auto" w:sz="4" w:space="0"/>
                    <w:left w:val="single" w:color="auto" w:sz="4" w:space="0"/>
                    <w:bottom w:val="single" w:color="auto" w:sz="4" w:space="0"/>
                    <w:right w:val="single" w:color="auto" w:sz="4" w:space="0"/>
                  </w:tcBorders>
                  <w:noWrap w:val="0"/>
                  <w:vAlign w:val="center"/>
                </w:tcPr>
                <w:p>
                  <w:pPr>
                    <w:pStyle w:val="8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3类标准</w:t>
                  </w:r>
                </w:p>
              </w:tc>
              <w:tc>
                <w:tcPr>
                  <w:tcW w:w="1450" w:type="pct"/>
                  <w:tcBorders>
                    <w:top w:val="single" w:color="auto" w:sz="4" w:space="0"/>
                    <w:left w:val="single" w:color="auto" w:sz="4" w:space="0"/>
                    <w:bottom w:val="single" w:color="auto" w:sz="4" w:space="0"/>
                    <w:right w:val="single" w:color="auto" w:sz="4" w:space="0"/>
                  </w:tcBorders>
                  <w:noWrap w:val="0"/>
                  <w:vAlign w:val="center"/>
                </w:tcPr>
                <w:p>
                  <w:pPr>
                    <w:pStyle w:val="8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429" w:type="pct"/>
                  <w:tcBorders>
                    <w:top w:val="single" w:color="auto" w:sz="4" w:space="0"/>
                    <w:left w:val="single" w:color="auto" w:sz="4" w:space="0"/>
                    <w:bottom w:val="single" w:color="auto" w:sz="4" w:space="0"/>
                    <w:right w:val="single" w:color="auto" w:sz="4" w:space="0"/>
                  </w:tcBorders>
                  <w:noWrap w:val="0"/>
                  <w:vAlign w:val="center"/>
                </w:tcPr>
                <w:p>
                  <w:pPr>
                    <w:pStyle w:val="8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bCs/>
                <w:color w:val="auto"/>
                <w:kern w:val="44"/>
                <w:sz w:val="21"/>
                <w:szCs w:val="21"/>
              </w:rPr>
            </w:pPr>
            <w:r>
              <w:rPr>
                <w:rFonts w:hint="default" w:ascii="Times New Roman" w:hAnsi="Times New Roman" w:eastAsia="宋体" w:cs="Times New Roman"/>
                <w:b/>
                <w:bCs/>
                <w:color w:val="auto"/>
                <w:kern w:val="44"/>
                <w:sz w:val="21"/>
                <w:szCs w:val="21"/>
                <w:lang w:val="en-US" w:eastAsia="zh-CN"/>
              </w:rPr>
              <w:t>3.</w:t>
            </w:r>
            <w:r>
              <w:rPr>
                <w:rFonts w:hint="eastAsia" w:eastAsia="宋体" w:cs="Times New Roman"/>
                <w:b/>
                <w:bCs/>
                <w:color w:val="auto"/>
                <w:kern w:val="44"/>
                <w:sz w:val="21"/>
                <w:szCs w:val="21"/>
                <w:lang w:val="en-US" w:eastAsia="zh-CN"/>
              </w:rPr>
              <w:t>9</w:t>
            </w:r>
            <w:r>
              <w:rPr>
                <w:rFonts w:hint="default" w:ascii="Times New Roman" w:hAnsi="Times New Roman" w:eastAsia="宋体" w:cs="Times New Roman"/>
                <w:b/>
                <w:bCs/>
                <w:color w:val="auto"/>
                <w:kern w:val="44"/>
                <w:sz w:val="21"/>
                <w:szCs w:val="21"/>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一般固体废物：根据《一般工业固体废物贮存和填埋污染控制标准》（GB 18599-2020）中要求，</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采用库房、包装工具（罐、桶、包装袋等）贮存</w:t>
            </w:r>
            <w:r>
              <w:rPr>
                <w:rFonts w:hint="eastAsia" w:cs="Times New Roman"/>
                <w:color w:val="auto"/>
                <w:kern w:val="2"/>
                <w:sz w:val="21"/>
                <w:szCs w:val="21"/>
                <w:lang w:val="en-US" w:eastAsia="zh-CN" w:bidi="ar-SA"/>
              </w:rPr>
              <w:t>一般工业固体废物</w:t>
            </w:r>
            <w:r>
              <w:rPr>
                <w:rFonts w:hint="default" w:ascii="Times New Roman" w:hAnsi="Times New Roman" w:eastAsia="宋体" w:cs="Times New Roman"/>
                <w:color w:val="auto"/>
                <w:kern w:val="2"/>
                <w:sz w:val="21"/>
                <w:szCs w:val="21"/>
                <w:lang w:val="en-US" w:eastAsia="zh-CN" w:bidi="ar-SA"/>
              </w:rPr>
              <w:t>过程的污染控制，不适用GB 18599-2020标准，贮存过程中应满足相应的防渗漏、防雨淋、防扬尘等环境保护要求。</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同时一般固体废物分类执行《一般固体废物分类与代码》（GB/T39198-2020）相关要求。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危险废物管理执行《国家危险废物名录》（20</w:t>
            </w:r>
            <w:r>
              <w:rPr>
                <w:rFonts w:hint="default" w:ascii="Times New Roman" w:hAnsi="Times New Roman" w:cs="Times New Roman"/>
                <w:color w:val="auto"/>
                <w:sz w:val="21"/>
                <w:szCs w:val="21"/>
                <w:lang w:val="en-US" w:eastAsia="zh-CN"/>
              </w:rPr>
              <w:t>21年</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《危险废物贮存污染控制标准》（GB18597-20</w:t>
            </w:r>
            <w:r>
              <w:rPr>
                <w:rFonts w:hint="default"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pPr>
              <w:adjustRightInd w:val="0"/>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指标</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rPr>
              <w:t>本项目总量按排入环境总量核算，总量为</w:t>
            </w:r>
            <w:r>
              <w:rPr>
                <w:rFonts w:hint="default" w:ascii="Times New Roman" w:hAnsi="Times New Roman" w:cs="Times New Roman"/>
                <w:color w:val="auto"/>
                <w:sz w:val="21"/>
                <w:szCs w:val="21"/>
              </w:rPr>
              <w:t>COD</w:t>
            </w:r>
            <w:r>
              <w:rPr>
                <w:rFonts w:hint="eastAsia" w:cs="Times New Roman"/>
                <w:i w:val="0"/>
                <w:iCs w:val="0"/>
                <w:color w:val="auto"/>
                <w:kern w:val="0"/>
                <w:sz w:val="21"/>
                <w:szCs w:val="21"/>
                <w:u w:val="none"/>
                <w:lang w:val="en-US" w:eastAsia="zh-CN" w:bidi="ar"/>
              </w:rPr>
              <w:t>0.0248</w:t>
            </w:r>
            <w:r>
              <w:rPr>
                <w:rFonts w:hint="default" w:ascii="Times New Roman" w:hAnsi="Times New Roman" w:cs="Times New Roman"/>
                <w:i w:val="0"/>
                <w:color w:val="auto"/>
                <w:kern w:val="0"/>
                <w:sz w:val="21"/>
                <w:szCs w:val="21"/>
                <w:u w:val="none"/>
                <w:lang w:val="en-US" w:eastAsia="zh-CN" w:bidi="ar"/>
              </w:rPr>
              <w:t xml:space="preserve"> t</w:t>
            </w:r>
            <w:r>
              <w:rPr>
                <w:rFonts w:hint="default" w:ascii="Times New Roman" w:hAnsi="Times New Roman" w:cs="Times New Roman"/>
                <w:color w:val="auto"/>
                <w:sz w:val="21"/>
                <w:szCs w:val="21"/>
              </w:rPr>
              <w:t>/a、NH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xml:space="preserve">-N </w:t>
            </w:r>
            <w:r>
              <w:rPr>
                <w:rFonts w:hint="eastAsia" w:cs="Times New Roman"/>
                <w:i w:val="0"/>
                <w:color w:val="auto"/>
                <w:kern w:val="0"/>
                <w:sz w:val="21"/>
                <w:szCs w:val="21"/>
                <w:u w:val="none"/>
                <w:lang w:val="en-US" w:eastAsia="zh-CN" w:bidi="ar"/>
              </w:rPr>
              <w:t>0.0033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cs="Times New Roman"/>
                <w:color w:val="auto"/>
                <w:sz w:val="21"/>
                <w:szCs w:val="21"/>
              </w:rPr>
              <w:t>t/a</w:t>
            </w:r>
            <w:r>
              <w:rPr>
                <w:rFonts w:hint="default" w:ascii="Times New Roman" w:hAnsi="Times New Roman" w:eastAsia="宋体" w:cs="Times New Roman"/>
                <w:b w:val="0"/>
                <w:bCs w:val="0"/>
                <w:color w:val="auto"/>
                <w:lang w:eastAsia="zh-CN"/>
              </w:rPr>
              <w:t>。</w:t>
            </w: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pPr>
              <w:pStyle w:val="23"/>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pPr>
              <w:pStyle w:val="23"/>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pPr>
              <w:pStyle w:val="23"/>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pPr>
              <w:pStyle w:val="23"/>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1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lang w:val="en-US" w:eastAsia="zh-CN"/>
              </w:rPr>
              <w:t>4.1</w:t>
            </w:r>
            <w:r>
              <w:rPr>
                <w:rFonts w:hint="default" w:ascii="Times New Roman" w:hAnsi="Times New Roman" w:cs="Times New Roman"/>
                <w:b/>
                <w:bCs w:val="0"/>
                <w:color w:val="auto"/>
                <w:spacing w:val="-10"/>
                <w:szCs w:val="21"/>
              </w:rPr>
              <w:t>施工期环境保护措施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pacing w:val="-10"/>
                <w:szCs w:val="21"/>
              </w:rPr>
            </w:pPr>
            <w:r>
              <w:rPr>
                <w:rFonts w:hint="default" w:ascii="Times New Roman" w:hAnsi="Times New Roman" w:cs="Times New Roman"/>
                <w:b/>
                <w:bCs w:val="0"/>
                <w:color w:val="auto"/>
                <w:spacing w:val="-10"/>
                <w:szCs w:val="21"/>
              </w:rPr>
              <w:t>1</w:t>
            </w:r>
            <w:r>
              <w:rPr>
                <w:rFonts w:hint="default" w:ascii="Times New Roman" w:hAnsi="Times New Roman" w:cs="Times New Roman"/>
                <w:b/>
                <w:bCs w:val="0"/>
                <w:color w:val="auto"/>
                <w:spacing w:val="-10"/>
                <w:szCs w:val="21"/>
                <w:lang w:eastAsia="zh-CN"/>
              </w:rPr>
              <w:t>、</w:t>
            </w:r>
            <w:r>
              <w:rPr>
                <w:rFonts w:hint="default" w:ascii="Times New Roman" w:hAnsi="Times New Roman" w:cs="Times New Roman"/>
                <w:b/>
                <w:bCs w:val="0"/>
                <w:color w:val="auto"/>
                <w:spacing w:val="-10"/>
                <w:szCs w:val="21"/>
              </w:rPr>
              <w:t>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textAlignment w:val="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施工期废水主要为施工人员生活污水。项目所在区域市政设施完善，施工人员生活污水依托现有生化池处理后接入市政污水管网，进入</w:t>
            </w:r>
            <w:r>
              <w:rPr>
                <w:rFonts w:hint="default" w:ascii="Times New Roman" w:hAnsi="Times New Roman" w:cs="Times New Roman"/>
                <w:color w:val="auto"/>
                <w:kern w:val="2"/>
                <w:sz w:val="21"/>
                <w:szCs w:val="21"/>
                <w:shd w:val="clear" w:color="auto" w:fill="auto"/>
                <w:lang w:val="en-US" w:eastAsia="zh-CN" w:bidi="ar"/>
              </w:rPr>
              <w:t>铜梁区东城污水处理厂</w:t>
            </w:r>
            <w:r>
              <w:rPr>
                <w:rFonts w:hint="default" w:ascii="Times New Roman" w:hAnsi="Times New Roman" w:cs="Times New Roman"/>
                <w:bCs/>
                <w:color w:val="auto"/>
                <w:spacing w:val="-10"/>
                <w:szCs w:val="21"/>
              </w:rPr>
              <w:t>处理，处置措施合理。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2</w:t>
            </w:r>
            <w:r>
              <w:rPr>
                <w:rFonts w:hint="default" w:ascii="Times New Roman" w:hAnsi="Times New Roman" w:cs="Times New Roman"/>
                <w:b/>
                <w:bCs w:val="0"/>
                <w:color w:val="auto"/>
                <w:spacing w:val="-10"/>
                <w:szCs w:val="21"/>
                <w:lang w:eastAsia="zh-CN"/>
              </w:rPr>
              <w:t>、</w:t>
            </w:r>
            <w:r>
              <w:rPr>
                <w:rFonts w:hint="default" w:ascii="Times New Roman" w:hAnsi="Times New Roman" w:cs="Times New Roman"/>
                <w:b/>
                <w:bCs w:val="0"/>
                <w:color w:val="auto"/>
                <w:spacing w:val="-10"/>
                <w:szCs w:val="21"/>
              </w:rPr>
              <w:t>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textAlignment w:val="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施工期产生的废气主要是厂房内部装饰、设备安装调试产生的粉尘废气。项目</w:t>
            </w:r>
            <w:r>
              <w:rPr>
                <w:rFonts w:hint="default" w:ascii="Times New Roman" w:hAnsi="Times New Roman" w:cs="Times New Roman"/>
                <w:bCs/>
                <w:color w:val="auto"/>
                <w:spacing w:val="-10"/>
                <w:szCs w:val="21"/>
                <w:lang w:val="en-US" w:eastAsia="zh-CN"/>
              </w:rPr>
              <w:t>购置</w:t>
            </w:r>
            <w:r>
              <w:rPr>
                <w:rFonts w:hint="default" w:ascii="Times New Roman" w:hAnsi="Times New Roman" w:cs="Times New Roman"/>
                <w:bCs/>
                <w:color w:val="auto"/>
                <w:spacing w:val="-10"/>
                <w:szCs w:val="21"/>
              </w:rPr>
              <w:t>已建成的厂房，室内装饰等工程量较小，施工期间产生的粉尘量小。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3</w:t>
            </w:r>
            <w:r>
              <w:rPr>
                <w:rFonts w:hint="default" w:ascii="Times New Roman" w:hAnsi="Times New Roman" w:cs="Times New Roman"/>
                <w:b/>
                <w:bCs w:val="0"/>
                <w:color w:val="auto"/>
                <w:spacing w:val="-10"/>
                <w:szCs w:val="21"/>
                <w:lang w:eastAsia="zh-CN"/>
              </w:rPr>
              <w:t>、</w:t>
            </w:r>
            <w:r>
              <w:rPr>
                <w:rFonts w:hint="default" w:ascii="Times New Roman" w:hAnsi="Times New Roman" w:cs="Times New Roman"/>
                <w:b/>
                <w:bCs w:val="0"/>
                <w:color w:val="auto"/>
                <w:spacing w:val="-10"/>
                <w:szCs w:val="21"/>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textAlignment w:val="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施工期间的噪声主要是运输车辆的噪声、设备安装等产生的噪声，噪声值在70~85dB(A)之间。由于施工主要集中在车间内部，只对内部进行装饰、设备安装调试，噪声产生时间短，施工噪声对周边环境影响很小，不会发生施工扰民现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auto"/>
                <w:spacing w:val="-10"/>
                <w:szCs w:val="21"/>
              </w:rPr>
            </w:pPr>
            <w:r>
              <w:rPr>
                <w:rFonts w:hint="default" w:ascii="Times New Roman" w:hAnsi="Times New Roman" w:cs="Times New Roman"/>
                <w:b/>
                <w:bCs w:val="0"/>
                <w:color w:val="auto"/>
                <w:spacing w:val="-10"/>
                <w:szCs w:val="21"/>
              </w:rPr>
              <w:t>4</w:t>
            </w:r>
            <w:r>
              <w:rPr>
                <w:rFonts w:hint="default" w:ascii="Times New Roman" w:hAnsi="Times New Roman" w:cs="Times New Roman"/>
                <w:b/>
                <w:bCs w:val="0"/>
                <w:color w:val="auto"/>
                <w:spacing w:val="-10"/>
                <w:szCs w:val="21"/>
                <w:lang w:eastAsia="zh-CN"/>
              </w:rPr>
              <w:t>、</w:t>
            </w:r>
            <w:r>
              <w:rPr>
                <w:rFonts w:hint="default" w:ascii="Times New Roman" w:hAnsi="Times New Roman" w:cs="Times New Roman"/>
                <w:b/>
                <w:bCs w:val="0"/>
                <w:color w:val="auto"/>
                <w:spacing w:val="-10"/>
                <w:szCs w:val="21"/>
              </w:rPr>
              <w:t>固废</w:t>
            </w:r>
          </w:p>
          <w:p>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textAlignment w:val="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施工期间产生的固体废物主要是设备的包装废料、室内装修材料弃渣和生活垃圾等。装修施工废弃物料、建渣应按重庆市有关固体废弃物处理的规定要求，在施工完成后由施工单位负责清运。在工程竣工以后，施工单位应负责将工地剩余的建筑垃圾、工程渣土处理干净。生活垃圾交由环卫部门统一收集送城市垃圾场卫生填埋。</w:t>
            </w:r>
          </w:p>
          <w:p>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textAlignment w:val="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采取上述措施后，本项目施工产生的固体废物对周围环境影响较小。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7"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期环</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境影</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响和</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保护</w:t>
            </w:r>
          </w:p>
          <w:p>
            <w:pPr>
              <w:pStyle w:val="23"/>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eastAsia="宋体" w:cs="Times New Roman"/>
                <w:bCs/>
                <w:color w:val="auto"/>
                <w:sz w:val="21"/>
                <w:szCs w:val="21"/>
              </w:rPr>
              <w:t>措施</w:t>
            </w:r>
          </w:p>
        </w:tc>
        <w:tc>
          <w:tcPr>
            <w:tcW w:w="8162" w:type="dxa"/>
            <w:noWrap w:val="0"/>
            <w:vAlign w:val="top"/>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4.2运营期环境影响和保护措施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4.2.1废气</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废气污染源强核算结果及相关参数情况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本项目运营期大气污染物主要为</w:t>
            </w:r>
            <w:r>
              <w:rPr>
                <w:rFonts w:hint="default" w:ascii="Times New Roman" w:hAnsi="Times New Roman" w:eastAsia="宋体" w:cs="Times New Roman"/>
                <w:color w:val="auto"/>
                <w:kern w:val="2"/>
                <w:sz w:val="21"/>
                <w:szCs w:val="21"/>
                <w:lang w:val="en-US" w:eastAsia="zh-CN" w:bidi="ar-SA"/>
              </w:rPr>
              <w:t>抛丸粉尘G1</w:t>
            </w:r>
            <w:r>
              <w:rPr>
                <w:rFonts w:hint="default" w:ascii="Times New Roman" w:hAnsi="Times New Roman" w:cs="Times New Roman"/>
                <w:color w:val="auto"/>
                <w:lang w:val="en-US" w:eastAsia="zh-CN"/>
              </w:rPr>
              <w:t>。</w:t>
            </w:r>
          </w:p>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lang w:eastAsia="zh-CN"/>
              </w:rPr>
            </w:pPr>
            <w:r>
              <w:rPr>
                <w:rFonts w:hint="default" w:ascii="Times New Roman" w:hAnsi="Times New Roman" w:eastAsia="宋体" w:cs="Times New Roman"/>
                <w:color w:val="auto"/>
                <w:kern w:val="2"/>
                <w:sz w:val="21"/>
                <w:szCs w:val="21"/>
                <w:lang w:val="en-US" w:eastAsia="zh-CN" w:bidi="ar-SA"/>
              </w:rPr>
              <w:t>本项目拟设置</w:t>
            </w:r>
            <w:r>
              <w:rPr>
                <w:rFonts w:hint="default" w:ascii="Times New Roman" w:hAnsi="Times New Roman"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台抛丸机，采用钢丸对工件表面进行抛丸加工，参考《</w:t>
            </w:r>
            <w:r>
              <w:rPr>
                <w:rFonts w:hint="default" w:ascii="Times New Roman" w:hAnsi="Times New Roman" w:eastAsia="宋体" w:cs="Times New Roman"/>
                <w:color w:val="auto"/>
                <w:sz w:val="21"/>
                <w:szCs w:val="21"/>
              </w:rPr>
              <w:t>排放源统计调查产排污核算方法和系数手册</w:t>
            </w:r>
            <w:r>
              <w:rPr>
                <w:rFonts w:hint="default" w:ascii="Times New Roman" w:hAnsi="Times New Roman" w:eastAsia="宋体" w:cs="Times New Roman"/>
                <w:color w:val="auto"/>
                <w:kern w:val="2"/>
                <w:sz w:val="21"/>
                <w:szCs w:val="21"/>
                <w:lang w:val="en-US" w:eastAsia="zh-CN" w:bidi="ar-SA"/>
              </w:rPr>
              <w:t>》，抛丸粉尘产生系数为2.19kg/吨原料，本项目</w:t>
            </w:r>
            <w:r>
              <w:rPr>
                <w:rFonts w:hint="default" w:ascii="Times New Roman" w:hAnsi="Times New Roman" w:cs="Times New Roman"/>
                <w:bCs/>
                <w:color w:val="auto"/>
                <w:szCs w:val="21"/>
              </w:rPr>
              <w:t>链轮</w:t>
            </w:r>
            <w:r>
              <w:rPr>
                <w:rFonts w:hint="default" w:ascii="Times New Roman" w:hAnsi="Times New Roman" w:cs="Times New Roman"/>
                <w:bCs/>
                <w:color w:val="auto"/>
                <w:szCs w:val="21"/>
                <w:lang w:val="en-US" w:eastAsia="zh-CN"/>
              </w:rPr>
              <w:t>平均</w:t>
            </w:r>
            <w:r>
              <w:rPr>
                <w:rFonts w:hint="default" w:ascii="Times New Roman" w:hAnsi="Times New Roman" w:eastAsia="宋体" w:cs="Times New Roman"/>
                <w:color w:val="auto"/>
                <w:kern w:val="2"/>
                <w:sz w:val="21"/>
                <w:szCs w:val="21"/>
                <w:lang w:val="en-US" w:eastAsia="zh-CN" w:bidi="ar-SA"/>
              </w:rPr>
              <w:t>重量约</w:t>
            </w:r>
            <w:r>
              <w:rPr>
                <w:rFonts w:hint="default" w:ascii="Times New Roman" w:hAnsi="Times New Roman" w:cs="Times New Roman"/>
                <w:color w:val="auto"/>
                <w:kern w:val="2"/>
                <w:sz w:val="21"/>
                <w:szCs w:val="21"/>
                <w:lang w:val="en-US" w:eastAsia="zh-CN" w:bidi="ar-SA"/>
              </w:rPr>
              <w:t>0.5kg</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件</w:t>
            </w:r>
            <w:r>
              <w:rPr>
                <w:rFonts w:hint="default" w:ascii="Times New Roman" w:hAnsi="Times New Roman" w:eastAsia="宋体" w:cs="Times New Roman"/>
                <w:color w:val="auto"/>
                <w:kern w:val="2"/>
                <w:sz w:val="21"/>
                <w:szCs w:val="21"/>
                <w:lang w:val="en-US" w:eastAsia="zh-CN" w:bidi="ar-SA"/>
              </w:rPr>
              <w:t>，则抛丸工序待处理工件原料共600吨，抛丸粉尘产生量为1</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314t/a，抛丸机</w:t>
            </w:r>
            <w:r>
              <w:rPr>
                <w:rFonts w:hint="default" w:ascii="Times New Roman" w:hAnsi="Times New Roman" w:cs="Times New Roman"/>
                <w:color w:val="auto"/>
                <w:kern w:val="2"/>
                <w:sz w:val="21"/>
                <w:szCs w:val="21"/>
                <w:lang w:val="en-US" w:eastAsia="zh-CN" w:bidi="ar-SA"/>
              </w:rPr>
              <w:t>实际</w:t>
            </w:r>
            <w:r>
              <w:rPr>
                <w:rFonts w:hint="default" w:ascii="Times New Roman" w:hAnsi="Times New Roman" w:eastAsia="宋体" w:cs="Times New Roman"/>
                <w:color w:val="auto"/>
                <w:kern w:val="2"/>
                <w:sz w:val="21"/>
                <w:szCs w:val="21"/>
                <w:lang w:val="en-US" w:eastAsia="zh-CN" w:bidi="ar-SA"/>
              </w:rPr>
              <w:t>工作时间</w:t>
            </w:r>
            <w:r>
              <w:rPr>
                <w:rFonts w:hint="default" w:ascii="Times New Roman" w:hAnsi="Times New Roman"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h/d，整个运行过程为完全密闭状态，本次评价仅考虑有组织排放。抛丸</w:t>
            </w:r>
            <w:r>
              <w:rPr>
                <w:rFonts w:hint="eastAsia" w:cs="Times New Roman"/>
                <w:color w:val="auto"/>
                <w:kern w:val="2"/>
                <w:sz w:val="21"/>
                <w:szCs w:val="21"/>
                <w:lang w:val="en-US" w:eastAsia="zh-CN" w:bidi="ar-SA"/>
              </w:rPr>
              <w:t>粉尘通过</w:t>
            </w:r>
            <w:r>
              <w:rPr>
                <w:rFonts w:hint="default" w:ascii="Times New Roman" w:hAnsi="Times New Roman" w:eastAsia="宋体" w:cs="Times New Roman"/>
                <w:color w:val="auto"/>
                <w:kern w:val="2"/>
                <w:sz w:val="21"/>
                <w:szCs w:val="21"/>
                <w:lang w:val="en-US" w:eastAsia="zh-CN" w:bidi="ar-SA"/>
              </w:rPr>
              <w:t>抛丸机自带布袋除尘器</w:t>
            </w:r>
            <w:r>
              <w:rPr>
                <w:rFonts w:hint="eastAsia" w:ascii="Times New Roman" w:hAnsi="Times New Roman" w:eastAsia="宋体" w:cs="Times New Roman"/>
                <w:color w:val="auto"/>
                <w:kern w:val="2"/>
                <w:sz w:val="21"/>
                <w:szCs w:val="21"/>
                <w:lang w:val="en-US" w:eastAsia="zh-CN" w:bidi="ar-SA"/>
              </w:rPr>
              <w:t>进行处理</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处理</w:t>
            </w:r>
            <w:r>
              <w:rPr>
                <w:rFonts w:hint="default" w:ascii="Times New Roman" w:hAnsi="Times New Roman" w:cs="Times New Roman"/>
                <w:color w:val="auto"/>
                <w:kern w:val="2"/>
                <w:sz w:val="21"/>
                <w:szCs w:val="21"/>
                <w:lang w:val="en-US" w:eastAsia="zh-CN" w:bidi="ar-SA"/>
              </w:rPr>
              <w:t>后的废气</w:t>
            </w:r>
            <w:r>
              <w:rPr>
                <w:rFonts w:hint="default" w:ascii="Times New Roman" w:hAnsi="Times New Roman" w:eastAsia="宋体" w:cs="Times New Roman"/>
                <w:color w:val="auto"/>
                <w:kern w:val="2"/>
                <w:sz w:val="21"/>
                <w:szCs w:val="21"/>
                <w:lang w:val="en-US" w:eastAsia="zh-CN" w:bidi="ar-SA"/>
              </w:rPr>
              <w:t>经1根</w:t>
            </w:r>
            <w:r>
              <w:rPr>
                <w:rFonts w:hint="default" w:ascii="Times New Roman" w:hAnsi="Times New Roman"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5m高1#排气筒排放。</w:t>
            </w:r>
          </w:p>
        </w:tc>
      </w:tr>
    </w:tbl>
    <w:p>
      <w:pPr>
        <w:adjustRightInd w:val="0"/>
        <w:snapToGrid w:val="0"/>
        <w:spacing w:line="360" w:lineRule="auto"/>
        <w:rPr>
          <w:rFonts w:hint="default" w:ascii="Times New Roman" w:hAnsi="Times New Roman" w:eastAsia="宋体" w:cs="Times New Roman"/>
          <w:b/>
          <w:color w:val="auto"/>
          <w:kern w:val="0"/>
          <w:sz w:val="21"/>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93"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运营期环境影响和保护措施</w:t>
            </w:r>
          </w:p>
        </w:tc>
        <w:tc>
          <w:tcPr>
            <w:tcW w:w="12937" w:type="dxa"/>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380" w:firstLineChars="200"/>
              <w:jc w:val="both"/>
              <w:textAlignment w:val="auto"/>
              <w:rPr>
                <w:rFonts w:hint="default" w:ascii="Times New Roman" w:hAnsi="Times New Roman" w:eastAsia="宋体" w:cs="Times New Roman"/>
                <w:bCs/>
                <w:color w:val="auto"/>
                <w:spacing w:val="-10"/>
                <w:sz w:val="21"/>
                <w:szCs w:val="21"/>
              </w:rPr>
            </w:pPr>
            <w:r>
              <w:rPr>
                <w:rFonts w:hint="default" w:ascii="Times New Roman" w:hAnsi="Times New Roman" w:eastAsia="宋体" w:cs="Times New Roman"/>
                <w:bCs/>
                <w:color w:val="auto"/>
                <w:spacing w:val="-10"/>
                <w:sz w:val="21"/>
                <w:szCs w:val="21"/>
              </w:rPr>
              <w:t>废气污染源强核算结果及相关参数见表4-</w:t>
            </w:r>
            <w:r>
              <w:rPr>
                <w:rFonts w:hint="eastAsia" w:cs="Times New Roman"/>
                <w:bCs/>
                <w:color w:val="auto"/>
                <w:spacing w:val="-10"/>
                <w:sz w:val="21"/>
                <w:szCs w:val="21"/>
                <w:lang w:val="en-US" w:eastAsia="zh-CN"/>
              </w:rPr>
              <w:t>1</w:t>
            </w:r>
            <w:r>
              <w:rPr>
                <w:rFonts w:hint="default" w:ascii="Times New Roman" w:hAnsi="Times New Roman" w:eastAsia="宋体" w:cs="Times New Roman"/>
                <w:bCs/>
                <w:color w:val="auto"/>
                <w:spacing w:val="-10"/>
                <w:sz w:val="21"/>
                <w:szCs w:val="21"/>
              </w:rPr>
              <w:t>。</w:t>
            </w:r>
          </w:p>
          <w:p>
            <w:pPr>
              <w:keepNext w:val="0"/>
              <w:keepLines w:val="0"/>
              <w:widowControl/>
              <w:suppressLineNumbers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spacing w:val="-10"/>
                <w:sz w:val="21"/>
                <w:szCs w:val="21"/>
              </w:rPr>
              <w:t>表 4-</w:t>
            </w:r>
            <w:r>
              <w:rPr>
                <w:rFonts w:hint="eastAsia" w:cs="Times New Roman"/>
                <w:b/>
                <w:bCs w:val="0"/>
                <w:color w:val="auto"/>
                <w:spacing w:val="-10"/>
                <w:sz w:val="21"/>
                <w:szCs w:val="21"/>
                <w:lang w:val="en-US" w:eastAsia="zh-CN"/>
              </w:rPr>
              <w:t>1</w:t>
            </w:r>
            <w:r>
              <w:rPr>
                <w:rFonts w:hint="default" w:ascii="Times New Roman" w:hAnsi="Times New Roman" w:eastAsia="宋体" w:cs="Times New Roman"/>
                <w:b/>
                <w:bCs w:val="0"/>
                <w:color w:val="auto"/>
                <w:spacing w:val="-10"/>
                <w:sz w:val="21"/>
                <w:szCs w:val="21"/>
              </w:rPr>
              <w:t xml:space="preserve"> 废气污染源强核算结果及相关参数一览表</w:t>
            </w:r>
          </w:p>
          <w:tbl>
            <w:tblPr>
              <w:tblStyle w:val="28"/>
              <w:tblW w:w="12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938"/>
              <w:gridCol w:w="938"/>
              <w:gridCol w:w="909"/>
              <w:gridCol w:w="1116"/>
              <w:gridCol w:w="1134"/>
              <w:gridCol w:w="837"/>
              <w:gridCol w:w="1389"/>
              <w:gridCol w:w="818"/>
              <w:gridCol w:w="882"/>
              <w:gridCol w:w="115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42" w:type="dxa"/>
                  <w:vMerge w:val="restart"/>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lang w:eastAsia="zh-CN"/>
                    </w:rPr>
                    <w:t>污染源</w:t>
                  </w:r>
                </w:p>
              </w:tc>
              <w:tc>
                <w:tcPr>
                  <w:tcW w:w="938" w:type="dxa"/>
                  <w:vMerge w:val="restart"/>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lang w:eastAsia="zh-CN"/>
                    </w:rPr>
                    <w:t>污染物</w:t>
                  </w:r>
                </w:p>
              </w:tc>
              <w:tc>
                <w:tcPr>
                  <w:tcW w:w="938" w:type="dxa"/>
                  <w:vMerge w:val="restart"/>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lang w:eastAsia="zh-CN"/>
                    </w:rPr>
                  </w:pPr>
                  <w:r>
                    <w:rPr>
                      <w:rFonts w:hint="default" w:ascii="Times New Roman" w:hAnsi="Times New Roman" w:eastAsia="宋体" w:cs="Times New Roman"/>
                      <w:b/>
                      <w:bCs w:val="0"/>
                      <w:color w:val="auto"/>
                      <w:spacing w:val="-10"/>
                      <w:sz w:val="21"/>
                      <w:szCs w:val="21"/>
                      <w:lang w:eastAsia="zh-CN"/>
                    </w:rPr>
                    <w:t>风量</w:t>
                  </w:r>
                </w:p>
                <w:p>
                  <w:pPr>
                    <w:numPr>
                      <w:ilvl w:val="0"/>
                      <w:numId w:val="0"/>
                    </w:numPr>
                    <w:adjustRightInd w:val="0"/>
                    <w:snapToGrid w:val="0"/>
                    <w:jc w:val="center"/>
                    <w:rPr>
                      <w:rFonts w:hint="default" w:ascii="Times New Roman" w:hAnsi="Times New Roman" w:eastAsia="宋体" w:cs="Times New Roman"/>
                      <w:b/>
                      <w:bCs w:val="0"/>
                      <w:color w:val="auto"/>
                      <w:spacing w:val="-10"/>
                      <w:sz w:val="21"/>
                      <w:szCs w:val="21"/>
                      <w:lang w:eastAsia="zh-CN"/>
                    </w:rPr>
                  </w:pPr>
                  <w:r>
                    <w:rPr>
                      <w:rFonts w:hint="default" w:ascii="Times New Roman" w:hAnsi="Times New Roman" w:eastAsia="宋体" w:cs="Times New Roman"/>
                      <w:b/>
                      <w:bCs w:val="0"/>
                      <w:color w:val="auto"/>
                      <w:spacing w:val="-10"/>
                      <w:sz w:val="21"/>
                      <w:szCs w:val="21"/>
                      <w:lang w:eastAsia="zh-CN"/>
                    </w:rPr>
                    <w:t>（</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b/>
                      <w:bCs w:val="0"/>
                      <w:color w:val="auto"/>
                      <w:spacing w:val="-10"/>
                      <w:sz w:val="21"/>
                      <w:szCs w:val="21"/>
                      <w:lang w:eastAsia="zh-CN"/>
                    </w:rPr>
                    <w:t>）</w:t>
                  </w:r>
                </w:p>
              </w:tc>
              <w:tc>
                <w:tcPr>
                  <w:tcW w:w="3159" w:type="dxa"/>
                  <w:gridSpan w:val="3"/>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r>
                    <w:rPr>
                      <w:rFonts w:hint="default" w:ascii="Times New Roman" w:hAnsi="Times New Roman" w:eastAsia="宋体" w:cs="Times New Roman"/>
                      <w:b/>
                      <w:bCs w:val="0"/>
                      <w:color w:val="auto"/>
                      <w:spacing w:val="-10"/>
                      <w:sz w:val="21"/>
                      <w:szCs w:val="21"/>
                    </w:rPr>
                    <w:t>产生情况</w:t>
                  </w:r>
                </w:p>
              </w:tc>
              <w:tc>
                <w:tcPr>
                  <w:tcW w:w="3044" w:type="dxa"/>
                  <w:gridSpan w:val="3"/>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r>
                    <w:rPr>
                      <w:rFonts w:hint="default" w:ascii="Times New Roman" w:hAnsi="Times New Roman" w:eastAsia="宋体" w:cs="Times New Roman"/>
                      <w:b/>
                      <w:bCs w:val="0"/>
                      <w:color w:val="auto"/>
                      <w:spacing w:val="-10"/>
                      <w:sz w:val="21"/>
                      <w:szCs w:val="21"/>
                    </w:rPr>
                    <w:t>治理设施</w:t>
                  </w:r>
                </w:p>
              </w:tc>
              <w:tc>
                <w:tcPr>
                  <w:tcW w:w="3207" w:type="dxa"/>
                  <w:gridSpan w:val="3"/>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r>
                    <w:rPr>
                      <w:rFonts w:hint="default" w:ascii="Times New Roman" w:hAnsi="Times New Roman" w:eastAsia="宋体" w:cs="Times New Roman"/>
                      <w:b/>
                      <w:bCs w:val="0"/>
                      <w:color w:val="auto"/>
                      <w:spacing w:val="-10"/>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42"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938"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938"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909" w:type="dxa"/>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产生量（t/a）</w:t>
                  </w:r>
                </w:p>
              </w:tc>
              <w:tc>
                <w:tcPr>
                  <w:tcW w:w="1116" w:type="dxa"/>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产生速率（kg/h）</w:t>
                  </w:r>
                </w:p>
              </w:tc>
              <w:tc>
                <w:tcPr>
                  <w:tcW w:w="1134" w:type="dxa"/>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产生浓度（mg/m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c>
                <w:tcPr>
                  <w:tcW w:w="837" w:type="dxa"/>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r>
                    <w:rPr>
                      <w:rFonts w:hint="default" w:ascii="Times New Roman" w:hAnsi="Times New Roman" w:eastAsia="宋体" w:cs="Times New Roman"/>
                      <w:b/>
                      <w:bCs w:val="0"/>
                      <w:color w:val="auto"/>
                      <w:spacing w:val="-10"/>
                      <w:sz w:val="21"/>
                      <w:szCs w:val="21"/>
                      <w:lang w:eastAsia="zh-CN"/>
                    </w:rPr>
                    <w:t>收集效率</w:t>
                  </w:r>
                  <w:r>
                    <w:rPr>
                      <w:rFonts w:hint="default" w:ascii="Times New Roman" w:hAnsi="Times New Roman" w:eastAsia="宋体" w:cs="Times New Roman"/>
                      <w:b/>
                      <w:bCs w:val="0"/>
                      <w:color w:val="auto"/>
                      <w:spacing w:val="-10"/>
                      <w:sz w:val="21"/>
                      <w:szCs w:val="21"/>
                    </w:rPr>
                    <w:t>（</w:t>
                  </w:r>
                  <w:r>
                    <w:rPr>
                      <w:rFonts w:hint="default" w:ascii="Times New Roman" w:hAnsi="Times New Roman" w:eastAsia="宋体" w:cs="Times New Roman"/>
                      <w:b/>
                      <w:bCs w:val="0"/>
                      <w:color w:val="auto"/>
                      <w:spacing w:val="-10"/>
                      <w:sz w:val="21"/>
                      <w:szCs w:val="21"/>
                      <w:lang w:val="en-US" w:eastAsia="zh-CN"/>
                    </w:rPr>
                    <w:t>%</w:t>
                  </w:r>
                  <w:r>
                    <w:rPr>
                      <w:rFonts w:hint="default" w:ascii="Times New Roman" w:hAnsi="Times New Roman" w:eastAsia="宋体" w:cs="Times New Roman"/>
                      <w:b/>
                      <w:bCs w:val="0"/>
                      <w:color w:val="auto"/>
                      <w:spacing w:val="-10"/>
                      <w:sz w:val="21"/>
                      <w:szCs w:val="21"/>
                    </w:rPr>
                    <w:t>）</w:t>
                  </w:r>
                </w:p>
              </w:tc>
              <w:tc>
                <w:tcPr>
                  <w:tcW w:w="1389" w:type="dxa"/>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rPr>
                  </w:pPr>
                  <w:r>
                    <w:rPr>
                      <w:rFonts w:hint="default" w:ascii="Times New Roman" w:hAnsi="Times New Roman" w:eastAsia="宋体" w:cs="Times New Roman"/>
                      <w:b/>
                      <w:bCs w:val="0"/>
                      <w:color w:val="auto"/>
                      <w:spacing w:val="-10"/>
                      <w:sz w:val="21"/>
                      <w:szCs w:val="21"/>
                    </w:rPr>
                    <w:t>治理</w:t>
                  </w:r>
                </w:p>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r>
                    <w:rPr>
                      <w:rFonts w:hint="default" w:ascii="Times New Roman" w:hAnsi="Times New Roman" w:eastAsia="宋体" w:cs="Times New Roman"/>
                      <w:b/>
                      <w:bCs w:val="0"/>
                      <w:color w:val="auto"/>
                      <w:spacing w:val="-10"/>
                      <w:sz w:val="21"/>
                      <w:szCs w:val="21"/>
                    </w:rPr>
                    <w:t>工艺</w:t>
                  </w:r>
                </w:p>
              </w:tc>
              <w:tc>
                <w:tcPr>
                  <w:tcW w:w="818" w:type="dxa"/>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r>
                    <w:rPr>
                      <w:rFonts w:hint="default" w:ascii="Times New Roman" w:hAnsi="Times New Roman" w:eastAsia="宋体" w:cs="Times New Roman"/>
                      <w:b/>
                      <w:bCs w:val="0"/>
                      <w:color w:val="auto"/>
                      <w:spacing w:val="-10"/>
                      <w:sz w:val="21"/>
                      <w:szCs w:val="21"/>
                    </w:rPr>
                    <w:t>治理效 率（%）</w:t>
                  </w:r>
                </w:p>
              </w:tc>
              <w:tc>
                <w:tcPr>
                  <w:tcW w:w="882" w:type="dxa"/>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排放量（t/a）</w:t>
                  </w:r>
                </w:p>
              </w:tc>
              <w:tc>
                <w:tcPr>
                  <w:tcW w:w="1150" w:type="dxa"/>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排放速率（kg/h）</w:t>
                  </w:r>
                </w:p>
              </w:tc>
              <w:tc>
                <w:tcPr>
                  <w:tcW w:w="1175" w:type="dxa"/>
                  <w:noWrap w:val="0"/>
                  <w:vAlign w:val="center"/>
                </w:tcPr>
                <w:p>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排放浓度（mg/m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542"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#排气筒</w:t>
                  </w:r>
                </w:p>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抛丸</w:t>
                  </w:r>
                  <w:r>
                    <w:rPr>
                      <w:rFonts w:hint="default" w:ascii="Times New Roman" w:hAnsi="Times New Roman" w:cs="Times New Roman"/>
                      <w:b w:val="0"/>
                      <w:bCs w:val="0"/>
                      <w:color w:val="auto"/>
                      <w:sz w:val="21"/>
                      <w:szCs w:val="21"/>
                      <w:lang w:val="en-US" w:eastAsia="zh-CN"/>
                    </w:rPr>
                    <w:t>废气）</w:t>
                  </w:r>
                </w:p>
              </w:tc>
              <w:tc>
                <w:tcPr>
                  <w:tcW w:w="938" w:type="dxa"/>
                  <w:noWrap w:val="0"/>
                  <w:vAlign w:val="center"/>
                </w:tcPr>
                <w:p>
                  <w:pPr>
                    <w:numPr>
                      <w:ilvl w:val="0"/>
                      <w:numId w:val="0"/>
                    </w:numPr>
                    <w:adjustRightInd w:val="0"/>
                    <w:snapToGrid w:val="0"/>
                    <w:jc w:val="center"/>
                    <w:rPr>
                      <w:rFonts w:hint="default" w:ascii="Times New Roman" w:hAnsi="Times New Roman" w:eastAsia="宋体" w:cs="Times New Roman"/>
                      <w:b w:val="0"/>
                      <w:bCs w:val="0"/>
                      <w:color w:val="auto"/>
                      <w:spacing w:val="-10"/>
                      <w:sz w:val="21"/>
                      <w:szCs w:val="21"/>
                      <w:vertAlign w:val="baseline"/>
                      <w:lang w:eastAsia="zh-CN"/>
                    </w:rPr>
                  </w:pPr>
                  <w:r>
                    <w:rPr>
                      <w:rFonts w:hint="default" w:ascii="Times New Roman" w:hAnsi="Times New Roman" w:cs="Times New Roman"/>
                      <w:bCs/>
                      <w:color w:val="auto"/>
                      <w:sz w:val="21"/>
                      <w:szCs w:val="21"/>
                      <w:lang w:val="en-US" w:eastAsia="zh-CN"/>
                    </w:rPr>
                    <w:t>颗粒物</w:t>
                  </w:r>
                </w:p>
              </w:tc>
              <w:tc>
                <w:tcPr>
                  <w:tcW w:w="9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cs="Times New Roman"/>
                      <w:b w:val="0"/>
                      <w:bCs w:val="0"/>
                      <w:i w:val="0"/>
                      <w:color w:val="auto"/>
                      <w:kern w:val="0"/>
                      <w:sz w:val="21"/>
                      <w:szCs w:val="21"/>
                      <w:u w:val="none"/>
                      <w:lang w:val="en-US" w:eastAsia="zh-CN" w:bidi="ar"/>
                    </w:rPr>
                    <w:t>3</w:t>
                  </w:r>
                  <w:r>
                    <w:rPr>
                      <w:rFonts w:hint="default" w:ascii="Times New Roman" w:hAnsi="Times New Roman" w:eastAsia="宋体" w:cs="Times New Roman"/>
                      <w:b w:val="0"/>
                      <w:bCs w:val="0"/>
                      <w:i w:val="0"/>
                      <w:color w:val="auto"/>
                      <w:kern w:val="0"/>
                      <w:sz w:val="21"/>
                      <w:szCs w:val="21"/>
                      <w:u w:val="none"/>
                      <w:lang w:val="en-US" w:eastAsia="zh-CN" w:bidi="ar"/>
                    </w:rPr>
                    <w:t>000</w:t>
                  </w:r>
                </w:p>
              </w:tc>
              <w:tc>
                <w:tcPr>
                  <w:tcW w:w="909"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1.3140 </w:t>
                  </w:r>
                </w:p>
              </w:tc>
              <w:tc>
                <w:tcPr>
                  <w:tcW w:w="1116"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0.7300 </w:t>
                  </w:r>
                </w:p>
              </w:tc>
              <w:tc>
                <w:tcPr>
                  <w:tcW w:w="1134"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243.3 </w:t>
                  </w:r>
                </w:p>
              </w:tc>
              <w:tc>
                <w:tcPr>
                  <w:tcW w:w="837"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389"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布袋除尘器</w:t>
                  </w:r>
                </w:p>
              </w:tc>
              <w:tc>
                <w:tcPr>
                  <w:tcW w:w="818"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882"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0.0657 </w:t>
                  </w:r>
                </w:p>
              </w:tc>
              <w:tc>
                <w:tcPr>
                  <w:tcW w:w="1150"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0.0365 </w:t>
                  </w:r>
                </w:p>
              </w:tc>
              <w:tc>
                <w:tcPr>
                  <w:tcW w:w="1175" w:type="dxa"/>
                  <w:noWrap w:val="0"/>
                  <w:vAlign w:val="center"/>
                </w:tcPr>
                <w:p>
                  <w:pPr>
                    <w:numPr>
                      <w:ilvl w:val="0"/>
                      <w:numId w:val="0"/>
                    </w:num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12.2 </w:t>
                  </w:r>
                </w:p>
              </w:tc>
            </w:tr>
          </w:tbl>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lang w:val="en-US" w:eastAsia="zh-CN" w:bidi="ar"/>
              </w:rPr>
              <w:t xml:space="preserve">2、废气排放口基本情况 </w:t>
            </w:r>
          </w:p>
          <w:p>
            <w:pPr>
              <w:keepNext w:val="0"/>
              <w:keepLines w:val="0"/>
              <w:widowControl/>
              <w:suppressLineNumbers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废气排放口基本情况见表 4-</w:t>
            </w: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w:t>
            </w:r>
          </w:p>
          <w:p>
            <w:pPr>
              <w:keepNext w:val="0"/>
              <w:keepLines w:val="0"/>
              <w:widowControl/>
              <w:suppressLineNumbers w:val="0"/>
              <w:jc w:val="center"/>
              <w:rPr>
                <w:rFonts w:hint="default" w:ascii="Times New Roman" w:hAnsi="Times New Roman" w:eastAsia="宋体" w:cs="Times New Roman"/>
                <w:b/>
                <w:bCs w:val="0"/>
                <w:color w:val="auto"/>
                <w:spacing w:val="-10"/>
                <w:sz w:val="21"/>
                <w:szCs w:val="21"/>
                <w:lang w:val="en-US" w:eastAsia="zh-CN"/>
              </w:rPr>
            </w:pPr>
            <w:r>
              <w:rPr>
                <w:rFonts w:hint="default" w:ascii="Times New Roman" w:hAnsi="Times New Roman" w:eastAsia="宋体" w:cs="Times New Roman"/>
                <w:b/>
                <w:bCs w:val="0"/>
                <w:color w:val="auto"/>
                <w:spacing w:val="-10"/>
                <w:sz w:val="21"/>
                <w:szCs w:val="21"/>
                <w:lang w:val="en-US" w:eastAsia="zh-CN"/>
              </w:rPr>
              <w:t>表 4-</w:t>
            </w:r>
            <w:r>
              <w:rPr>
                <w:rFonts w:hint="eastAsia" w:cs="Times New Roman"/>
                <w:b/>
                <w:bCs w:val="0"/>
                <w:color w:val="auto"/>
                <w:spacing w:val="-10"/>
                <w:sz w:val="21"/>
                <w:szCs w:val="21"/>
                <w:lang w:val="en-US" w:eastAsia="zh-CN"/>
              </w:rPr>
              <w:t>2</w:t>
            </w:r>
            <w:r>
              <w:rPr>
                <w:rFonts w:hint="default" w:ascii="Times New Roman" w:hAnsi="Times New Roman" w:eastAsia="宋体" w:cs="Times New Roman"/>
                <w:b/>
                <w:bCs w:val="0"/>
                <w:color w:val="auto"/>
                <w:spacing w:val="-10"/>
                <w:sz w:val="21"/>
                <w:szCs w:val="21"/>
                <w:lang w:val="en-US" w:eastAsia="zh-CN"/>
              </w:rPr>
              <w:t>废气排放口基本情况一览表</w:t>
            </w:r>
          </w:p>
          <w:tbl>
            <w:tblPr>
              <w:tblStyle w:val="28"/>
              <w:tblW w:w="12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013"/>
              <w:gridCol w:w="1330"/>
              <w:gridCol w:w="1124"/>
              <w:gridCol w:w="993"/>
              <w:gridCol w:w="1134"/>
              <w:gridCol w:w="928"/>
              <w:gridCol w:w="879"/>
              <w:gridCol w:w="1372"/>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序号</w:t>
                  </w:r>
                </w:p>
              </w:tc>
              <w:tc>
                <w:tcPr>
                  <w:tcW w:w="2013" w:type="dxa"/>
                  <w:vMerge w:val="restart"/>
                  <w:noWrap w:val="0"/>
                  <w:vAlign w:val="center"/>
                </w:tcPr>
                <w:p>
                  <w:pPr>
                    <w:numPr>
                      <w:ilvl w:val="0"/>
                      <w:numId w:val="0"/>
                    </w:numPr>
                    <w:adjustRightInd w:val="0"/>
                    <w:snapToGrid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名称</w:t>
                  </w:r>
                </w:p>
              </w:tc>
              <w:tc>
                <w:tcPr>
                  <w:tcW w:w="2454" w:type="dxa"/>
                  <w:gridSpan w:val="2"/>
                  <w:noWrap w:val="0"/>
                  <w:vAlign w:val="center"/>
                </w:tcPr>
                <w:p>
                  <w:pPr>
                    <w:numPr>
                      <w:ilvl w:val="0"/>
                      <w:numId w:val="0"/>
                    </w:numPr>
                    <w:adjustRightInd w:val="0"/>
                    <w:snapToGrid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排放口地理坐标</w:t>
                  </w:r>
                </w:p>
              </w:tc>
              <w:tc>
                <w:tcPr>
                  <w:tcW w:w="993"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排气筒高度/m</w:t>
                  </w:r>
                </w:p>
              </w:tc>
              <w:tc>
                <w:tcPr>
                  <w:tcW w:w="1134"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排气筒出口内径/m</w:t>
                  </w:r>
                </w:p>
              </w:tc>
              <w:tc>
                <w:tcPr>
                  <w:tcW w:w="928"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烟气温度/℃</w:t>
                  </w:r>
                </w:p>
              </w:tc>
              <w:tc>
                <w:tcPr>
                  <w:tcW w:w="879"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spacing w:val="-10"/>
                      <w:sz w:val="21"/>
                      <w:szCs w:val="21"/>
                      <w:vertAlign w:val="baseline"/>
                    </w:rPr>
                  </w:pPr>
                  <w:r>
                    <w:rPr>
                      <w:rFonts w:hint="default" w:ascii="Times New Roman" w:hAnsi="Times New Roman" w:eastAsia="宋体" w:cs="Times New Roman"/>
                      <w:b/>
                      <w:bCs/>
                      <w:i w:val="0"/>
                      <w:iCs w:val="0"/>
                      <w:color w:val="auto"/>
                      <w:kern w:val="0"/>
                      <w:sz w:val="21"/>
                      <w:szCs w:val="21"/>
                      <w:lang w:val="en-US" w:eastAsia="zh-CN" w:bidi="ar"/>
                    </w:rPr>
                    <w:t>排放口类型</w:t>
                  </w:r>
                </w:p>
              </w:tc>
              <w:tc>
                <w:tcPr>
                  <w:tcW w:w="1372"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kern w:val="0"/>
                      <w:sz w:val="21"/>
                      <w:szCs w:val="21"/>
                      <w:lang w:val="en-US" w:eastAsia="zh-CN" w:bidi="ar"/>
                    </w:rPr>
                  </w:pPr>
                  <w:r>
                    <w:rPr>
                      <w:rFonts w:hint="default" w:ascii="Times New Roman" w:hAnsi="Times New Roman" w:eastAsia="宋体" w:cs="Times New Roman"/>
                      <w:b/>
                      <w:bCs/>
                      <w:i w:val="0"/>
                      <w:iCs w:val="0"/>
                      <w:color w:val="auto"/>
                      <w:kern w:val="0"/>
                      <w:sz w:val="21"/>
                      <w:szCs w:val="21"/>
                      <w:lang w:val="en-US" w:eastAsia="zh-CN" w:bidi="ar"/>
                    </w:rPr>
                    <w:t>排放污染物</w:t>
                  </w:r>
                </w:p>
              </w:tc>
              <w:tc>
                <w:tcPr>
                  <w:tcW w:w="2314" w:type="dxa"/>
                  <w:vMerge w:val="restart"/>
                  <w:noWrap w:val="0"/>
                  <w:vAlign w:val="center"/>
                </w:tcPr>
                <w:p>
                  <w:pPr>
                    <w:keepNext w:val="0"/>
                    <w:keepLines w:val="0"/>
                    <w:widowControl/>
                    <w:suppressLineNumbers w:val="0"/>
                    <w:jc w:val="center"/>
                    <w:rPr>
                      <w:rFonts w:hint="default" w:ascii="Times New Roman" w:hAnsi="Times New Roman" w:eastAsia="宋体" w:cs="Times New Roman"/>
                      <w:b/>
                      <w:bCs/>
                      <w:i w:val="0"/>
                      <w:iCs w:val="0"/>
                      <w:color w:val="auto"/>
                      <w:kern w:val="0"/>
                      <w:sz w:val="21"/>
                      <w:szCs w:val="21"/>
                      <w:lang w:val="en-US" w:eastAsia="zh-CN" w:bidi="ar"/>
                    </w:rPr>
                  </w:pPr>
                  <w:r>
                    <w:rPr>
                      <w:rFonts w:hint="default" w:ascii="Times New Roman" w:hAnsi="Times New Roman" w:eastAsia="宋体" w:cs="Times New Roman"/>
                      <w:b/>
                      <w:bCs/>
                      <w:i w:val="0"/>
                      <w:iCs w:val="0"/>
                      <w:color w:val="auto"/>
                      <w:kern w:val="0"/>
                      <w:sz w:val="21"/>
                      <w:szCs w:val="21"/>
                      <w:lang w:val="en-US" w:eastAsia="zh-CN" w:bidi="ar"/>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8"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2013"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1330" w:type="dxa"/>
                  <w:noWrap w:val="0"/>
                  <w:vAlign w:val="center"/>
                </w:tcPr>
                <w:p>
                  <w:pPr>
                    <w:keepNext w:val="0"/>
                    <w:keepLines w:val="0"/>
                    <w:widowControl/>
                    <w:suppressLineNumbers w:val="0"/>
                    <w:jc w:val="center"/>
                    <w:rPr>
                      <w:rFonts w:hint="default" w:ascii="Times New Roman" w:hAnsi="Times New Roman" w:eastAsia="宋体" w:cs="Times New Roman"/>
                      <w:b/>
                      <w:bCs/>
                      <w:color w:val="auto"/>
                      <w:spacing w:val="-10"/>
                      <w:sz w:val="21"/>
                      <w:szCs w:val="21"/>
                      <w:vertAlign w:val="baseline"/>
                    </w:rPr>
                  </w:pPr>
                  <w:r>
                    <w:rPr>
                      <w:rFonts w:hint="default" w:ascii="Times New Roman" w:hAnsi="Times New Roman" w:eastAsia="宋体" w:cs="Times New Roman"/>
                      <w:b/>
                      <w:bCs/>
                      <w:color w:val="auto"/>
                      <w:kern w:val="0"/>
                      <w:sz w:val="21"/>
                      <w:szCs w:val="21"/>
                      <w:lang w:val="en-US" w:eastAsia="zh-CN" w:bidi="ar"/>
                    </w:rPr>
                    <w:t>经度</w:t>
                  </w:r>
                </w:p>
              </w:tc>
              <w:tc>
                <w:tcPr>
                  <w:tcW w:w="1124" w:type="dxa"/>
                  <w:noWrap w:val="0"/>
                  <w:vAlign w:val="center"/>
                </w:tcPr>
                <w:p>
                  <w:pPr>
                    <w:numPr>
                      <w:ilvl w:val="0"/>
                      <w:numId w:val="0"/>
                    </w:numPr>
                    <w:adjustRightInd w:val="0"/>
                    <w:snapToGrid w:val="0"/>
                    <w:jc w:val="center"/>
                    <w:rPr>
                      <w:rFonts w:hint="default" w:ascii="Times New Roman" w:hAnsi="Times New Roman" w:eastAsia="宋体" w:cs="Times New Roman"/>
                      <w:b/>
                      <w:bCs/>
                      <w:color w:val="auto"/>
                      <w:spacing w:val="-10"/>
                      <w:sz w:val="21"/>
                      <w:szCs w:val="21"/>
                      <w:vertAlign w:val="baseline"/>
                    </w:rPr>
                  </w:pPr>
                  <w:r>
                    <w:rPr>
                      <w:rFonts w:hint="default" w:ascii="Times New Roman" w:hAnsi="Times New Roman" w:eastAsia="宋体" w:cs="Times New Roman"/>
                      <w:b/>
                      <w:bCs/>
                      <w:color w:val="auto"/>
                      <w:kern w:val="0"/>
                      <w:sz w:val="21"/>
                      <w:szCs w:val="21"/>
                      <w:lang w:val="en-US" w:eastAsia="zh-CN" w:bidi="ar"/>
                    </w:rPr>
                    <w:t>纬度</w:t>
                  </w:r>
                </w:p>
              </w:tc>
              <w:tc>
                <w:tcPr>
                  <w:tcW w:w="993"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1134"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928"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879"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1372"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c>
                <w:tcPr>
                  <w:tcW w:w="2314" w:type="dxa"/>
                  <w:vMerge w:val="continue"/>
                  <w:noWrap w:val="0"/>
                  <w:vAlign w:val="center"/>
                </w:tcPr>
                <w:p>
                  <w:pPr>
                    <w:numPr>
                      <w:ilvl w:val="0"/>
                      <w:numId w:val="0"/>
                    </w:numPr>
                    <w:adjustRightInd w:val="0"/>
                    <w:snapToGrid w:val="0"/>
                    <w:jc w:val="center"/>
                    <w:rPr>
                      <w:rFonts w:hint="default" w:ascii="Times New Roman" w:hAnsi="Times New Roman" w:eastAsia="宋体" w:cs="Times New Roman"/>
                      <w:b/>
                      <w:bCs w:val="0"/>
                      <w:color w:val="auto"/>
                      <w:spacing w:val="-1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rPr>
                    <w:t>DA00</w:t>
                  </w:r>
                  <w:r>
                    <w:rPr>
                      <w:rFonts w:hint="default" w:ascii="Times New Roman" w:hAnsi="Times New Roman" w:eastAsia="宋体" w:cs="Times New Roman"/>
                      <w:b w:val="0"/>
                      <w:bCs/>
                      <w:color w:val="auto"/>
                      <w:spacing w:val="-10"/>
                      <w:sz w:val="21"/>
                      <w:szCs w:val="21"/>
                      <w:vertAlign w:val="baseline"/>
                      <w:lang w:val="en-US" w:eastAsia="zh-CN"/>
                    </w:rPr>
                    <w:t>1</w:t>
                  </w:r>
                </w:p>
              </w:tc>
              <w:tc>
                <w:tcPr>
                  <w:tcW w:w="2013" w:type="dxa"/>
                  <w:noWrap w:val="0"/>
                  <w:vAlign w:val="center"/>
                </w:tcPr>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#排气筒</w:t>
                  </w:r>
                </w:p>
                <w:p>
                  <w:pPr>
                    <w:pStyle w:val="50"/>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抛丸</w:t>
                  </w:r>
                  <w:r>
                    <w:rPr>
                      <w:rFonts w:hint="default" w:ascii="Times New Roman" w:hAnsi="Times New Roman" w:cs="Times New Roman"/>
                      <w:b w:val="0"/>
                      <w:bCs w:val="0"/>
                      <w:color w:val="auto"/>
                      <w:sz w:val="21"/>
                      <w:szCs w:val="21"/>
                      <w:lang w:val="en-US" w:eastAsia="zh-CN"/>
                    </w:rPr>
                    <w:t>废气）</w:t>
                  </w:r>
                </w:p>
              </w:tc>
              <w:tc>
                <w:tcPr>
                  <w:tcW w:w="1330"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106.13477</w:t>
                  </w:r>
                </w:p>
              </w:tc>
              <w:tc>
                <w:tcPr>
                  <w:tcW w:w="1124"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eastAsia="zh-CN"/>
                    </w:rPr>
                  </w:pPr>
                  <w:r>
                    <w:rPr>
                      <w:rFonts w:hint="default" w:ascii="Times New Roman" w:hAnsi="Times New Roman" w:eastAsia="宋体" w:cs="Times New Roman"/>
                      <w:b w:val="0"/>
                      <w:bCs/>
                      <w:color w:val="auto"/>
                      <w:spacing w:val="-10"/>
                      <w:sz w:val="21"/>
                      <w:szCs w:val="21"/>
                      <w:vertAlign w:val="baseline"/>
                      <w:lang w:val="en-US" w:eastAsia="zh-CN"/>
                    </w:rPr>
                    <w:t>29.83819</w:t>
                  </w:r>
                </w:p>
              </w:tc>
              <w:tc>
                <w:tcPr>
                  <w:tcW w:w="993"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rPr>
                  </w:pPr>
                  <w:r>
                    <w:rPr>
                      <w:rFonts w:hint="default" w:ascii="Times New Roman" w:hAnsi="Times New Roman"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lang w:val="en-US" w:eastAsia="zh-CN"/>
                    </w:rPr>
                    <w:t>5</w:t>
                  </w:r>
                </w:p>
              </w:tc>
              <w:tc>
                <w:tcPr>
                  <w:tcW w:w="1134" w:type="dxa"/>
                  <w:noWrap w:val="0"/>
                  <w:vAlign w:val="center"/>
                </w:tcPr>
                <w:p>
                  <w:pPr>
                    <w:numPr>
                      <w:ilvl w:val="0"/>
                      <w:numId w:val="0"/>
                    </w:num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0.3</w:t>
                  </w:r>
                </w:p>
              </w:tc>
              <w:tc>
                <w:tcPr>
                  <w:tcW w:w="928"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25</w:t>
                  </w:r>
                </w:p>
              </w:tc>
              <w:tc>
                <w:tcPr>
                  <w:tcW w:w="879"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一般</w:t>
                  </w:r>
                </w:p>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排放口</w:t>
                  </w:r>
                </w:p>
              </w:tc>
              <w:tc>
                <w:tcPr>
                  <w:tcW w:w="1372"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颗粒物</w:t>
                  </w:r>
                </w:p>
              </w:tc>
              <w:tc>
                <w:tcPr>
                  <w:tcW w:w="2314" w:type="dxa"/>
                  <w:noWrap w:val="0"/>
                  <w:vAlign w:val="center"/>
                </w:tcPr>
                <w:p>
                  <w:pPr>
                    <w:numPr>
                      <w:ilvl w:val="0"/>
                      <w:numId w:val="0"/>
                    </w:numPr>
                    <w:adjustRightInd w:val="0"/>
                    <w:snapToGrid w:val="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cs="Times New Roman"/>
                      <w:color w:val="auto"/>
                      <w:sz w:val="21"/>
                      <w:szCs w:val="21"/>
                      <w:lang w:eastAsia="zh-CN"/>
                    </w:rPr>
                    <w:t>《大气污染物综合排放标准》（DB50/418－2016）表1</w:t>
                  </w:r>
                  <w:r>
                    <w:rPr>
                      <w:rFonts w:hint="default" w:ascii="Times New Roman" w:hAnsi="Times New Roman" w:cs="Times New Roman"/>
                      <w:color w:val="auto"/>
                      <w:sz w:val="21"/>
                      <w:szCs w:val="21"/>
                    </w:rPr>
                    <w:t>排放限值</w:t>
                  </w:r>
                </w:p>
              </w:tc>
            </w:tr>
          </w:tbl>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废气达标排放分析</w:t>
            </w:r>
          </w:p>
          <w:p>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 废气达标排放分析表</w:t>
            </w:r>
          </w:p>
          <w:tbl>
            <w:tblPr>
              <w:tblStyle w:val="27"/>
              <w:tblW w:w="12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8"/>
              <w:gridCol w:w="1033"/>
              <w:gridCol w:w="960"/>
              <w:gridCol w:w="1090"/>
              <w:gridCol w:w="1220"/>
              <w:gridCol w:w="1663"/>
              <w:gridCol w:w="2574"/>
              <w:gridCol w:w="1091"/>
              <w:gridCol w:w="1500"/>
              <w:gridCol w:w="7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878"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排放口名称</w:t>
                  </w:r>
                </w:p>
              </w:tc>
              <w:tc>
                <w:tcPr>
                  <w:tcW w:w="1033"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污染物</w:t>
                  </w:r>
                </w:p>
              </w:tc>
              <w:tc>
                <w:tcPr>
                  <w:tcW w:w="3270" w:type="dxa"/>
                  <w:gridSpan w:val="3"/>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排放情况</w:t>
                  </w:r>
                </w:p>
              </w:tc>
              <w:tc>
                <w:tcPr>
                  <w:tcW w:w="1663"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治理措施</w:t>
                  </w:r>
                </w:p>
              </w:tc>
              <w:tc>
                <w:tcPr>
                  <w:tcW w:w="5165" w:type="dxa"/>
                  <w:gridSpan w:val="3"/>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排放要求</w:t>
                  </w:r>
                </w:p>
              </w:tc>
              <w:tc>
                <w:tcPr>
                  <w:tcW w:w="786"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val="0"/>
                      <w:bCs/>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78" w:type="dxa"/>
                  <w:vMerge w:val="continue"/>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p>
              </w:tc>
              <w:tc>
                <w:tcPr>
                  <w:tcW w:w="1033" w:type="dxa"/>
                  <w:vMerge w:val="continue"/>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排放量（t/a）</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排放速率（kg/h）</w:t>
                  </w:r>
                </w:p>
              </w:tc>
              <w:tc>
                <w:tcPr>
                  <w:tcW w:w="1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排放浓度（mg/m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c>
                <w:tcPr>
                  <w:tcW w:w="1663" w:type="dxa"/>
                  <w:vMerge w:val="continue"/>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p>
              </w:tc>
              <w:tc>
                <w:tcPr>
                  <w:tcW w:w="2574"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排放标准</w:t>
                  </w:r>
                </w:p>
              </w:tc>
              <w:tc>
                <w:tcPr>
                  <w:tcW w:w="1091"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排放速率(kg/h)</w:t>
                  </w:r>
                </w:p>
              </w:tc>
              <w:tc>
                <w:tcPr>
                  <w:tcW w:w="1500"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val="0"/>
                      <w:color w:val="auto"/>
                      <w:spacing w:val="-10"/>
                      <w:sz w:val="21"/>
                      <w:szCs w:val="21"/>
                      <w:vertAlign w:val="baseline"/>
                      <w:lang w:eastAsia="zh-CN"/>
                    </w:rPr>
                  </w:pPr>
                  <w:r>
                    <w:rPr>
                      <w:rFonts w:hint="default" w:ascii="Times New Roman" w:hAnsi="Times New Roman" w:eastAsia="宋体" w:cs="Times New Roman"/>
                      <w:b/>
                      <w:bCs w:val="0"/>
                      <w:color w:val="auto"/>
                      <w:spacing w:val="-10"/>
                      <w:sz w:val="21"/>
                      <w:szCs w:val="21"/>
                      <w:vertAlign w:val="baseline"/>
                      <w:lang w:eastAsia="zh-CN"/>
                    </w:rPr>
                    <w:t>排放浓度限值(mg/m</w:t>
                  </w:r>
                  <w:r>
                    <w:rPr>
                      <w:rFonts w:hint="default" w:ascii="Times New Roman" w:hAnsi="Times New Roman" w:cs="Times New Roman"/>
                      <w:b/>
                      <w:bCs w:val="0"/>
                      <w:color w:val="auto"/>
                      <w:spacing w:val="-10"/>
                      <w:sz w:val="21"/>
                      <w:szCs w:val="21"/>
                      <w:vertAlign w:val="superscript"/>
                      <w:lang w:val="en-US" w:eastAsia="zh-CN"/>
                    </w:rPr>
                    <w:t>3</w:t>
                  </w:r>
                  <w:r>
                    <w:rPr>
                      <w:rFonts w:hint="default" w:ascii="Times New Roman" w:hAnsi="Times New Roman" w:eastAsia="宋体" w:cs="Times New Roman"/>
                      <w:b/>
                      <w:bCs w:val="0"/>
                      <w:color w:val="auto"/>
                      <w:spacing w:val="-10"/>
                      <w:sz w:val="21"/>
                      <w:szCs w:val="21"/>
                      <w:vertAlign w:val="baseline"/>
                      <w:lang w:eastAsia="zh-CN"/>
                    </w:rPr>
                    <w:t>)</w:t>
                  </w:r>
                </w:p>
              </w:tc>
              <w:tc>
                <w:tcPr>
                  <w:tcW w:w="786" w:type="dxa"/>
                  <w:vMerge w:val="continue"/>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val="0"/>
                      <w:bCs/>
                      <w:color w:val="auto"/>
                      <w:spacing w:val="-10"/>
                      <w:sz w:val="21"/>
                      <w:szCs w:val="21"/>
                      <w:vertAlign w:val="baseli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78"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val="0"/>
                      <w:bCs/>
                      <w:color w:val="auto"/>
                      <w:spacing w:val="-10"/>
                      <w:sz w:val="21"/>
                      <w:szCs w:val="21"/>
                      <w:vertAlign w:val="baseline"/>
                      <w:lang w:eastAsia="zh-CN"/>
                    </w:rPr>
                  </w:pPr>
                  <w:r>
                    <w:rPr>
                      <w:rFonts w:hint="default" w:ascii="Times New Roman" w:hAnsi="Times New Roman" w:eastAsia="宋体" w:cs="Times New Roman"/>
                      <w:b w:val="0"/>
                      <w:bCs/>
                      <w:color w:val="auto"/>
                      <w:spacing w:val="-10"/>
                      <w:sz w:val="21"/>
                      <w:szCs w:val="21"/>
                      <w:vertAlign w:val="baseline"/>
                      <w:lang w:val="en-US" w:eastAsia="zh-CN"/>
                    </w:rPr>
                    <w:t>1</w:t>
                  </w:r>
                  <w:r>
                    <w:rPr>
                      <w:rFonts w:hint="default" w:ascii="Times New Roman" w:hAnsi="Times New Roman" w:eastAsia="宋体" w:cs="Times New Roman"/>
                      <w:b w:val="0"/>
                      <w:bCs/>
                      <w:color w:val="auto"/>
                      <w:spacing w:val="-10"/>
                      <w:sz w:val="21"/>
                      <w:szCs w:val="21"/>
                      <w:vertAlign w:val="baseline"/>
                      <w:lang w:eastAsia="zh-CN"/>
                    </w:rPr>
                    <w:t>#排</w:t>
                  </w:r>
                </w:p>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eastAsia="zh-CN"/>
                    </w:rPr>
                    <w:t>气筒</w:t>
                  </w:r>
                </w:p>
              </w:tc>
              <w:tc>
                <w:tcPr>
                  <w:tcW w:w="1033"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val="0"/>
                      <w:color w:val="auto"/>
                      <w:spacing w:val="-10"/>
                      <w:kern w:val="2"/>
                      <w:sz w:val="21"/>
                      <w:szCs w:val="21"/>
                      <w:vertAlign w:val="baseline"/>
                      <w:lang w:val="en-US" w:eastAsia="zh-CN" w:bidi="ar-SA"/>
                    </w:rPr>
                  </w:pPr>
                  <w:r>
                    <w:rPr>
                      <w:rFonts w:hint="default" w:ascii="Times New Roman" w:hAnsi="Times New Roman" w:eastAsia="宋体" w:cs="Times New Roman"/>
                      <w:b w:val="0"/>
                      <w:bCs w:val="0"/>
                      <w:color w:val="auto"/>
                      <w:spacing w:val="-10"/>
                      <w:sz w:val="21"/>
                      <w:szCs w:val="21"/>
                      <w:vertAlign w:val="baseline"/>
                      <w:lang w:eastAsia="zh-CN"/>
                    </w:rPr>
                    <w:t>颗粒物</w:t>
                  </w:r>
                </w:p>
              </w:tc>
              <w:tc>
                <w:tcPr>
                  <w:tcW w:w="960"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 xml:space="preserve">0.0657 </w:t>
                  </w:r>
                </w:p>
              </w:tc>
              <w:tc>
                <w:tcPr>
                  <w:tcW w:w="1090"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 xml:space="preserve">0.0365 </w:t>
                  </w:r>
                </w:p>
              </w:tc>
              <w:tc>
                <w:tcPr>
                  <w:tcW w:w="1220"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 xml:space="preserve">12.2 </w:t>
                  </w:r>
                </w:p>
              </w:tc>
              <w:tc>
                <w:tcPr>
                  <w:tcW w:w="1663"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cs="Times New Roman"/>
                      <w:b w:val="0"/>
                      <w:bCs w:val="0"/>
                      <w:color w:val="auto"/>
                      <w:sz w:val="21"/>
                      <w:szCs w:val="21"/>
                      <w:lang w:eastAsia="zh-CN"/>
                    </w:rPr>
                    <w:t>布袋除尘器</w:t>
                  </w:r>
                </w:p>
              </w:tc>
              <w:tc>
                <w:tcPr>
                  <w:tcW w:w="2574"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kern w:val="2"/>
                      <w:sz w:val="21"/>
                      <w:szCs w:val="21"/>
                      <w:vertAlign w:val="baseline"/>
                      <w:lang w:val="en-US" w:eastAsia="zh-CN" w:bidi="ar-SA"/>
                    </w:rPr>
                  </w:pPr>
                  <w:r>
                    <w:rPr>
                      <w:rFonts w:hint="default" w:ascii="Times New Roman" w:hAnsi="Times New Roman" w:cs="Times New Roman"/>
                      <w:color w:val="auto"/>
                      <w:sz w:val="21"/>
                      <w:szCs w:val="21"/>
                      <w:lang w:eastAsia="zh-CN"/>
                    </w:rPr>
                    <w:t>《大气污染物综合排放标准》（DB50/418－2016）表1</w:t>
                  </w:r>
                  <w:r>
                    <w:rPr>
                      <w:rFonts w:hint="default" w:ascii="Times New Roman" w:hAnsi="Times New Roman" w:cs="Times New Roman"/>
                      <w:color w:val="auto"/>
                      <w:sz w:val="21"/>
                      <w:szCs w:val="21"/>
                    </w:rPr>
                    <w:t>排放限值</w:t>
                  </w:r>
                </w:p>
              </w:tc>
              <w:tc>
                <w:tcPr>
                  <w:tcW w:w="1091"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cs="Times New Roman"/>
                      <w:color w:val="auto"/>
                      <w:sz w:val="21"/>
                      <w:szCs w:val="21"/>
                      <w:lang w:val="en-US" w:eastAsia="zh-CN"/>
                    </w:rPr>
                    <w:t>2.95</w:t>
                  </w:r>
                </w:p>
              </w:tc>
              <w:tc>
                <w:tcPr>
                  <w:tcW w:w="1500" w:type="dxa"/>
                  <w:tcBorders>
                    <w:tl2br w:val="nil"/>
                    <w:tr2bl w:val="nil"/>
                  </w:tcBorders>
                  <w:noWrap w:val="0"/>
                  <w:vAlign w:val="center"/>
                </w:tcPr>
                <w:p>
                  <w:pPr>
                    <w:numPr>
                      <w:ilvl w:val="0"/>
                      <w:numId w:val="0"/>
                    </w:numPr>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1</w:t>
                  </w:r>
                  <w:r>
                    <w:rPr>
                      <w:rFonts w:hint="default" w:ascii="Times New Roman" w:hAnsi="Times New Roman" w:cs="Times New Roman"/>
                      <w:b w:val="0"/>
                      <w:bCs/>
                      <w:color w:val="auto"/>
                      <w:spacing w:val="-10"/>
                      <w:sz w:val="21"/>
                      <w:szCs w:val="21"/>
                      <w:vertAlign w:val="baseline"/>
                      <w:lang w:val="en-US" w:eastAsia="zh-CN"/>
                    </w:rPr>
                    <w:t>2</w:t>
                  </w:r>
                  <w:r>
                    <w:rPr>
                      <w:rFonts w:hint="default" w:ascii="Times New Roman" w:hAnsi="Times New Roman" w:eastAsia="宋体" w:cs="Times New Roman"/>
                      <w:b w:val="0"/>
                      <w:bCs/>
                      <w:color w:val="auto"/>
                      <w:spacing w:val="-10"/>
                      <w:sz w:val="21"/>
                      <w:szCs w:val="21"/>
                      <w:vertAlign w:val="baseline"/>
                      <w:lang w:val="en-US" w:eastAsia="zh-CN"/>
                    </w:rPr>
                    <w:t>0</w:t>
                  </w:r>
                </w:p>
              </w:tc>
              <w:tc>
                <w:tcPr>
                  <w:tcW w:w="78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达标</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4、废气治理措施的可行性分析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
                <w:bCs/>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根据</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排污许可证申请与核发技术规范 总则</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（HJ942—2018）</w:t>
            </w:r>
            <w:r>
              <w:rPr>
                <w:rFonts w:hint="default" w:ascii="Times New Roman" w:hAnsi="Times New Roman" w:eastAsia="宋体" w:cs="Times New Roman"/>
                <w:b w:val="0"/>
                <w:bCs w:val="0"/>
                <w:color w:val="auto"/>
                <w:kern w:val="0"/>
                <w:sz w:val="21"/>
                <w:szCs w:val="21"/>
                <w:lang w:val="en-US" w:eastAsia="zh-CN" w:bidi="ar"/>
              </w:rPr>
              <w:t>，本项目</w:t>
            </w:r>
            <w:r>
              <w:rPr>
                <w:rFonts w:hint="default" w:ascii="Times New Roman" w:hAnsi="Times New Roman" w:cs="Times New Roman"/>
                <w:b w:val="0"/>
                <w:bCs w:val="0"/>
                <w:color w:val="auto"/>
                <w:sz w:val="21"/>
                <w:szCs w:val="21"/>
                <w:lang w:eastAsia="zh-CN"/>
              </w:rPr>
              <w:t>采用</w:t>
            </w:r>
            <w:r>
              <w:rPr>
                <w:rFonts w:hint="default" w:ascii="Times New Roman" w:hAnsi="Times New Roman" w:eastAsia="宋体" w:cs="Times New Roman"/>
                <w:color w:val="auto"/>
                <w:kern w:val="0"/>
                <w:sz w:val="21"/>
                <w:szCs w:val="21"/>
                <w:lang w:val="en-US" w:eastAsia="zh-CN" w:bidi="ar"/>
              </w:rPr>
              <w:t>布袋除尘器</w:t>
            </w:r>
            <w:r>
              <w:rPr>
                <w:rFonts w:hint="default" w:ascii="Times New Roman" w:hAnsi="Times New Roman" w:eastAsia="宋体" w:cs="Times New Roman"/>
                <w:b w:val="0"/>
                <w:bCs w:val="0"/>
                <w:color w:val="auto"/>
                <w:sz w:val="21"/>
                <w:szCs w:val="21"/>
              </w:rPr>
              <w:t>的废气处理方式，</w:t>
            </w:r>
            <w:r>
              <w:rPr>
                <w:rFonts w:hint="default" w:ascii="Times New Roman" w:hAnsi="Times New Roman" w:cs="Times New Roman"/>
                <w:b w:val="0"/>
                <w:bCs w:val="0"/>
                <w:color w:val="auto"/>
                <w:sz w:val="21"/>
                <w:szCs w:val="21"/>
                <w:lang w:eastAsia="zh-CN"/>
              </w:rPr>
              <w:t>属于推荐的污染防治设施可行技术；另根据表4-</w:t>
            </w: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eastAsia="zh-CN"/>
              </w:rPr>
              <w:t>废气达标排放分析表可知，本项目产生的废气处理后可达标排放，废气处理设施有效。</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0"/>
                <w:szCs w:val="20"/>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0"/>
                <w:szCs w:val="20"/>
                <w:lang w:val="en-US" w:eastAsia="zh-CN" w:bidi="ar"/>
              </w:rPr>
            </w:pPr>
            <w:r>
              <w:rPr>
                <w:rFonts w:hint="default" w:ascii="Times New Roman" w:hAnsi="Times New Roman" w:eastAsia="宋体" w:cs="Times New Roman"/>
                <w:b/>
                <w:bCs/>
                <w:color w:val="auto"/>
                <w:kern w:val="0"/>
                <w:sz w:val="20"/>
                <w:szCs w:val="20"/>
                <w:lang w:val="en-US" w:eastAsia="zh-CN" w:bidi="ar"/>
              </w:rPr>
              <w:t xml:space="preserve">5、 废气监测计划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0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kern w:val="0"/>
                <w:sz w:val="20"/>
                <w:szCs w:val="20"/>
                <w:lang w:val="en-US" w:eastAsia="zh-CN" w:bidi="ar"/>
              </w:rPr>
              <w:t>根据</w:t>
            </w:r>
            <w:r>
              <w:rPr>
                <w:rFonts w:hint="default" w:ascii="Times New Roman" w:hAnsi="Times New Roman" w:cs="Times New Roman"/>
                <w:b w:val="0"/>
                <w:bCs w:val="0"/>
                <w:color w:val="auto"/>
                <w:kern w:val="0"/>
                <w:sz w:val="21"/>
                <w:szCs w:val="21"/>
                <w:lang w:val="en-US" w:eastAsia="zh-CN" w:bidi="ar"/>
              </w:rPr>
              <w:t>《排污许可证申请与核发技术规范 总</w:t>
            </w:r>
            <w:r>
              <w:rPr>
                <w:rFonts w:hint="default" w:ascii="Times New Roman" w:hAnsi="Times New Roman" w:eastAsia="宋体" w:cs="Times New Roman"/>
                <w:b w:val="0"/>
                <w:bCs w:val="0"/>
                <w:color w:val="auto"/>
                <w:sz w:val="21"/>
                <w:szCs w:val="21"/>
                <w:lang w:val="en-US" w:eastAsia="zh-CN"/>
              </w:rPr>
              <w:t>则》（HJ942—2018）（HJ 971-2018）</w:t>
            </w:r>
            <w:r>
              <w:rPr>
                <w:rFonts w:hint="eastAsia"/>
                <w:color w:val="auto"/>
              </w:rPr>
              <w:t>、</w:t>
            </w:r>
            <w:r>
              <w:rPr>
                <w:color w:val="auto"/>
              </w:rPr>
              <w:t>《排污单位自行监测技术指南 总则》（HJ819-2017）</w:t>
            </w:r>
            <w:r>
              <w:rPr>
                <w:rFonts w:hint="default" w:ascii="Times New Roman" w:hAnsi="Times New Roman" w:eastAsia="宋体" w:cs="Times New Roman"/>
                <w:b w:val="0"/>
                <w:bCs w:val="0"/>
                <w:color w:val="auto"/>
                <w:sz w:val="21"/>
                <w:szCs w:val="21"/>
                <w:lang w:val="en-US" w:eastAsia="zh-CN"/>
              </w:rPr>
              <w:t>，本项目废气监测计划见表4-</w:t>
            </w: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w:t>
            </w:r>
          </w:p>
          <w:p>
            <w:pPr>
              <w:spacing w:line="4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项目环境监测计划一览表</w:t>
            </w:r>
          </w:p>
          <w:tbl>
            <w:tblPr>
              <w:tblStyle w:val="27"/>
              <w:tblW w:w="125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2870"/>
              <w:gridCol w:w="3286"/>
              <w:gridCol w:w="4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97" w:type="dxa"/>
                  <w:noWrap w:val="0"/>
                  <w:vAlign w:val="center"/>
                </w:tcPr>
                <w:p>
                  <w:pPr>
                    <w:spacing w:line="360" w:lineRule="exact"/>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监测因子</w:t>
                  </w:r>
                </w:p>
              </w:tc>
              <w:tc>
                <w:tcPr>
                  <w:tcW w:w="2870" w:type="dxa"/>
                  <w:noWrap w:val="0"/>
                  <w:vAlign w:val="center"/>
                </w:tcPr>
                <w:p>
                  <w:pPr>
                    <w:spacing w:line="36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3286" w:type="dxa"/>
                  <w:noWrap w:val="0"/>
                  <w:vAlign w:val="center"/>
                </w:tcPr>
                <w:p>
                  <w:pPr>
                    <w:spacing w:line="36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监测频率</w:t>
                  </w:r>
                </w:p>
              </w:tc>
              <w:tc>
                <w:tcPr>
                  <w:tcW w:w="4219" w:type="dxa"/>
                  <w:noWrap w:val="0"/>
                  <w:vAlign w:val="center"/>
                </w:tcPr>
                <w:p>
                  <w:pPr>
                    <w:spacing w:line="36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197" w:type="dxa"/>
                  <w:noWrap w:val="0"/>
                  <w:vAlign w:val="center"/>
                </w:tcPr>
                <w:p>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eastAsia="zh-CN"/>
                    </w:rPr>
                    <w:t>颗粒物</w:t>
                  </w:r>
                </w:p>
              </w:tc>
              <w:tc>
                <w:tcPr>
                  <w:tcW w:w="287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eastAsia="zh-CN"/>
                    </w:rPr>
                    <w:t>排气筒出口</w:t>
                  </w:r>
                </w:p>
              </w:tc>
              <w:tc>
                <w:tcPr>
                  <w:tcW w:w="3286" w:type="dxa"/>
                  <w:noWrap w:val="0"/>
                  <w:vAlign w:val="center"/>
                </w:tcPr>
                <w:p>
                  <w:pPr>
                    <w:adjustRightInd w:val="0"/>
                    <w:snapToGrid w:val="0"/>
                    <w:spacing w:line="280" w:lineRule="exact"/>
                    <w:jc w:val="center"/>
                    <w:rPr>
                      <w:rFonts w:hint="default" w:ascii="Times New Roman" w:hAnsi="Times New Roman" w:eastAsia="宋体" w:cs="Times New Roman"/>
                      <w:snapToGrid w:val="0"/>
                      <w:color w:val="auto"/>
                      <w:kern w:val="0"/>
                      <w:szCs w:val="21"/>
                    </w:rPr>
                  </w:pPr>
                  <w:r>
                    <w:rPr>
                      <w:rFonts w:hint="default" w:ascii="Times New Roman" w:hAnsi="Times New Roman" w:cs="Times New Roman"/>
                      <w:snapToGrid w:val="0"/>
                      <w:color w:val="auto"/>
                      <w:kern w:val="0"/>
                      <w:szCs w:val="21"/>
                      <w:lang w:eastAsia="zh-CN"/>
                    </w:rPr>
                    <w:t>验收时连续监测两天，每天监测</w:t>
                  </w:r>
                  <w:r>
                    <w:rPr>
                      <w:rFonts w:hint="default" w:ascii="Times New Roman" w:hAnsi="Times New Roman" w:cs="Times New Roman"/>
                      <w:snapToGrid w:val="0"/>
                      <w:color w:val="auto"/>
                      <w:kern w:val="0"/>
                      <w:szCs w:val="21"/>
                      <w:lang w:val="en-US" w:eastAsia="zh-CN"/>
                    </w:rPr>
                    <w:t>3次；以后</w:t>
                  </w:r>
                  <w:r>
                    <w:rPr>
                      <w:rFonts w:hint="default" w:ascii="Times New Roman" w:hAnsi="Times New Roman" w:eastAsia="宋体" w:cs="Times New Roman"/>
                      <w:snapToGrid w:val="0"/>
                      <w:color w:val="auto"/>
                      <w:kern w:val="0"/>
                      <w:szCs w:val="21"/>
                    </w:rPr>
                    <w:t>每年</w:t>
                  </w:r>
                  <w:r>
                    <w:rPr>
                      <w:rFonts w:hint="default" w:ascii="Times New Roman" w:hAnsi="Times New Roman" w:eastAsia="宋体" w:cs="Times New Roman"/>
                      <w:color w:val="auto"/>
                    </w:rPr>
                    <w:t>监测</w:t>
                  </w:r>
                  <w:r>
                    <w:rPr>
                      <w:rFonts w:hint="default" w:ascii="Times New Roman" w:hAnsi="Times New Roman" w:eastAsia="宋体" w:cs="Times New Roman"/>
                      <w:snapToGrid w:val="0"/>
                      <w:color w:val="auto"/>
                      <w:kern w:val="0"/>
                      <w:szCs w:val="21"/>
                    </w:rPr>
                    <w:t>一次</w:t>
                  </w:r>
                </w:p>
              </w:tc>
              <w:tc>
                <w:tcPr>
                  <w:tcW w:w="4219" w:type="dxa"/>
                  <w:noWrap w:val="0"/>
                  <w:vAlign w:val="center"/>
                </w:tcPr>
                <w:p>
                  <w:pPr>
                    <w:adjustRightInd w:val="0"/>
                    <w:snapToGrid w:val="0"/>
                    <w:spacing w:line="280" w:lineRule="exact"/>
                    <w:jc w:val="center"/>
                    <w:rPr>
                      <w:rFonts w:hint="default" w:ascii="Times New Roman" w:hAnsi="Times New Roman" w:eastAsia="宋体" w:cs="Times New Roman"/>
                      <w:snapToGrid w:val="0"/>
                      <w:color w:val="auto"/>
                      <w:kern w:val="0"/>
                      <w:szCs w:val="21"/>
                      <w:lang w:eastAsia="zh-CN"/>
                    </w:rPr>
                  </w:pPr>
                  <w:r>
                    <w:rPr>
                      <w:rFonts w:hint="default" w:ascii="Times New Roman" w:hAnsi="Times New Roman" w:cs="Times New Roman"/>
                      <w:color w:val="auto"/>
                      <w:sz w:val="21"/>
                      <w:szCs w:val="21"/>
                      <w:lang w:eastAsia="zh-CN"/>
                    </w:rPr>
                    <w:t>《大气污染物综合排放标准》（DB50/418－2016）表1</w:t>
                  </w:r>
                  <w:r>
                    <w:rPr>
                      <w:rFonts w:hint="default" w:ascii="Times New Roman" w:hAnsi="Times New Roman" w:cs="Times New Roman"/>
                      <w:color w:val="auto"/>
                      <w:sz w:val="21"/>
                      <w:szCs w:val="21"/>
                    </w:rPr>
                    <w:t>排放限值</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lang w:val="en-US" w:eastAsia="zh-CN" w:bidi="ar"/>
              </w:rPr>
              <w:t>4.2.</w:t>
            </w:r>
            <w:r>
              <w:rPr>
                <w:rFonts w:hint="default" w:ascii="Times New Roman" w:hAnsi="Times New Roman" w:cs="Times New Roman"/>
                <w:b/>
                <w:color w:val="auto"/>
                <w:kern w:val="0"/>
                <w:sz w:val="21"/>
                <w:szCs w:val="21"/>
                <w:lang w:val="en-US" w:eastAsia="zh-CN" w:bidi="ar"/>
              </w:rPr>
              <w:t>1</w:t>
            </w:r>
            <w:r>
              <w:rPr>
                <w:rFonts w:hint="default" w:ascii="Times New Roman" w:hAnsi="Times New Roman" w:eastAsia="宋体" w:cs="Times New Roman"/>
                <w:b/>
                <w:color w:val="auto"/>
                <w:kern w:val="0"/>
                <w:sz w:val="21"/>
                <w:szCs w:val="21"/>
                <w:lang w:val="en-US" w:eastAsia="zh-CN" w:bidi="ar"/>
              </w:rPr>
              <w:t xml:space="preserve">废水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lang w:val="en-US" w:eastAsia="zh-CN" w:bidi="ar"/>
              </w:rPr>
              <w:t xml:space="preserve">1、废水污染物排放信息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废水类别、污染物、产排情况及治理设施信息见表 4-</w:t>
            </w: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表 4-</w:t>
            </w:r>
            <w:r>
              <w:rPr>
                <w:rFonts w:hint="eastAsia" w:cs="Times New Roman"/>
                <w:b/>
                <w:bCs/>
                <w:color w:val="auto"/>
                <w:kern w:val="0"/>
                <w:sz w:val="21"/>
                <w:szCs w:val="21"/>
                <w:lang w:val="en-US" w:eastAsia="zh-CN" w:bidi="ar"/>
              </w:rPr>
              <w:t>5</w:t>
            </w:r>
            <w:r>
              <w:rPr>
                <w:rFonts w:hint="default" w:ascii="Times New Roman" w:hAnsi="Times New Roman"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废水类别、污染物、产排情况及治理设施信息一览表</w:t>
            </w:r>
          </w:p>
          <w:tbl>
            <w:tblPr>
              <w:tblStyle w:val="27"/>
              <w:tblW w:w="12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34"/>
              <w:gridCol w:w="1851"/>
              <w:gridCol w:w="1698"/>
              <w:gridCol w:w="1698"/>
              <w:gridCol w:w="1698"/>
              <w:gridCol w:w="1699"/>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3" w:hRule="atLeast"/>
                <w:jc w:val="center"/>
              </w:trPr>
              <w:tc>
                <w:tcPr>
                  <w:tcW w:w="4185" w:type="dxa"/>
                  <w:gridSpan w:val="2"/>
                  <w:tcBorders>
                    <w:tl2br w:val="single" w:color="auto" w:sz="4" w:space="0"/>
                  </w:tcBorders>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指标</w:t>
                  </w:r>
                </w:p>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632" w:firstLineChars="300"/>
                    <w:jc w:val="both"/>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698"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w:t>
                  </w:r>
                </w:p>
              </w:tc>
              <w:tc>
                <w:tcPr>
                  <w:tcW w:w="1698"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1698"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t>
                  </w:r>
                </w:p>
              </w:tc>
              <w:tc>
                <w:tcPr>
                  <w:tcW w:w="1699"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氨氮</w:t>
                  </w:r>
                </w:p>
              </w:tc>
              <w:tc>
                <w:tcPr>
                  <w:tcW w:w="1699"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4" w:hRule="atLeast"/>
                <w:jc w:val="center"/>
              </w:trPr>
              <w:tc>
                <w:tcPr>
                  <w:tcW w:w="2334" w:type="dxa"/>
                  <w:vMerge w:val="restart"/>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r>
                    <w:rPr>
                      <w:rFonts w:hint="eastAsia" w:cs="Times New Roman"/>
                      <w:color w:val="auto"/>
                      <w:sz w:val="21"/>
                      <w:szCs w:val="21"/>
                      <w:lang w:val="en-US" w:eastAsia="zh-CN"/>
                    </w:rPr>
                    <w:t>27</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400</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250</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300</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45</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2334" w:type="dxa"/>
                  <w:vMerge w:val="continue"/>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0.1080 </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0.0675 </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0.0810 </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0.0122 </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2334" w:type="dxa"/>
                  <w:vMerge w:val="restart"/>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车间清洁废水</w:t>
                  </w:r>
                  <w:r>
                    <w:rPr>
                      <w:rFonts w:hint="default" w:ascii="Times New Roman" w:hAnsi="Times New Roman" w:cs="Times New Roman"/>
                      <w:color w:val="auto"/>
                      <w:sz w:val="21"/>
                      <w:szCs w:val="21"/>
                    </w:rPr>
                    <w:t>(</w:t>
                  </w:r>
                  <w:r>
                    <w:rPr>
                      <w:rFonts w:hint="eastAsia" w:cs="Times New Roman"/>
                      <w:color w:val="auto"/>
                      <w:sz w:val="21"/>
                      <w:szCs w:val="21"/>
                      <w:lang w:val="en-US" w:eastAsia="zh-CN"/>
                    </w:rPr>
                    <w:t>129.6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产生浓度(mg/L)</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350</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200</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500</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2334" w:type="dxa"/>
                  <w:vMerge w:val="continue"/>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产生量(t/a)</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0.0454 </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0.0259 </w:t>
                  </w:r>
                </w:p>
              </w:tc>
              <w:tc>
                <w:tcPr>
                  <w:tcW w:w="16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0.0648 </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0.0039 </w:t>
                  </w:r>
                </w:p>
              </w:tc>
              <w:tc>
                <w:tcPr>
                  <w:tcW w:w="16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 xml:space="preserve">0.0065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2334" w:type="dxa"/>
                  <w:vMerge w:val="restart"/>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空压机含油废水(</w:t>
                  </w:r>
                  <w:r>
                    <w:rPr>
                      <w:rFonts w:hint="eastAsia" w:cs="Times New Roman"/>
                      <w:bCs/>
                      <w:color w:val="auto"/>
                      <w:sz w:val="21"/>
                      <w:szCs w:val="21"/>
                      <w:lang w:val="en-US" w:eastAsia="zh-CN"/>
                    </w:rPr>
                    <w:t>14.4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2334" w:type="dxa"/>
                  <w:vMerge w:val="continue"/>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0.0029 </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2334" w:type="dxa"/>
                  <w:vMerge w:val="restart"/>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w:t>
                  </w:r>
                  <w:r>
                    <w:rPr>
                      <w:rFonts w:hint="default" w:ascii="Times New Roman" w:hAnsi="Times New Roman" w:eastAsia="宋体" w:cs="Times New Roman"/>
                      <w:color w:val="auto"/>
                      <w:sz w:val="21"/>
                      <w:szCs w:val="21"/>
                    </w:rPr>
                    <w:t>生化池</w:t>
                  </w:r>
                  <w:r>
                    <w:rPr>
                      <w:rFonts w:hint="default" w:ascii="Times New Roman" w:hAnsi="Times New Roman" w:cs="Times New Roman"/>
                      <w:color w:val="auto"/>
                      <w:sz w:val="21"/>
                      <w:szCs w:val="21"/>
                    </w:rPr>
                    <w:t>处理达三级标准(</w:t>
                  </w:r>
                  <w:r>
                    <w:rPr>
                      <w:rFonts w:hint="eastAsia" w:eastAsia="宋体" w:cs="Times New Roman"/>
                      <w:i w:val="0"/>
                      <w:iCs w:val="0"/>
                      <w:color w:val="auto"/>
                      <w:kern w:val="0"/>
                      <w:sz w:val="21"/>
                      <w:szCs w:val="21"/>
                      <w:u w:val="none"/>
                      <w:lang w:val="en-US" w:eastAsia="zh-CN" w:bidi="ar"/>
                    </w:rPr>
                    <w:t>414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排放浓度(mg/L)</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2334" w:type="dxa"/>
                  <w:vMerge w:val="continue"/>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排放量(t/a)</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0.0621 </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0.0331 </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0.0331 </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0.0041 </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2334" w:type="dxa"/>
                  <w:vMerge w:val="restart"/>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w:t>
                  </w:r>
                  <w:r>
                    <w:rPr>
                      <w:rFonts w:hint="default" w:ascii="Times New Roman" w:hAnsi="Times New Roman" w:eastAsia="宋体" w:cs="Times New Roman"/>
                      <w:color w:val="auto"/>
                      <w:sz w:val="21"/>
                      <w:szCs w:val="21"/>
                      <w:lang w:eastAsia="zh-CN"/>
                    </w:rPr>
                    <w:t>污水处理厂</w:t>
                  </w:r>
                  <w:r>
                    <w:rPr>
                      <w:rFonts w:hint="default" w:ascii="Times New Roman" w:hAnsi="Times New Roman" w:eastAsia="宋体" w:cs="Times New Roman"/>
                      <w:color w:val="auto"/>
                      <w:sz w:val="21"/>
                      <w:szCs w:val="21"/>
                      <w:lang w:val="en-US" w:eastAsia="zh-CN"/>
                    </w:rPr>
                    <w:t>处理后</w:t>
                  </w:r>
                  <w:r>
                    <w:rPr>
                      <w:rFonts w:hint="default" w:ascii="Times New Roman" w:hAnsi="Times New Roman" w:cs="Times New Roman"/>
                      <w:color w:val="auto"/>
                      <w:sz w:val="21"/>
                      <w:szCs w:val="21"/>
                    </w:rPr>
                    <w:t>达标</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w:t>
                  </w:r>
                  <w:r>
                    <w:rPr>
                      <w:rFonts w:hint="eastAsia" w:eastAsia="宋体" w:cs="Times New Roman"/>
                      <w:i w:val="0"/>
                      <w:iCs w:val="0"/>
                      <w:color w:val="auto"/>
                      <w:kern w:val="0"/>
                      <w:sz w:val="21"/>
                      <w:szCs w:val="21"/>
                      <w:u w:val="none"/>
                      <w:lang w:val="en-US" w:eastAsia="zh-CN" w:bidi="ar"/>
                    </w:rPr>
                    <w:t>414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排放浓度(mg/L)</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334" w:type="dxa"/>
                  <w:vMerge w:val="continue"/>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sz w:val="21"/>
                      <w:szCs w:val="21"/>
                    </w:rPr>
                  </w:pPr>
                </w:p>
              </w:tc>
              <w:tc>
                <w:tcPr>
                  <w:tcW w:w="1851" w:type="dxa"/>
                  <w:noWrap w:val="0"/>
                  <w:vAlign w:val="center"/>
                </w:tcPr>
                <w:p>
                  <w:pPr>
                    <w:pStyle w:val="50"/>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排放量(t/a)</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0.0248 </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0.0083 </w:t>
                  </w:r>
                </w:p>
              </w:tc>
              <w:tc>
                <w:tcPr>
                  <w:tcW w:w="169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0.0083 </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0.0033 </w:t>
                  </w:r>
                </w:p>
              </w:tc>
              <w:tc>
                <w:tcPr>
                  <w:tcW w:w="169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0.0012 </w:t>
                  </w:r>
                </w:p>
              </w:tc>
            </w:tr>
          </w:tbl>
          <w:p>
            <w:pPr>
              <w:widowControl/>
              <w:adjustRightInd w:val="0"/>
              <w:snapToGrid w:val="0"/>
              <w:spacing w:line="360" w:lineRule="auto"/>
              <w:jc w:val="left"/>
              <w:rPr>
                <w:rFonts w:hint="default" w:ascii="Times New Roman" w:hAnsi="Times New Roman" w:cs="Times New Roman"/>
                <w:b/>
                <w:color w:val="auto"/>
                <w:kern w:val="0"/>
                <w:szCs w:val="21"/>
                <w:highlight w:val="none"/>
              </w:rPr>
            </w:pPr>
          </w:p>
          <w:p>
            <w:pPr>
              <w:widowControl/>
              <w:adjustRightInd w:val="0"/>
              <w:snapToGrid w:val="0"/>
              <w:spacing w:line="360" w:lineRule="auto"/>
              <w:jc w:val="left"/>
              <w:rPr>
                <w:rFonts w:hint="default" w:ascii="Times New Roman" w:hAnsi="Times New Roman" w:cs="Times New Roman"/>
                <w:color w:val="auto"/>
                <w:szCs w:val="21"/>
                <w:highlight w:val="none"/>
              </w:rPr>
            </w:pPr>
            <w:r>
              <w:rPr>
                <w:rFonts w:hint="default" w:ascii="Times New Roman" w:hAnsi="Times New Roman" w:cs="Times New Roman"/>
                <w:b/>
                <w:color w:val="auto"/>
                <w:kern w:val="0"/>
                <w:szCs w:val="21"/>
                <w:highlight w:val="none"/>
              </w:rPr>
              <w:t xml:space="preserve">2、 排放口基本情况 </w:t>
            </w:r>
          </w:p>
          <w:p>
            <w:pPr>
              <w:keepNext w:val="0"/>
              <w:keepLines w:val="0"/>
              <w:pageBreakBefore w:val="0"/>
              <w:widowControl/>
              <w:suppressLineNumbers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 4-</w:t>
            </w:r>
            <w:r>
              <w:rPr>
                <w:rFonts w:hint="eastAsia" w:cs="Times New Roman"/>
                <w:b/>
                <w:bCs/>
                <w:color w:val="auto"/>
                <w:kern w:val="0"/>
                <w:sz w:val="21"/>
                <w:szCs w:val="21"/>
                <w:lang w:val="en-US" w:eastAsia="zh-CN" w:bidi="ar"/>
              </w:rPr>
              <w:t>6</w:t>
            </w:r>
            <w:r>
              <w:rPr>
                <w:rFonts w:hint="default"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color w:val="auto"/>
                <w:sz w:val="21"/>
                <w:szCs w:val="24"/>
              </w:rPr>
              <w:t>排污单位废水类别、污染物种类及污染物防治措施一览表</w:t>
            </w:r>
          </w:p>
          <w:tbl>
            <w:tblPr>
              <w:tblStyle w:val="27"/>
              <w:tblW w:w="12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4"/>
              <w:gridCol w:w="910"/>
              <w:gridCol w:w="1380"/>
              <w:gridCol w:w="1578"/>
              <w:gridCol w:w="1200"/>
              <w:gridCol w:w="1131"/>
              <w:gridCol w:w="729"/>
              <w:gridCol w:w="900"/>
              <w:gridCol w:w="1020"/>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04"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hanging="92"/>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废水类别或废水来源</w:t>
                  </w:r>
                </w:p>
              </w:tc>
              <w:tc>
                <w:tcPr>
                  <w:tcW w:w="910"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hanging="89"/>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1380"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leftChars="0" w:right="0" w:firstLine="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2778" w:type="dxa"/>
                  <w:gridSpan w:val="2"/>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污染物防治设施</w:t>
                  </w:r>
                </w:p>
              </w:tc>
              <w:tc>
                <w:tcPr>
                  <w:tcW w:w="1131"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729"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900"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1020"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排放口类型</w:t>
                  </w:r>
                </w:p>
              </w:tc>
              <w:tc>
                <w:tcPr>
                  <w:tcW w:w="2467" w:type="dxa"/>
                  <w:vMerge w:val="restart"/>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04"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c>
                <w:tcPr>
                  <w:tcW w:w="910"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c>
                <w:tcPr>
                  <w:tcW w:w="1380"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leftChars="0" w:right="0" w:firstLine="0"/>
                    <w:jc w:val="center"/>
                    <w:textAlignment w:val="auto"/>
                    <w:rPr>
                      <w:rFonts w:hint="default" w:ascii="Times New Roman" w:hAnsi="Times New Roman" w:cs="Times New Roman"/>
                      <w:color w:val="auto"/>
                      <w:sz w:val="21"/>
                      <w:szCs w:val="21"/>
                    </w:rPr>
                  </w:pPr>
                </w:p>
              </w:tc>
              <w:tc>
                <w:tcPr>
                  <w:tcW w:w="1578"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污染防治设施名称及工艺</w:t>
                  </w:r>
                </w:p>
              </w:tc>
              <w:tc>
                <w:tcPr>
                  <w:tcW w:w="1200"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1131"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c>
                <w:tcPr>
                  <w:tcW w:w="729"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c>
                <w:tcPr>
                  <w:tcW w:w="900"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c>
                <w:tcPr>
                  <w:tcW w:w="1020"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c>
                <w:tcPr>
                  <w:tcW w:w="2467" w:type="dxa"/>
                  <w:vMerge w:val="continue"/>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3" w:hRule="atLeast"/>
                <w:jc w:val="center"/>
              </w:trPr>
              <w:tc>
                <w:tcPr>
                  <w:tcW w:w="1404"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车间清洁废水</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生活污水</w:t>
                  </w:r>
                  <w:r>
                    <w:rPr>
                      <w:rFonts w:hint="eastAsia" w:ascii="Times New Roman" w:cs="Times New Roman"/>
                      <w:color w:val="auto"/>
                      <w:sz w:val="21"/>
                      <w:szCs w:val="21"/>
                      <w:lang w:eastAsia="zh-CN"/>
                    </w:rPr>
                    <w:t>、</w:t>
                  </w:r>
                  <w:r>
                    <w:rPr>
                      <w:rFonts w:hint="eastAsia" w:cs="Times New Roman"/>
                      <w:bCs/>
                      <w:color w:val="auto"/>
                      <w:sz w:val="21"/>
                      <w:szCs w:val="21"/>
                      <w:lang w:val="en-US" w:eastAsia="zh-CN"/>
                    </w:rPr>
                    <w:t>空压机含油废水</w:t>
                  </w:r>
                </w:p>
              </w:tc>
              <w:tc>
                <w:tcPr>
                  <w:tcW w:w="910"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1380"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pacing w:val="-9"/>
                      <w:sz w:val="21"/>
                      <w:szCs w:val="21"/>
                    </w:rPr>
                    <w:t>COD</w:t>
                  </w:r>
                  <w:r>
                    <w:rPr>
                      <w:rFonts w:hint="default" w:ascii="Times New Roman" w:hAnsi="Times New Roman" w:eastAsia="宋体" w:cs="Times New Roman"/>
                      <w:color w:val="auto"/>
                      <w:spacing w:val="-9"/>
                      <w:sz w:val="21"/>
                      <w:szCs w:val="21"/>
                    </w:rPr>
                    <w:t>、</w:t>
                  </w:r>
                  <w:r>
                    <w:rPr>
                      <w:rFonts w:hint="default" w:ascii="Times New Roman" w:hAnsi="Times New Roman" w:eastAsia="Times New Roman" w:cs="Times New Roman"/>
                      <w:color w:val="auto"/>
                      <w:spacing w:val="-9"/>
                      <w:sz w:val="21"/>
                      <w:szCs w:val="21"/>
                    </w:rPr>
                    <w:t>SS</w:t>
                  </w:r>
                  <w:r>
                    <w:rPr>
                      <w:rFonts w:hint="default" w:ascii="Times New Roman" w:hAnsi="Times New Roman" w:eastAsia="宋体" w:cs="Times New Roman"/>
                      <w:color w:val="auto"/>
                      <w:spacing w:val="-9"/>
                      <w:sz w:val="21"/>
                      <w:szCs w:val="21"/>
                    </w:rPr>
                    <w:t>、</w:t>
                  </w:r>
                  <w:r>
                    <w:rPr>
                      <w:rFonts w:hint="default" w:ascii="Times New Roman" w:hAnsi="Times New Roman" w:cs="Times New Roman"/>
                      <w:color w:val="auto"/>
                      <w:spacing w:val="-9"/>
                      <w:sz w:val="21"/>
                      <w:szCs w:val="21"/>
                      <w:lang w:val="en-US" w:eastAsia="zh-CN"/>
                    </w:rPr>
                    <w:t>BOD、</w:t>
                  </w:r>
                  <w:r>
                    <w:rPr>
                      <w:rFonts w:hint="default" w:ascii="Times New Roman" w:hAnsi="Times New Roman" w:eastAsia="Times New Roman" w:cs="Times New Roman"/>
                      <w:color w:val="auto"/>
                      <w:position w:val="1"/>
                      <w:sz w:val="21"/>
                      <w:szCs w:val="21"/>
                    </w:rPr>
                    <w:t>NH</w:t>
                  </w:r>
                  <w:r>
                    <w:rPr>
                      <w:rFonts w:hint="default" w:ascii="Times New Roman" w:hAnsi="Times New Roman" w:eastAsia="Times New Roman" w:cs="Times New Roman"/>
                      <w:color w:val="auto"/>
                      <w:sz w:val="21"/>
                      <w:szCs w:val="21"/>
                      <w:vertAlign w:val="subscript"/>
                    </w:rPr>
                    <w:t>3</w:t>
                  </w:r>
                  <w:r>
                    <w:rPr>
                      <w:rFonts w:hint="default" w:ascii="Times New Roman" w:hAnsi="Times New Roman" w:eastAsia="Times New Roman" w:cs="Times New Roman"/>
                      <w:color w:val="auto"/>
                      <w:position w:val="1"/>
                      <w:sz w:val="21"/>
                      <w:szCs w:val="21"/>
                    </w:rPr>
                    <w:t>-N</w:t>
                  </w:r>
                  <w:r>
                    <w:rPr>
                      <w:rFonts w:hint="default" w:ascii="Times New Roman" w:hAnsi="Times New Roman" w:eastAsia="宋体" w:cs="Times New Roman"/>
                      <w:color w:val="auto"/>
                      <w:position w:val="1"/>
                      <w:sz w:val="21"/>
                      <w:szCs w:val="21"/>
                      <w:lang w:eastAsia="zh-CN"/>
                    </w:rPr>
                    <w:t>、</w:t>
                  </w:r>
                  <w:r>
                    <w:rPr>
                      <w:rFonts w:hint="default" w:ascii="Times New Roman" w:hAnsi="Times New Roman" w:eastAsia="宋体" w:cs="Times New Roman"/>
                      <w:color w:val="auto"/>
                      <w:position w:val="1"/>
                      <w:sz w:val="21"/>
                      <w:szCs w:val="21"/>
                      <w:lang w:val="en-US" w:eastAsia="zh-CN"/>
                    </w:rPr>
                    <w:t>石油类</w:t>
                  </w:r>
                </w:p>
              </w:tc>
              <w:tc>
                <w:tcPr>
                  <w:tcW w:w="1578"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hanging="89"/>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隔油池+</w:t>
                  </w:r>
                  <w:r>
                    <w:rPr>
                      <w:rFonts w:hint="default" w:ascii="Times New Roman" w:hAnsi="Times New Roman" w:eastAsia="宋体" w:cs="Times New Roman"/>
                      <w:color w:val="auto"/>
                      <w:sz w:val="21"/>
                      <w:szCs w:val="21"/>
                    </w:rPr>
                    <w:t>生化池</w:t>
                  </w:r>
                </w:p>
              </w:tc>
              <w:tc>
                <w:tcPr>
                  <w:tcW w:w="1200"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是</w:t>
                  </w:r>
                </w:p>
              </w:tc>
              <w:tc>
                <w:tcPr>
                  <w:tcW w:w="1131"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铜梁区东城污水处理厂</w:t>
                  </w:r>
                </w:p>
              </w:tc>
              <w:tc>
                <w:tcPr>
                  <w:tcW w:w="729"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间接排放</w:t>
                  </w:r>
                </w:p>
              </w:tc>
              <w:tc>
                <w:tcPr>
                  <w:tcW w:w="900"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不稳定</w:t>
                  </w:r>
                </w:p>
              </w:tc>
              <w:tc>
                <w:tcPr>
                  <w:tcW w:w="1020"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一般排放口</w:t>
                  </w:r>
                </w:p>
              </w:tc>
              <w:tc>
                <w:tcPr>
                  <w:tcW w:w="2467" w:type="dxa"/>
                  <w:tcBorders>
                    <w:tl2br w:val="nil"/>
                    <w:tr2bl w:val="nil"/>
                  </w:tcBorders>
                  <w:noWrap w:val="0"/>
                  <w:vAlign w:val="center"/>
                </w:tcPr>
                <w:p>
                  <w:pPr>
                    <w:pStyle w:val="37"/>
                    <w:keepNext w:val="0"/>
                    <w:keepLines w:val="0"/>
                    <w:pageBreakBefore w:val="0"/>
                    <w:widowControl w:val="0"/>
                    <w:kinsoku w:val="0"/>
                    <w:wordWrap/>
                    <w:overflowPunct w:val="0"/>
                    <w:topLinePunct w:val="0"/>
                    <w:autoSpaceDE/>
                    <w:autoSpaceDN/>
                    <w:bidi w:val="0"/>
                    <w:adjustRightInd w:val="0"/>
                    <w:snapToGrid w:val="0"/>
                    <w:spacing w:beforeLines="0" w:afterLines="0" w:line="240" w:lineRule="atLeas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《城镇污水处理厂污染物排放标准》（GB18918-2002）</w:t>
                  </w:r>
                  <w:r>
                    <w:rPr>
                      <w:rFonts w:hint="default" w:ascii="Times New Roman" w:hAnsi="Times New Roman" w:cs="Times New Roman"/>
                      <w:color w:val="auto"/>
                      <w:sz w:val="21"/>
                      <w:szCs w:val="21"/>
                      <w:lang w:eastAsia="zh-CN"/>
                    </w:rPr>
                    <w:t>一级B</w:t>
                  </w:r>
                  <w:r>
                    <w:rPr>
                      <w:rFonts w:hint="default" w:ascii="Times New Roman" w:hAnsi="Times New Roman" w:cs="Times New Roman"/>
                      <w:color w:val="auto"/>
                      <w:sz w:val="21"/>
                      <w:szCs w:val="21"/>
                    </w:rPr>
                    <w:t>标准</w:t>
                  </w:r>
                </w:p>
              </w:tc>
            </w:tr>
          </w:tbl>
          <w:p>
            <w:pPr>
              <w:keepNext w:val="0"/>
              <w:keepLines w:val="0"/>
              <w:widowControl/>
              <w:suppressLineNumbers w:val="0"/>
              <w:jc w:val="left"/>
              <w:rPr>
                <w:rFonts w:hint="default" w:ascii="Times New Roman" w:hAnsi="Times New Roman" w:eastAsia="宋体" w:cs="Times New Roman"/>
                <w:b/>
                <w:bCs w:val="0"/>
                <w:color w:val="auto"/>
                <w:spacing w:val="-10"/>
                <w:sz w:val="21"/>
                <w:szCs w:val="21"/>
              </w:rPr>
            </w:pPr>
          </w:p>
        </w:tc>
      </w:tr>
    </w:tbl>
    <w:p>
      <w:pPr>
        <w:adjustRightInd w:val="0"/>
        <w:snapToGrid w:val="0"/>
        <w:spacing w:line="360" w:lineRule="auto"/>
        <w:rPr>
          <w:rFonts w:hint="default" w:ascii="Times New Roman" w:hAnsi="Times New Roman" w:eastAsia="宋体" w:cs="Times New Roman"/>
          <w:b/>
          <w:color w:val="auto"/>
          <w:kern w:val="0"/>
          <w:sz w:val="21"/>
          <w:szCs w:val="21"/>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期环</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境影</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响和</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保护</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措施</w:t>
            </w:r>
          </w:p>
        </w:tc>
        <w:tc>
          <w:tcPr>
            <w:tcW w:w="81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cs="Times New Roman"/>
                <w:color w:val="auto"/>
                <w:sz w:val="21"/>
                <w:szCs w:val="21"/>
                <w:lang w:val="en-US" w:eastAsia="zh-CN"/>
              </w:rPr>
            </w:pPr>
            <w:bookmarkStart w:id="2" w:name="4.2.2.3地表水环境影响分析"/>
            <w:bookmarkEnd w:id="2"/>
            <w:r>
              <w:rPr>
                <w:rFonts w:hint="default" w:ascii="Times New Roman" w:hAnsi="Times New Roman" w:eastAsia="宋体" w:cs="Times New Roman"/>
                <w:b/>
                <w:bCs w:val="0"/>
                <w:color w:val="auto"/>
                <w:spacing w:val="-10"/>
                <w:sz w:val="21"/>
                <w:szCs w:val="21"/>
                <w:lang w:val="en-US" w:eastAsia="zh-CN"/>
              </w:rPr>
              <w:t>3、</w:t>
            </w:r>
            <w:r>
              <w:rPr>
                <w:rFonts w:hint="default" w:ascii="Times New Roman" w:hAnsi="Times New Roman" w:eastAsia="宋体" w:cs="Times New Roman"/>
                <w:b/>
                <w:bCs w:val="0"/>
                <w:color w:val="auto"/>
                <w:spacing w:val="-10"/>
                <w:sz w:val="21"/>
                <w:szCs w:val="21"/>
                <w:lang w:eastAsia="zh-CN"/>
              </w:rPr>
              <w:t>废水处理设施</w:t>
            </w:r>
            <w:r>
              <w:rPr>
                <w:rFonts w:hint="default" w:ascii="Times New Roman" w:hAnsi="Times New Roman" w:eastAsia="宋体" w:cs="Times New Roman"/>
                <w:b/>
                <w:bCs w:val="0"/>
                <w:color w:val="auto"/>
                <w:spacing w:val="-10"/>
                <w:sz w:val="21"/>
                <w:szCs w:val="21"/>
              </w:rPr>
              <w:t>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2"/>
                <w:sz w:val="21"/>
                <w:szCs w:val="21"/>
                <w:shd w:val="clear" w:color="auto" w:fill="auto"/>
                <w:lang w:val="en-US" w:eastAsia="zh-CN" w:bidi="ar"/>
              </w:rPr>
            </w:pPr>
            <w:r>
              <w:rPr>
                <w:rFonts w:hint="default" w:ascii="Times New Roman" w:hAnsi="Times New Roman" w:eastAsia="宋体" w:cs="Times New Roman"/>
                <w:color w:val="auto"/>
                <w:kern w:val="2"/>
                <w:sz w:val="21"/>
                <w:szCs w:val="21"/>
                <w:shd w:val="clear" w:color="auto" w:fill="auto"/>
                <w:lang w:val="en-US" w:eastAsia="zh-CN" w:bidi="ar"/>
              </w:rPr>
              <w:t>本项目</w:t>
            </w:r>
            <w:r>
              <w:rPr>
                <w:rFonts w:hint="default" w:ascii="Times New Roman" w:hAnsi="Times New Roman" w:cs="Times New Roman"/>
                <w:color w:val="auto"/>
                <w:sz w:val="21"/>
                <w:szCs w:val="21"/>
                <w:lang w:eastAsia="zh-CN"/>
              </w:rPr>
              <w:t>地面清洁废水</w:t>
            </w:r>
            <w:r>
              <w:rPr>
                <w:rFonts w:hint="eastAsia" w:cs="Times New Roman"/>
                <w:color w:val="auto"/>
                <w:sz w:val="21"/>
                <w:szCs w:val="21"/>
                <w:lang w:eastAsia="zh-CN"/>
              </w:rPr>
              <w:t>、</w:t>
            </w:r>
            <w:r>
              <w:rPr>
                <w:rFonts w:hint="default" w:ascii="Times New Roman" w:hAnsi="Times New Roman" w:cs="Times New Roman"/>
                <w:color w:val="auto"/>
                <w:sz w:val="21"/>
                <w:szCs w:val="21"/>
              </w:rPr>
              <w:t>空压机含油废水经</w:t>
            </w:r>
            <w:r>
              <w:rPr>
                <w:rFonts w:hint="default" w:ascii="Times New Roman" w:hAnsi="Times New Roman" w:cs="Times New Roman"/>
                <w:color w:val="auto"/>
                <w:sz w:val="21"/>
                <w:szCs w:val="21"/>
                <w:lang w:val="en-US" w:eastAsia="zh-CN"/>
              </w:rPr>
              <w:t>隔油池预处理后</w:t>
            </w:r>
            <w:r>
              <w:rPr>
                <w:rFonts w:hint="default" w:ascii="Times New Roman" w:hAnsi="Times New Roman" w:cs="Times New Roman"/>
                <w:color w:val="auto"/>
                <w:sz w:val="21"/>
                <w:szCs w:val="21"/>
                <w:lang w:eastAsia="zh-CN"/>
              </w:rPr>
              <w:t>与职工生活废水一起</w:t>
            </w:r>
            <w:r>
              <w:rPr>
                <w:rFonts w:hint="default" w:ascii="Times New Roman" w:hAnsi="Times New Roman" w:cs="Times New Roman"/>
                <w:color w:val="auto"/>
                <w:sz w:val="21"/>
                <w:szCs w:val="21"/>
              </w:rPr>
              <w:t>进入</w:t>
            </w:r>
            <w:r>
              <w:rPr>
                <w:rFonts w:hint="default" w:ascii="Times New Roman" w:hAnsi="Times New Roman" w:eastAsia="宋体" w:cs="Times New Roman"/>
                <w:color w:val="auto"/>
                <w:kern w:val="2"/>
                <w:sz w:val="21"/>
                <w:szCs w:val="21"/>
                <w:shd w:val="clear" w:color="auto" w:fill="auto"/>
                <w:lang w:val="en-US" w:eastAsia="zh-CN" w:bidi="ar"/>
              </w:rPr>
              <w:t>万洋众创城智能制造产业园已建生化池处理达《污水综合排放标准》（GB8978-1996）三级标准后通过市政污水管网进入东城污水处理厂深度处理</w:t>
            </w:r>
            <w:r>
              <w:rPr>
                <w:rFonts w:hint="eastAsia" w:cs="Times New Roman"/>
                <w:color w:val="auto"/>
                <w:kern w:val="2"/>
                <w:sz w:val="21"/>
                <w:szCs w:val="21"/>
                <w:shd w:val="clear" w:color="auto" w:fill="auto"/>
                <w:lang w:val="en-US" w:eastAsia="zh-CN" w:bidi="ar"/>
              </w:rPr>
              <w:t>后达标排放</w:t>
            </w:r>
            <w:r>
              <w:rPr>
                <w:rFonts w:hint="default" w:ascii="Times New Roman" w:hAnsi="Times New Roman" w:eastAsia="宋体" w:cs="Times New Roman"/>
                <w:color w:val="auto"/>
                <w:kern w:val="2"/>
                <w:sz w:val="21"/>
                <w:szCs w:val="21"/>
                <w:shd w:val="clear" w:color="auto" w:fill="auto"/>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shd w:val="clear" w:color="auto" w:fill="auto"/>
                <w:lang w:val="en-US" w:eastAsia="zh-CN" w:bidi="ar"/>
              </w:rPr>
              <w:t>根据前述分析，本项目单日最大新增排放进入生化池的废水量为</w:t>
            </w:r>
            <w:r>
              <w:rPr>
                <w:rFonts w:hint="eastAsia" w:eastAsia="宋体" w:cs="Times New Roman"/>
                <w:i w:val="0"/>
                <w:iCs w:val="0"/>
                <w:color w:val="auto"/>
                <w:kern w:val="0"/>
                <w:sz w:val="21"/>
                <w:szCs w:val="21"/>
                <w:u w:val="none"/>
                <w:lang w:val="en-US" w:eastAsia="zh-CN" w:bidi="ar"/>
              </w:rPr>
              <w:t>6.348</w:t>
            </w:r>
            <w:r>
              <w:rPr>
                <w:rFonts w:hint="default" w:ascii="Times New Roman" w:hAnsi="Times New Roman" w:eastAsia="宋体" w:cs="Times New Roman"/>
                <w:color w:val="auto"/>
                <w:kern w:val="2"/>
                <w:sz w:val="21"/>
                <w:szCs w:val="21"/>
                <w:shd w:val="clear" w:color="auto" w:fill="auto"/>
                <w:lang w:val="en-US" w:eastAsia="zh-CN" w:bidi="ar"/>
              </w:rPr>
              <w:t>m</w:t>
            </w:r>
            <w:r>
              <w:rPr>
                <w:rFonts w:hint="default" w:ascii="Times New Roman" w:hAnsi="Times New Roman" w:eastAsia="宋体" w:cs="Times New Roman"/>
                <w:color w:val="auto"/>
                <w:kern w:val="2"/>
                <w:sz w:val="21"/>
                <w:szCs w:val="21"/>
                <w:shd w:val="clear" w:color="auto" w:fill="auto"/>
                <w:vertAlign w:val="superscript"/>
                <w:lang w:val="en-US" w:eastAsia="zh-CN" w:bidi="ar"/>
              </w:rPr>
              <w:t>3</w:t>
            </w:r>
            <w:r>
              <w:rPr>
                <w:rFonts w:hint="default" w:ascii="Times New Roman" w:hAnsi="Times New Roman" w:eastAsia="宋体" w:cs="Times New Roman"/>
                <w:color w:val="auto"/>
                <w:kern w:val="2"/>
                <w:sz w:val="21"/>
                <w:szCs w:val="21"/>
                <w:shd w:val="clear" w:color="auto" w:fill="auto"/>
                <w:lang w:val="en-US" w:eastAsia="zh-CN" w:bidi="ar"/>
              </w:rPr>
              <w:t>/d，根据业主提供资料，万洋众创城智能制造产业园区生化池处理规模约为84m</w:t>
            </w:r>
            <w:r>
              <w:rPr>
                <w:rFonts w:hint="default" w:ascii="Times New Roman" w:hAnsi="Times New Roman" w:eastAsia="宋体" w:cs="Times New Roman"/>
                <w:color w:val="auto"/>
                <w:kern w:val="2"/>
                <w:sz w:val="21"/>
                <w:szCs w:val="21"/>
                <w:shd w:val="clear" w:color="auto" w:fill="auto"/>
                <w:vertAlign w:val="superscript"/>
                <w:lang w:val="en-US" w:eastAsia="zh-CN" w:bidi="ar"/>
              </w:rPr>
              <w:t>3</w:t>
            </w:r>
            <w:r>
              <w:rPr>
                <w:rFonts w:hint="default" w:ascii="Times New Roman" w:hAnsi="Times New Roman" w:eastAsia="宋体" w:cs="Times New Roman"/>
                <w:color w:val="auto"/>
                <w:kern w:val="2"/>
                <w:sz w:val="21"/>
                <w:szCs w:val="21"/>
                <w:shd w:val="clear" w:color="auto" w:fill="auto"/>
                <w:lang w:val="en-US" w:eastAsia="zh-CN" w:bidi="ar"/>
              </w:rPr>
              <w:t>/d，目前万洋众创城智能制造产业园区内入驻企业</w:t>
            </w:r>
            <w:r>
              <w:rPr>
                <w:rFonts w:hint="eastAsia" w:cs="Times New Roman"/>
                <w:color w:val="auto"/>
                <w:kern w:val="2"/>
                <w:sz w:val="21"/>
                <w:szCs w:val="21"/>
                <w:shd w:val="clear" w:color="auto" w:fill="auto"/>
                <w:lang w:val="en-US" w:eastAsia="zh-CN" w:bidi="ar"/>
              </w:rPr>
              <w:t>较少</w:t>
            </w:r>
            <w:r>
              <w:rPr>
                <w:rFonts w:hint="default" w:ascii="Times New Roman" w:hAnsi="Times New Roman" w:eastAsia="宋体" w:cs="Times New Roman"/>
                <w:color w:val="auto"/>
                <w:kern w:val="2"/>
                <w:sz w:val="21"/>
                <w:szCs w:val="21"/>
                <w:shd w:val="clear" w:color="auto" w:fill="auto"/>
                <w:lang w:val="en-US" w:eastAsia="zh-CN" w:bidi="ar"/>
              </w:rPr>
              <w:t>，剩余处理规模充足，能够接纳本项目排入的新增污水量，因此标准厂房生化池有足够余量处理本项目排入的新增废水。</w:t>
            </w:r>
            <w:r>
              <w:rPr>
                <w:rFonts w:hint="default" w:ascii="Times New Roman" w:hAnsi="Times New Roman" w:cs="Times New Roman"/>
                <w:color w:val="auto"/>
                <w:sz w:val="21"/>
                <w:szCs w:val="21"/>
                <w:highlight w:val="none"/>
                <w:lang w:val="en-US" w:eastAsia="zh-CN"/>
              </w:rPr>
              <w:t>且本项目排放的废水主要为</w:t>
            </w:r>
            <w:r>
              <w:rPr>
                <w:rFonts w:hint="default" w:ascii="Times New Roman" w:hAnsi="Times New Roman" w:eastAsia="宋体" w:cs="Times New Roman"/>
                <w:color w:val="auto"/>
                <w:sz w:val="21"/>
                <w:szCs w:val="21"/>
              </w:rPr>
              <w:t>生活</w:t>
            </w:r>
            <w:r>
              <w:rPr>
                <w:rFonts w:hint="eastAsia" w:cs="Times New Roman"/>
                <w:color w:val="auto"/>
                <w:sz w:val="21"/>
                <w:szCs w:val="21"/>
                <w:lang w:eastAsia="zh-CN"/>
              </w:rPr>
              <w:t>废</w:t>
            </w:r>
            <w:r>
              <w:rPr>
                <w:rFonts w:hint="default" w:ascii="Times New Roman" w:hAnsi="Times New Roman" w:eastAsia="宋体" w:cs="Times New Roman"/>
                <w:color w:val="auto"/>
                <w:sz w:val="21"/>
                <w:szCs w:val="21"/>
              </w:rPr>
              <w:t>水</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地面清洁废水</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空压机含油废水</w:t>
            </w:r>
            <w:r>
              <w:rPr>
                <w:rFonts w:hint="default" w:ascii="Times New Roman" w:hAnsi="Times New Roman" w:cs="Times New Roman"/>
                <w:color w:val="auto"/>
                <w:sz w:val="21"/>
                <w:szCs w:val="21"/>
                <w:highlight w:val="none"/>
                <w:lang w:val="en-US" w:eastAsia="zh-CN"/>
              </w:rPr>
              <w:t>，污水水质较简单</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rPr>
              <w:t>空压机含油废水</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地面清洁废水</w:t>
            </w:r>
            <w:r>
              <w:rPr>
                <w:rFonts w:hint="eastAsia" w:cs="Times New Roman"/>
                <w:color w:val="auto"/>
                <w:sz w:val="21"/>
                <w:szCs w:val="21"/>
                <w:lang w:val="en-US" w:eastAsia="zh-CN"/>
              </w:rPr>
              <w:t>先通过</w:t>
            </w:r>
            <w:r>
              <w:rPr>
                <w:rFonts w:hint="eastAsia" w:eastAsia="宋体" w:cs="Times New Roman"/>
                <w:color w:val="auto"/>
                <w:sz w:val="21"/>
                <w:szCs w:val="21"/>
                <w:lang w:val="en-US" w:eastAsia="zh-CN"/>
              </w:rPr>
              <w:t>隔油池</w:t>
            </w:r>
            <w:r>
              <w:rPr>
                <w:rFonts w:hint="eastAsia" w:cs="Times New Roman"/>
                <w:color w:val="auto"/>
                <w:sz w:val="21"/>
                <w:szCs w:val="21"/>
                <w:lang w:val="en-US" w:eastAsia="zh-CN"/>
              </w:rPr>
              <w:t>除油预处理</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然后</w:t>
            </w:r>
            <w:r>
              <w:rPr>
                <w:rFonts w:hint="default" w:ascii="Times New Roman" w:hAnsi="Times New Roman" w:eastAsia="宋体" w:cs="Times New Roman"/>
                <w:color w:val="auto"/>
                <w:sz w:val="21"/>
                <w:szCs w:val="21"/>
              </w:rPr>
              <w:t>和生活废水一起</w:t>
            </w:r>
            <w:r>
              <w:rPr>
                <w:rFonts w:hint="eastAsia" w:ascii="Times New Roman" w:hAnsi="Times New Roman" w:eastAsia="宋体" w:cs="Times New Roman"/>
                <w:color w:val="auto"/>
                <w:sz w:val="21"/>
                <w:szCs w:val="21"/>
                <w:lang w:val="en-US" w:eastAsia="zh-CN"/>
              </w:rPr>
              <w:t>进入</w:t>
            </w:r>
            <w:r>
              <w:rPr>
                <w:rFonts w:hint="eastAsia" w:ascii="Times New Roman" w:hAnsi="Times New Roman" w:cs="Times New Roman"/>
                <w:color w:val="auto"/>
                <w:sz w:val="21"/>
                <w:szCs w:val="21"/>
                <w:highlight w:val="none"/>
                <w:lang w:eastAsia="zh-CN"/>
              </w:rPr>
              <w:t>已建</w:t>
            </w:r>
            <w:r>
              <w:rPr>
                <w:rFonts w:hint="default" w:ascii="Times New Roman" w:hAnsi="Times New Roman" w:cs="Times New Roman"/>
                <w:color w:val="auto"/>
                <w:sz w:val="21"/>
                <w:szCs w:val="21"/>
                <w:highlight w:val="none"/>
                <w:lang w:val="en-US" w:eastAsia="zh-CN"/>
              </w:rPr>
              <w:t>生化池</w:t>
            </w:r>
            <w:r>
              <w:rPr>
                <w:rFonts w:hint="eastAsia" w:ascii="Times New Roman" w:hAnsi="Times New Roman" w:cs="Times New Roman"/>
                <w:color w:val="auto"/>
                <w:sz w:val="21"/>
                <w:szCs w:val="21"/>
                <w:highlight w:val="none"/>
                <w:lang w:val="en-US" w:eastAsia="zh-CN"/>
              </w:rPr>
              <w:t>进行处理</w:t>
            </w:r>
            <w:r>
              <w:rPr>
                <w:rFonts w:hint="eastAsia" w:cs="Times New Roman"/>
                <w:color w:val="auto"/>
                <w:sz w:val="21"/>
                <w:szCs w:val="21"/>
                <w:highlight w:val="none"/>
                <w:lang w:val="en-US" w:eastAsia="zh-CN"/>
              </w:rPr>
              <w:t>能够满足处理要求。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2"/>
                <w:sz w:val="21"/>
                <w:szCs w:val="21"/>
                <w:shd w:val="clear" w:color="auto" w:fill="auto"/>
                <w:lang w:val="en-US" w:eastAsia="zh-CN" w:bidi="ar"/>
              </w:rPr>
            </w:pPr>
            <w:r>
              <w:rPr>
                <w:rFonts w:hint="default" w:ascii="Times New Roman" w:hAnsi="Times New Roman" w:eastAsia="宋体" w:cs="Times New Roman"/>
                <w:color w:val="auto"/>
                <w:kern w:val="2"/>
                <w:sz w:val="21"/>
                <w:szCs w:val="21"/>
                <w:shd w:val="clear" w:color="auto" w:fill="auto"/>
                <w:lang w:val="en-US" w:eastAsia="zh-CN" w:bidi="ar"/>
              </w:rPr>
              <w:t>综上所述，拟建项目产生的</w:t>
            </w:r>
            <w:r>
              <w:rPr>
                <w:rFonts w:hint="eastAsia" w:cs="Times New Roman"/>
                <w:color w:val="auto"/>
                <w:kern w:val="2"/>
                <w:sz w:val="21"/>
                <w:szCs w:val="21"/>
                <w:shd w:val="clear" w:color="auto" w:fill="auto"/>
                <w:lang w:val="en-US" w:eastAsia="zh-CN" w:bidi="ar"/>
              </w:rPr>
              <w:t>废水</w:t>
            </w:r>
            <w:r>
              <w:rPr>
                <w:rFonts w:hint="default" w:ascii="Times New Roman" w:hAnsi="Times New Roman" w:eastAsia="宋体" w:cs="Times New Roman"/>
                <w:color w:val="auto"/>
                <w:kern w:val="2"/>
                <w:sz w:val="21"/>
                <w:szCs w:val="21"/>
                <w:shd w:val="clear" w:color="auto" w:fill="auto"/>
                <w:lang w:val="en-US" w:eastAsia="zh-CN" w:bidi="ar"/>
              </w:rPr>
              <w:t>进入万洋众创城智能制造产业园生化池处理可行。</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2"/>
                <w:sz w:val="21"/>
                <w:szCs w:val="21"/>
                <w:shd w:val="clear" w:color="auto" w:fill="auto"/>
                <w:lang w:val="en-US" w:eastAsia="zh-CN" w:bidi="ar"/>
              </w:rPr>
            </w:pPr>
            <w:r>
              <w:rPr>
                <w:rFonts w:hint="default" w:ascii="Times New Roman" w:hAnsi="Times New Roman" w:eastAsia="宋体" w:cs="Times New Roman"/>
                <w:color w:val="auto"/>
                <w:kern w:val="2"/>
                <w:sz w:val="21"/>
                <w:szCs w:val="21"/>
                <w:shd w:val="clear" w:color="auto" w:fill="auto"/>
                <w:lang w:val="en-US" w:eastAsia="zh-CN" w:bidi="ar"/>
              </w:rPr>
              <w:t>（3）东城污水处理厂依托可行性分析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2"/>
                <w:sz w:val="21"/>
                <w:szCs w:val="21"/>
                <w:shd w:val="clear" w:color="auto" w:fill="auto"/>
                <w:lang w:val="en-US" w:eastAsia="zh-CN" w:bidi="ar"/>
              </w:rPr>
            </w:pPr>
            <w:r>
              <w:rPr>
                <w:rFonts w:hint="default" w:ascii="Times New Roman" w:hAnsi="Times New Roman" w:eastAsia="宋体" w:cs="Times New Roman"/>
                <w:color w:val="auto"/>
                <w:kern w:val="2"/>
                <w:sz w:val="21"/>
                <w:szCs w:val="21"/>
                <w:shd w:val="clear" w:color="auto" w:fill="auto"/>
                <w:lang w:val="en-US" w:eastAsia="zh-CN" w:bidi="ar"/>
              </w:rPr>
              <w:t>本项目所在区域属于东城污水处理厂服务范围，东城污水处理厂位于东城街道办事处全兴社区，2013年底正式投入运营，设计处理能力为10000m</w:t>
            </w:r>
            <w:r>
              <w:rPr>
                <w:rFonts w:hint="default" w:ascii="Times New Roman" w:hAnsi="Times New Roman" w:eastAsia="宋体" w:cs="Times New Roman"/>
                <w:color w:val="auto"/>
                <w:kern w:val="2"/>
                <w:sz w:val="21"/>
                <w:szCs w:val="21"/>
                <w:shd w:val="clear" w:color="auto" w:fill="auto"/>
                <w:vertAlign w:val="superscript"/>
                <w:lang w:val="en-US" w:eastAsia="zh-CN" w:bidi="ar"/>
              </w:rPr>
              <w:t>3</w:t>
            </w:r>
            <w:r>
              <w:rPr>
                <w:rFonts w:hint="default" w:ascii="Times New Roman" w:hAnsi="Times New Roman" w:eastAsia="宋体" w:cs="Times New Roman"/>
                <w:color w:val="auto"/>
                <w:kern w:val="2"/>
                <w:sz w:val="21"/>
                <w:szCs w:val="21"/>
                <w:shd w:val="clear" w:color="auto" w:fill="auto"/>
                <w:lang w:val="en-US" w:eastAsia="zh-CN" w:bidi="ar"/>
              </w:rPr>
              <w:t>/d，目前处理量为8000m</w:t>
            </w:r>
            <w:r>
              <w:rPr>
                <w:rFonts w:hint="default" w:ascii="Times New Roman" w:hAnsi="Times New Roman" w:eastAsia="宋体" w:cs="Times New Roman"/>
                <w:color w:val="auto"/>
                <w:kern w:val="2"/>
                <w:sz w:val="21"/>
                <w:szCs w:val="21"/>
                <w:shd w:val="clear" w:color="auto" w:fill="auto"/>
                <w:vertAlign w:val="superscript"/>
                <w:lang w:val="en-US" w:eastAsia="zh-CN" w:bidi="ar"/>
              </w:rPr>
              <w:t>3</w:t>
            </w:r>
            <w:r>
              <w:rPr>
                <w:rFonts w:hint="default" w:ascii="Times New Roman" w:hAnsi="Times New Roman" w:eastAsia="宋体" w:cs="Times New Roman"/>
                <w:color w:val="auto"/>
                <w:kern w:val="2"/>
                <w:sz w:val="21"/>
                <w:szCs w:val="21"/>
                <w:shd w:val="clear" w:color="auto" w:fill="auto"/>
                <w:lang w:val="en-US" w:eastAsia="zh-CN" w:bidi="ar"/>
              </w:rPr>
              <w:t>/d，出水达《城镇污水处理厂污染物排放标准》（GB18918-2002）一级B标准后排放至淮远河。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2"/>
                <w:sz w:val="21"/>
                <w:szCs w:val="21"/>
                <w:shd w:val="clear" w:color="auto" w:fill="auto"/>
                <w:lang w:val="en-US" w:eastAsia="zh-CN" w:bidi="ar"/>
              </w:rPr>
            </w:pPr>
            <w:r>
              <w:rPr>
                <w:rFonts w:hint="default" w:ascii="Times New Roman" w:hAnsi="Times New Roman" w:eastAsia="宋体" w:cs="Times New Roman"/>
                <w:color w:val="auto"/>
                <w:kern w:val="2"/>
                <w:sz w:val="21"/>
                <w:szCs w:val="21"/>
                <w:shd w:val="clear" w:color="auto" w:fill="auto"/>
                <w:lang w:val="en-US" w:eastAsia="zh-CN" w:bidi="ar"/>
              </w:rPr>
              <w:t>项目位于已建成工业园区，市政污水管网已建成并与园区污水处理厂相连，项目废水经预处理达到《污水综合排放标准》（GB8978-1996）三级排放标准排入园区污水管网，其水质符合进入东城污水处理厂要求，且本项目污废水量较小，污染物简单。目前东城污水处理厂尚有充足处理余量，项目排放的污废水对该污水处理厂的冲击不大。因此，项目产生的废水经预处理达标后再进入东城污水处理厂进行处理是可行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4</w:t>
            </w:r>
            <w:r>
              <w:rPr>
                <w:rFonts w:hint="default" w:ascii="Times New Roman" w:hAnsi="Times New Roman" w:eastAsia="宋体" w:cs="Times New Roman"/>
                <w:b/>
                <w:bCs/>
                <w:color w:val="auto"/>
                <w:sz w:val="21"/>
                <w:szCs w:val="21"/>
                <w:lang w:val="en-US" w:eastAsia="zh-CN" w:bidi="ar"/>
              </w:rPr>
              <w:t>、废水监测计划表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根据</w:t>
            </w:r>
            <w:r>
              <w:rPr>
                <w:rFonts w:hint="default" w:ascii="Times New Roman" w:hAnsi="Times New Roman" w:cs="Times New Roman"/>
                <w:b w:val="0"/>
                <w:bCs w:val="0"/>
                <w:color w:val="auto"/>
                <w:kern w:val="0"/>
                <w:sz w:val="21"/>
                <w:szCs w:val="21"/>
                <w:lang w:val="en-US" w:eastAsia="zh-CN" w:bidi="ar"/>
              </w:rPr>
              <w:t>《排污许可证申请与核发技术规范 总则》（HJ942—2018）</w:t>
            </w:r>
            <w:r>
              <w:rPr>
                <w:rFonts w:hint="eastAsia"/>
                <w:color w:val="auto"/>
              </w:rPr>
              <w:t>、</w:t>
            </w:r>
            <w:r>
              <w:rPr>
                <w:color w:val="auto"/>
              </w:rPr>
              <w:t>《排污单位自行监测技术指南 总则》（HJ819-2017）</w:t>
            </w:r>
            <w:r>
              <w:rPr>
                <w:rFonts w:hint="default" w:ascii="Times New Roman" w:hAnsi="Times New Roman"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本项目废水监测计划见表4.</w:t>
            </w:r>
            <w:r>
              <w:rPr>
                <w:rFonts w:hint="eastAsia" w:cs="Times New Roman"/>
                <w:color w:val="auto"/>
                <w:sz w:val="21"/>
                <w:szCs w:val="21"/>
                <w:lang w:val="en-US" w:eastAsia="zh-CN" w:bidi="ar"/>
              </w:rPr>
              <w:t>7</w:t>
            </w:r>
            <w:r>
              <w:rPr>
                <w:rFonts w:hint="default" w:ascii="Times New Roman" w:hAnsi="Times New Roman" w:eastAsia="宋体" w:cs="Times New Roman"/>
                <w:color w:val="auto"/>
                <w:sz w:val="21"/>
                <w:szCs w:val="21"/>
                <w:lang w:val="en-US" w:eastAsia="zh-CN" w:bidi="ar"/>
              </w:rPr>
              <w:t>。</w:t>
            </w:r>
          </w:p>
          <w:p>
            <w:pPr>
              <w:spacing w:line="46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项目环境监测计划一览表</w:t>
            </w:r>
          </w:p>
          <w:tbl>
            <w:tblPr>
              <w:tblStyle w:val="27"/>
              <w:tblW w:w="80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981"/>
              <w:gridCol w:w="1632"/>
              <w:gridCol w:w="1917"/>
              <w:gridCol w:w="1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84"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981"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控制污染物</w:t>
                  </w:r>
                </w:p>
              </w:tc>
              <w:tc>
                <w:tcPr>
                  <w:tcW w:w="163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917"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c>
                <w:tcPr>
                  <w:tcW w:w="1841"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84" w:type="dxa"/>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981" w:type="dxa"/>
                  <w:noWrap w:val="0"/>
                  <w:vAlign w:val="center"/>
                </w:tcPr>
                <w:p>
                  <w:pPr>
                    <w:widowControl/>
                    <w:adjustRightInd w:val="0"/>
                    <w:snapToGrid w:val="0"/>
                    <w:spacing w:line="280" w:lineRule="exact"/>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bCs/>
                      <w:color w:val="auto"/>
                      <w:sz w:val="21"/>
                      <w:szCs w:val="21"/>
                    </w:rPr>
                    <w:t>pH、</w:t>
                  </w:r>
                  <w:r>
                    <w:rPr>
                      <w:rFonts w:hint="default" w:ascii="Times New Roman" w:hAnsi="Times New Roman" w:eastAsia="宋体" w:cs="Times New Roman"/>
                      <w:color w:val="auto"/>
                      <w:kern w:val="0"/>
                      <w:sz w:val="21"/>
                      <w:szCs w:val="21"/>
                      <w:lang w:bidi="ar"/>
                    </w:rPr>
                    <w:t>COD、BOD</w:t>
                  </w:r>
                  <w:r>
                    <w:rPr>
                      <w:rFonts w:hint="default" w:ascii="Times New Roman" w:hAnsi="Times New Roman" w:eastAsia="宋体" w:cs="Times New Roman"/>
                      <w:color w:val="auto"/>
                      <w:kern w:val="0"/>
                      <w:sz w:val="21"/>
                      <w:szCs w:val="21"/>
                      <w:vertAlign w:val="subscript"/>
                      <w:lang w:bidi="ar"/>
                    </w:rPr>
                    <w:t>5</w:t>
                  </w:r>
                  <w:r>
                    <w:rPr>
                      <w:rFonts w:hint="default" w:ascii="Times New Roman" w:hAnsi="Times New Roman" w:eastAsia="宋体" w:cs="Times New Roman"/>
                      <w:color w:val="auto"/>
                      <w:kern w:val="0"/>
                      <w:sz w:val="21"/>
                      <w:szCs w:val="21"/>
                      <w:lang w:bidi="ar"/>
                    </w:rPr>
                    <w:t>、SS、氨氮</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石油类</w:t>
                  </w:r>
                </w:p>
              </w:tc>
              <w:tc>
                <w:tcPr>
                  <w:tcW w:w="1632" w:type="dxa"/>
                  <w:noWrap w:val="0"/>
                  <w:vAlign w:val="center"/>
                </w:tcPr>
                <w:p>
                  <w:pPr>
                    <w:adjustRightInd w:val="0"/>
                    <w:snapToGrid w:val="0"/>
                    <w:spacing w:line="280" w:lineRule="exact"/>
                    <w:jc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cs="Times New Roman"/>
                      <w:bCs/>
                      <w:color w:val="auto"/>
                      <w:sz w:val="21"/>
                      <w:szCs w:val="21"/>
                      <w:lang w:val="en-US" w:eastAsia="zh-CN"/>
                    </w:rPr>
                    <w:t>生化池</w:t>
                  </w:r>
                  <w:r>
                    <w:rPr>
                      <w:rFonts w:hint="default" w:ascii="Times New Roman" w:hAnsi="Times New Roman" w:eastAsia="宋体" w:cs="Times New Roman"/>
                      <w:bCs/>
                      <w:color w:val="auto"/>
                      <w:sz w:val="21"/>
                      <w:szCs w:val="21"/>
                    </w:rPr>
                    <w:t>排放口</w:t>
                  </w:r>
                </w:p>
              </w:tc>
              <w:tc>
                <w:tcPr>
                  <w:tcW w:w="1917" w:type="dxa"/>
                  <w:noWrap w:val="0"/>
                  <w:vAlign w:val="center"/>
                </w:tcPr>
                <w:p>
                  <w:pPr>
                    <w:adjustRightInd w:val="0"/>
                    <w:snapToGrid w:val="0"/>
                    <w:spacing w:line="280" w:lineRule="exact"/>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eastAsia="zh-CN"/>
                    </w:rPr>
                    <w:t>验收时监测</w:t>
                  </w:r>
                  <w:r>
                    <w:rPr>
                      <w:rFonts w:hint="default" w:ascii="Times New Roman" w:hAnsi="Times New Roman" w:cs="Times New Roman"/>
                      <w:snapToGrid w:val="0"/>
                      <w:color w:val="auto"/>
                      <w:kern w:val="0"/>
                      <w:sz w:val="21"/>
                      <w:szCs w:val="21"/>
                      <w:lang w:val="en-US" w:eastAsia="zh-CN"/>
                    </w:rPr>
                    <w:t>2天，每天</w:t>
                  </w:r>
                  <w:r>
                    <w:rPr>
                      <w:rFonts w:hint="default" w:ascii="Times New Roman" w:hAnsi="Times New Roman" w:cs="Times New Roman"/>
                      <w:snapToGrid w:val="0"/>
                      <w:color w:val="auto"/>
                      <w:kern w:val="0"/>
                      <w:sz w:val="21"/>
                      <w:szCs w:val="21"/>
                      <w:lang w:eastAsia="zh-CN"/>
                    </w:rPr>
                    <w:t>监测</w:t>
                  </w:r>
                  <w:r>
                    <w:rPr>
                      <w:rFonts w:hint="default" w:ascii="Times New Roman" w:hAnsi="Times New Roman" w:cs="Times New Roman"/>
                      <w:snapToGrid w:val="0"/>
                      <w:color w:val="auto"/>
                      <w:kern w:val="0"/>
                      <w:sz w:val="21"/>
                      <w:szCs w:val="21"/>
                      <w:lang w:val="en-US" w:eastAsia="zh-CN"/>
                    </w:rPr>
                    <w:t>4</w:t>
                  </w:r>
                  <w:r>
                    <w:rPr>
                      <w:rFonts w:hint="default" w:ascii="Times New Roman" w:hAnsi="Times New Roman" w:cs="Times New Roman"/>
                      <w:snapToGrid w:val="0"/>
                      <w:color w:val="auto"/>
                      <w:kern w:val="0"/>
                      <w:sz w:val="21"/>
                      <w:szCs w:val="21"/>
                      <w:lang w:eastAsia="zh-CN"/>
                    </w:rPr>
                    <w:t>次；以后</w:t>
                  </w:r>
                  <w:r>
                    <w:rPr>
                      <w:rFonts w:hint="default" w:ascii="Times New Roman" w:hAnsi="Times New Roman" w:cs="Times New Roman"/>
                      <w:snapToGrid w:val="0"/>
                      <w:color w:val="auto"/>
                      <w:kern w:val="0"/>
                      <w:sz w:val="21"/>
                      <w:szCs w:val="21"/>
                      <w:lang w:val="en-US" w:eastAsia="zh-CN"/>
                    </w:rPr>
                    <w:t>1</w:t>
                  </w:r>
                  <w:r>
                    <w:rPr>
                      <w:rFonts w:hint="default" w:ascii="Times New Roman" w:hAnsi="Times New Roman" w:eastAsia="宋体" w:cs="Times New Roman"/>
                      <w:snapToGrid w:val="0"/>
                      <w:color w:val="auto"/>
                      <w:kern w:val="0"/>
                      <w:sz w:val="21"/>
                      <w:szCs w:val="21"/>
                    </w:rPr>
                    <w:t>次</w:t>
                  </w:r>
                  <w:r>
                    <w:rPr>
                      <w:rFonts w:hint="default" w:ascii="Times New Roman" w:hAnsi="Times New Roman" w:cs="Times New Roman"/>
                      <w:snapToGrid w:val="0"/>
                      <w:color w:val="auto"/>
                      <w:kern w:val="0"/>
                      <w:sz w:val="21"/>
                      <w:szCs w:val="21"/>
                      <w:lang w:val="en-US" w:eastAsia="zh-CN"/>
                    </w:rPr>
                    <w:t>/年</w:t>
                  </w:r>
                </w:p>
              </w:tc>
              <w:tc>
                <w:tcPr>
                  <w:tcW w:w="1841" w:type="dxa"/>
                  <w:noWrap w:val="0"/>
                  <w:vAlign w:val="center"/>
                </w:tcPr>
                <w:p>
                  <w:pPr>
                    <w:adjustRightInd w:val="0"/>
                    <w:snapToGrid w:val="0"/>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《污水综合排放标准》(GB8978－1996)三级标准</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4.2.3 噪声</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1、噪声污染源源强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项目噪声污染源源强及相关参数见表4.</w:t>
            </w:r>
            <w:r>
              <w:rPr>
                <w:rFonts w:hint="eastAsia" w:cs="Times New Roman"/>
                <w:color w:val="auto"/>
                <w:sz w:val="21"/>
                <w:szCs w:val="21"/>
                <w:lang w:val="en-US" w:eastAsia="zh-CN" w:bidi="ar"/>
              </w:rPr>
              <w:t>8</w:t>
            </w:r>
            <w:r>
              <w:rPr>
                <w:rFonts w:hint="default" w:ascii="Times New Roman" w:hAnsi="Times New Roman"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表4.</w:t>
            </w:r>
            <w:r>
              <w:rPr>
                <w:rFonts w:hint="eastAsia" w:cs="Times New Roman"/>
                <w:color w:val="auto"/>
                <w:sz w:val="21"/>
                <w:szCs w:val="21"/>
                <w:lang w:val="en-US" w:eastAsia="zh-CN" w:bidi="ar"/>
              </w:rPr>
              <w:t>9</w:t>
            </w:r>
            <w:r>
              <w:rPr>
                <w:rFonts w:hint="default" w:ascii="Times New Roman" w:hAnsi="Times New Roman" w:eastAsia="宋体" w:cs="Times New Roman"/>
                <w:color w:val="auto"/>
                <w:sz w:val="21"/>
                <w:szCs w:val="21"/>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4.</w:t>
            </w:r>
            <w:r>
              <w:rPr>
                <w:rFonts w:hint="eastAsia" w:cs="Times New Roman"/>
                <w:b/>
                <w:color w:val="auto"/>
                <w:kern w:val="0"/>
                <w:sz w:val="21"/>
                <w:szCs w:val="21"/>
                <w:lang w:val="en-US" w:eastAsia="zh-CN"/>
              </w:rPr>
              <w:t>8</w:t>
            </w:r>
            <w:r>
              <w:rPr>
                <w:rFonts w:hint="default" w:ascii="Times New Roman" w:hAnsi="Times New Roman" w:eastAsia="宋体" w:cs="Times New Roman"/>
                <w:b/>
                <w:color w:val="auto"/>
                <w:kern w:val="0"/>
                <w:sz w:val="21"/>
                <w:szCs w:val="21"/>
              </w:rPr>
              <w:t>主要噪声源强调查清单（室</w:t>
            </w:r>
            <w:r>
              <w:rPr>
                <w:rFonts w:hint="default" w:ascii="Times New Roman" w:hAnsi="Times New Roman" w:cs="Times New Roman"/>
                <w:b/>
                <w:color w:val="auto"/>
                <w:kern w:val="0"/>
                <w:sz w:val="21"/>
                <w:szCs w:val="21"/>
                <w:lang w:val="en-US" w:eastAsia="zh-CN"/>
              </w:rPr>
              <w:t>外</w:t>
            </w:r>
            <w:r>
              <w:rPr>
                <w:rFonts w:hint="default" w:ascii="Times New Roman" w:hAnsi="Times New Roman" w:eastAsia="宋体" w:cs="Times New Roman"/>
                <w:b/>
                <w:color w:val="auto"/>
                <w:kern w:val="0"/>
                <w:sz w:val="21"/>
                <w:szCs w:val="21"/>
              </w:rPr>
              <w:t>声源）</w:t>
            </w:r>
            <w:r>
              <w:rPr>
                <w:rFonts w:hint="default"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单位：dB（A）</w:t>
            </w:r>
          </w:p>
          <w:tbl>
            <w:tblPr>
              <w:tblStyle w:val="27"/>
              <w:tblW w:w="80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2"/>
              <w:gridCol w:w="822"/>
              <w:gridCol w:w="769"/>
              <w:gridCol w:w="524"/>
              <w:gridCol w:w="447"/>
              <w:gridCol w:w="524"/>
              <w:gridCol w:w="1199"/>
              <w:gridCol w:w="1234"/>
              <w:gridCol w:w="1134"/>
              <w:gridCol w:w="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22" w:type="dxa"/>
                  <w:vMerge w:val="restart"/>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序号</w:t>
                  </w:r>
                </w:p>
              </w:tc>
              <w:tc>
                <w:tcPr>
                  <w:tcW w:w="822" w:type="dxa"/>
                  <w:vMerge w:val="restart"/>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声源名称</w:t>
                  </w:r>
                </w:p>
              </w:tc>
              <w:tc>
                <w:tcPr>
                  <w:tcW w:w="769" w:type="dxa"/>
                  <w:vMerge w:val="restart"/>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型号</w:t>
                  </w:r>
                </w:p>
              </w:tc>
              <w:tc>
                <w:tcPr>
                  <w:tcW w:w="1495" w:type="dxa"/>
                  <w:gridSpan w:val="3"/>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afterLines="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空间相对位置</w:t>
                  </w:r>
                  <w:r>
                    <w:rPr>
                      <w:rFonts w:hint="default" w:ascii="Times New Roman" w:hAnsi="Times New Roman" w:eastAsia="宋体" w:cs="Times New Roman"/>
                      <w:color w:val="auto"/>
                      <w:kern w:val="2"/>
                      <w:sz w:val="21"/>
                      <w:szCs w:val="21"/>
                      <w:lang w:val="en-US"/>
                    </w:rPr>
                    <w:t>/m</w:t>
                  </w:r>
                </w:p>
              </w:tc>
              <w:tc>
                <w:tcPr>
                  <w:tcW w:w="2433" w:type="dxa"/>
                  <w:gridSpan w:val="2"/>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afterLines="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声源源强（任选一种）</w:t>
                  </w:r>
                </w:p>
              </w:tc>
              <w:tc>
                <w:tcPr>
                  <w:tcW w:w="1134" w:type="dxa"/>
                  <w:vMerge w:val="restart"/>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声源控制措施</w:t>
                  </w:r>
                </w:p>
              </w:tc>
              <w:tc>
                <w:tcPr>
                  <w:tcW w:w="829" w:type="dxa"/>
                  <w:vMerge w:val="restart"/>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运行时段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 w:hRule="atLeast"/>
              </w:trPr>
              <w:tc>
                <w:tcPr>
                  <w:tcW w:w="522" w:type="dxa"/>
                  <w:vMerge w:val="continue"/>
                  <w:tcBorders>
                    <w:tl2br w:val="nil"/>
                    <w:tr2bl w:val="nil"/>
                  </w:tcBorders>
                  <w:noWrap w:val="0"/>
                  <w:vAlign w:val="center"/>
                </w:tcPr>
                <w:p>
                  <w:pPr>
                    <w:keepNext w:val="0"/>
                    <w:keepLines w:val="0"/>
                    <w:pageBreakBefore w:val="0"/>
                    <w:widowControl/>
                    <w:wordWrap/>
                    <w:topLinePunct w:val="0"/>
                    <w:bidi w:val="0"/>
                    <w:adjustRightInd w:val="0"/>
                    <w:snapToGrid w:val="0"/>
                    <w:spacing w:line="240" w:lineRule="atLeast"/>
                    <w:ind w:left="0" w:right="0"/>
                    <w:jc w:val="center"/>
                    <w:textAlignment w:val="auto"/>
                    <w:rPr>
                      <w:rFonts w:hint="default" w:ascii="Times New Roman" w:hAnsi="Times New Roman" w:eastAsia="宋体" w:cs="Times New Roman"/>
                      <w:color w:val="auto"/>
                      <w:kern w:val="2"/>
                      <w:sz w:val="21"/>
                      <w:szCs w:val="21"/>
                    </w:rPr>
                  </w:pPr>
                </w:p>
              </w:tc>
              <w:tc>
                <w:tcPr>
                  <w:tcW w:w="822" w:type="dxa"/>
                  <w:vMerge w:val="continue"/>
                  <w:tcBorders>
                    <w:tl2br w:val="nil"/>
                    <w:tr2bl w:val="nil"/>
                  </w:tcBorders>
                  <w:noWrap w:val="0"/>
                  <w:vAlign w:val="center"/>
                </w:tcPr>
                <w:p>
                  <w:pPr>
                    <w:keepNext w:val="0"/>
                    <w:keepLines w:val="0"/>
                    <w:pageBreakBefore w:val="0"/>
                    <w:widowControl/>
                    <w:wordWrap/>
                    <w:topLinePunct w:val="0"/>
                    <w:bidi w:val="0"/>
                    <w:adjustRightInd w:val="0"/>
                    <w:snapToGrid w:val="0"/>
                    <w:spacing w:line="240" w:lineRule="atLeast"/>
                    <w:ind w:left="0" w:right="0"/>
                    <w:jc w:val="center"/>
                    <w:textAlignment w:val="auto"/>
                    <w:rPr>
                      <w:rFonts w:hint="default" w:ascii="Times New Roman" w:hAnsi="Times New Roman" w:eastAsia="宋体" w:cs="Times New Roman"/>
                      <w:color w:val="auto"/>
                      <w:kern w:val="2"/>
                      <w:sz w:val="21"/>
                      <w:szCs w:val="21"/>
                    </w:rPr>
                  </w:pPr>
                </w:p>
              </w:tc>
              <w:tc>
                <w:tcPr>
                  <w:tcW w:w="769" w:type="dxa"/>
                  <w:vMerge w:val="continue"/>
                  <w:tcBorders>
                    <w:tl2br w:val="nil"/>
                    <w:tr2bl w:val="nil"/>
                  </w:tcBorders>
                  <w:noWrap w:val="0"/>
                  <w:vAlign w:val="center"/>
                </w:tcPr>
                <w:p>
                  <w:pPr>
                    <w:keepNext w:val="0"/>
                    <w:keepLines w:val="0"/>
                    <w:pageBreakBefore w:val="0"/>
                    <w:widowControl/>
                    <w:wordWrap/>
                    <w:topLinePunct w:val="0"/>
                    <w:bidi w:val="0"/>
                    <w:adjustRightInd w:val="0"/>
                    <w:snapToGrid w:val="0"/>
                    <w:spacing w:line="240" w:lineRule="atLeast"/>
                    <w:ind w:left="0" w:right="0"/>
                    <w:jc w:val="center"/>
                    <w:textAlignment w:val="auto"/>
                    <w:rPr>
                      <w:rFonts w:hint="default" w:ascii="Times New Roman" w:hAnsi="Times New Roman" w:eastAsia="宋体" w:cs="Times New Roman"/>
                      <w:color w:val="auto"/>
                      <w:kern w:val="2"/>
                      <w:sz w:val="21"/>
                      <w:szCs w:val="21"/>
                    </w:rPr>
                  </w:pPr>
                </w:p>
              </w:tc>
              <w:tc>
                <w:tcPr>
                  <w:tcW w:w="524" w:type="dxa"/>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i/>
                      <w:iCs/>
                      <w:color w:val="auto"/>
                      <w:kern w:val="2"/>
                      <w:sz w:val="21"/>
                      <w:szCs w:val="21"/>
                      <w:lang w:val="en-US"/>
                    </w:rPr>
                    <w:t>X</w:t>
                  </w:r>
                </w:p>
              </w:tc>
              <w:tc>
                <w:tcPr>
                  <w:tcW w:w="447" w:type="dxa"/>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i/>
                      <w:iCs/>
                      <w:color w:val="auto"/>
                      <w:kern w:val="2"/>
                      <w:sz w:val="21"/>
                      <w:szCs w:val="21"/>
                      <w:lang w:val="en-US"/>
                    </w:rPr>
                    <w:t>Y</w:t>
                  </w:r>
                </w:p>
              </w:tc>
              <w:tc>
                <w:tcPr>
                  <w:tcW w:w="524" w:type="dxa"/>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i/>
                      <w:iCs/>
                      <w:color w:val="auto"/>
                      <w:kern w:val="2"/>
                      <w:sz w:val="21"/>
                      <w:szCs w:val="21"/>
                      <w:lang w:val="en-US"/>
                    </w:rPr>
                    <w:t>Z</w:t>
                  </w:r>
                </w:p>
              </w:tc>
              <w:tc>
                <w:tcPr>
                  <w:tcW w:w="1199" w:type="dxa"/>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afterLines="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（声压级</w:t>
                  </w:r>
                  <w:r>
                    <w:rPr>
                      <w:rFonts w:hint="default" w:ascii="Times New Roman" w:hAnsi="Times New Roman" w:eastAsia="宋体" w:cs="Times New Roman"/>
                      <w:color w:val="auto"/>
                      <w:kern w:val="2"/>
                      <w:sz w:val="21"/>
                      <w:szCs w:val="21"/>
                      <w:lang w:val="en-US"/>
                    </w:rPr>
                    <w:t>/</w:t>
                  </w:r>
                  <w:r>
                    <w:rPr>
                      <w:rFonts w:hint="default" w:ascii="Times New Roman" w:hAnsi="Times New Roman" w:eastAsia="宋体" w:cs="Times New Roman"/>
                      <w:color w:val="auto"/>
                      <w:kern w:val="2"/>
                      <w:sz w:val="21"/>
                      <w:szCs w:val="21"/>
                    </w:rPr>
                    <w:t>距声源距离）</w:t>
                  </w:r>
                  <w:r>
                    <w:rPr>
                      <w:rFonts w:hint="default" w:ascii="Times New Roman" w:hAnsi="Times New Roman" w:eastAsia="宋体" w:cs="Times New Roman"/>
                      <w:color w:val="auto"/>
                      <w:kern w:val="2"/>
                      <w:sz w:val="21"/>
                      <w:szCs w:val="21"/>
                      <w:lang w:val="en-US"/>
                    </w:rPr>
                    <w:t>/</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kern w:val="2"/>
                      <w:sz w:val="21"/>
                      <w:szCs w:val="21"/>
                      <w:lang w:val="en-US"/>
                    </w:rPr>
                    <w:t>dB(A)/m</w:t>
                  </w:r>
                  <w:r>
                    <w:rPr>
                      <w:rFonts w:hint="default" w:ascii="Times New Roman" w:hAnsi="Times New Roman" w:eastAsia="宋体" w:cs="Times New Roman"/>
                      <w:color w:val="auto"/>
                      <w:kern w:val="2"/>
                      <w:sz w:val="21"/>
                      <w:szCs w:val="21"/>
                    </w:rPr>
                    <w:t>）</w:t>
                  </w:r>
                </w:p>
              </w:tc>
              <w:tc>
                <w:tcPr>
                  <w:tcW w:w="1234" w:type="dxa"/>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afterLines="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声功率级</w:t>
                  </w:r>
                  <w:r>
                    <w:rPr>
                      <w:rFonts w:hint="default" w:ascii="Times New Roman" w:hAnsi="Times New Roman" w:eastAsia="宋体" w:cs="Times New Roman"/>
                      <w:color w:val="auto"/>
                      <w:kern w:val="2"/>
                      <w:sz w:val="21"/>
                      <w:szCs w:val="21"/>
                      <w:lang w:val="en-US"/>
                    </w:rPr>
                    <w:t>/dB(A)</w:t>
                  </w:r>
                </w:p>
              </w:tc>
              <w:tc>
                <w:tcPr>
                  <w:tcW w:w="1134" w:type="dxa"/>
                  <w:vMerge w:val="continue"/>
                  <w:tcBorders>
                    <w:tl2br w:val="nil"/>
                    <w:tr2bl w:val="nil"/>
                  </w:tcBorders>
                  <w:noWrap w:val="0"/>
                  <w:vAlign w:val="center"/>
                </w:tcPr>
                <w:p>
                  <w:pPr>
                    <w:keepNext w:val="0"/>
                    <w:keepLines w:val="0"/>
                    <w:pageBreakBefore w:val="0"/>
                    <w:widowControl/>
                    <w:wordWrap/>
                    <w:topLinePunct w:val="0"/>
                    <w:bidi w:val="0"/>
                    <w:adjustRightInd w:val="0"/>
                    <w:snapToGrid w:val="0"/>
                    <w:spacing w:line="240" w:lineRule="atLeast"/>
                    <w:ind w:left="0" w:right="0"/>
                    <w:jc w:val="center"/>
                    <w:textAlignment w:val="auto"/>
                    <w:rPr>
                      <w:rFonts w:hint="default" w:ascii="Times New Roman" w:hAnsi="Times New Roman" w:eastAsia="宋体" w:cs="Times New Roman"/>
                      <w:color w:val="auto"/>
                      <w:kern w:val="2"/>
                      <w:sz w:val="21"/>
                      <w:szCs w:val="21"/>
                    </w:rPr>
                  </w:pPr>
                </w:p>
              </w:tc>
              <w:tc>
                <w:tcPr>
                  <w:tcW w:w="829" w:type="dxa"/>
                  <w:vMerge w:val="continue"/>
                  <w:tcBorders>
                    <w:tl2br w:val="nil"/>
                    <w:tr2bl w:val="nil"/>
                  </w:tcBorders>
                  <w:noWrap w:val="0"/>
                  <w:vAlign w:val="center"/>
                </w:tcPr>
                <w:p>
                  <w:pPr>
                    <w:keepNext w:val="0"/>
                    <w:keepLines w:val="0"/>
                    <w:pageBreakBefore w:val="0"/>
                    <w:widowControl/>
                    <w:wordWrap/>
                    <w:topLinePunct w:val="0"/>
                    <w:bidi w:val="0"/>
                    <w:adjustRightInd w:val="0"/>
                    <w:snapToGrid w:val="0"/>
                    <w:spacing w:line="240" w:lineRule="atLeast"/>
                    <w:ind w:left="0" w:right="0"/>
                    <w:jc w:val="center"/>
                    <w:textAlignment w:val="auto"/>
                    <w:rPr>
                      <w:rFonts w:hint="default" w:ascii="Times New Roman" w:hAnsi="Times New Roman" w:eastAsia="宋体" w:cs="Times New Roman"/>
                      <w:color w:val="auto"/>
                      <w:kern w:val="2"/>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22" w:type="dxa"/>
                  <w:tcBorders>
                    <w:tl2br w:val="nil"/>
                    <w:tr2bl w:val="nil"/>
                  </w:tcBorders>
                  <w:noWrap w:val="0"/>
                  <w:vAlign w:val="center"/>
                </w:tcPr>
                <w:p>
                  <w:pPr>
                    <w:pStyle w:val="37"/>
                    <w:keepNext w:val="0"/>
                    <w:keepLines w:val="0"/>
                    <w:pageBreakBefore w:val="0"/>
                    <w:widowControl/>
                    <w:kinsoku w:val="0"/>
                    <w:wordWrap/>
                    <w:overflowPunct w:val="0"/>
                    <w:topLinePunct w:val="0"/>
                    <w:bidi w:val="0"/>
                    <w:adjustRightInd w:val="0"/>
                    <w:snapToGrid w:val="0"/>
                    <w:spacing w:beforeLines="0" w:beforeAutospacing="0" w:afterLines="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1</w:t>
                  </w:r>
                </w:p>
              </w:tc>
              <w:tc>
                <w:tcPr>
                  <w:tcW w:w="822" w:type="dxa"/>
                  <w:tcBorders>
                    <w:tl2br w:val="nil"/>
                    <w:tr2bl w:val="nil"/>
                  </w:tcBorders>
                  <w:noWrap w:val="0"/>
                  <w:vAlign w:val="center"/>
                </w:tcPr>
                <w:p>
                  <w:pPr>
                    <w:pStyle w:val="51"/>
                    <w:keepNext w:val="0"/>
                    <w:keepLines w:val="0"/>
                    <w:pageBreakBefore w:val="0"/>
                    <w:wordWrap/>
                    <w:topLinePunct w:val="0"/>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风机</w:t>
                  </w:r>
                </w:p>
              </w:tc>
              <w:tc>
                <w:tcPr>
                  <w:tcW w:w="769" w:type="dxa"/>
                  <w:tcBorders>
                    <w:tl2br w:val="nil"/>
                    <w:tr2bl w:val="nil"/>
                  </w:tcBorders>
                  <w:noWrap w:val="0"/>
                  <w:vAlign w:val="center"/>
                </w:tcPr>
                <w:p>
                  <w:pPr>
                    <w:pStyle w:val="51"/>
                    <w:keepNext w:val="0"/>
                    <w:keepLines w:val="0"/>
                    <w:pageBreakBefore w:val="0"/>
                    <w:wordWrap/>
                    <w:topLinePunct w:val="0"/>
                    <w:bidi w:val="0"/>
                    <w:adjustRightInd w:val="0"/>
                    <w:snapToGrid w:val="0"/>
                    <w:spacing w:line="240" w:lineRule="atLeas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24" w:type="dxa"/>
                  <w:tcBorders>
                    <w:tl2br w:val="nil"/>
                    <w:tr2bl w:val="nil"/>
                  </w:tcBorders>
                  <w:noWrap w:val="0"/>
                  <w:vAlign w:val="center"/>
                </w:tcPr>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w:t>
                  </w:r>
                  <w:r>
                    <w:rPr>
                      <w:rFonts w:hint="eastAsia" w:cs="Times New Roman"/>
                      <w:color w:val="auto"/>
                      <w:kern w:val="2"/>
                      <w:sz w:val="21"/>
                      <w:szCs w:val="21"/>
                      <w:lang w:val="en-US" w:eastAsia="zh-CN"/>
                    </w:rPr>
                    <w:t>2</w:t>
                  </w:r>
                </w:p>
              </w:tc>
              <w:tc>
                <w:tcPr>
                  <w:tcW w:w="447" w:type="dxa"/>
                  <w:tcBorders>
                    <w:tl2br w:val="nil"/>
                    <w:tr2bl w:val="nil"/>
                  </w:tcBorders>
                  <w:noWrap w:val="0"/>
                  <w:vAlign w:val="center"/>
                </w:tcPr>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16</w:t>
                  </w:r>
                </w:p>
              </w:tc>
              <w:tc>
                <w:tcPr>
                  <w:tcW w:w="524" w:type="dxa"/>
                  <w:tcBorders>
                    <w:tl2br w:val="nil"/>
                    <w:tr2bl w:val="nil"/>
                  </w:tcBorders>
                  <w:noWrap w:val="0"/>
                  <w:vAlign w:val="center"/>
                </w:tcPr>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23</w:t>
                  </w:r>
                  <w:r>
                    <w:rPr>
                      <w:rFonts w:hint="default" w:ascii="Times New Roman" w:hAnsi="Times New Roman" w:cs="Times New Roman"/>
                      <w:color w:val="auto"/>
                      <w:kern w:val="2"/>
                      <w:sz w:val="21"/>
                      <w:szCs w:val="21"/>
                      <w:lang w:val="en-US" w:eastAsia="zh-CN"/>
                    </w:rPr>
                    <w:t>.5</w:t>
                  </w:r>
                </w:p>
              </w:tc>
              <w:tc>
                <w:tcPr>
                  <w:tcW w:w="1199" w:type="dxa"/>
                  <w:tcBorders>
                    <w:tl2br w:val="nil"/>
                    <w:tr2bl w:val="nil"/>
                  </w:tcBorders>
                  <w:noWrap w:val="0"/>
                  <w:vAlign w:val="center"/>
                </w:tcPr>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lang w:val="en-US" w:eastAsia="zh-CN"/>
                    </w:rPr>
                    <w:t>\</w:t>
                  </w:r>
                </w:p>
              </w:tc>
              <w:tc>
                <w:tcPr>
                  <w:tcW w:w="1234" w:type="dxa"/>
                  <w:tcBorders>
                    <w:tl2br w:val="nil"/>
                    <w:tr2bl w:val="nil"/>
                  </w:tcBorders>
                  <w:noWrap w:val="0"/>
                  <w:vAlign w:val="center"/>
                </w:tcPr>
                <w:p>
                  <w:pPr>
                    <w:pStyle w:val="51"/>
                    <w:keepNext w:val="0"/>
                    <w:keepLines w:val="0"/>
                    <w:pageBreakBefore w:val="0"/>
                    <w:wordWrap/>
                    <w:topLinePunct w:val="0"/>
                    <w:bidi w:val="0"/>
                    <w:adjustRightInd w:val="0"/>
                    <w:snapToGrid w:val="0"/>
                    <w:spacing w:line="240" w:lineRule="atLeast"/>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lang w:val="en-US" w:eastAsia="zh-CN"/>
                    </w:rPr>
                    <w:t>80</w:t>
                  </w:r>
                </w:p>
              </w:tc>
              <w:tc>
                <w:tcPr>
                  <w:tcW w:w="1134" w:type="dxa"/>
                  <w:tcBorders>
                    <w:tl2br w:val="nil"/>
                    <w:tr2bl w:val="nil"/>
                  </w:tcBorders>
                  <w:noWrap w:val="0"/>
                  <w:vAlign w:val="center"/>
                </w:tcPr>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cs="Times New Roman"/>
                      <w:color w:val="auto"/>
                      <w:kern w:val="2"/>
                      <w:lang w:val="en-US"/>
                    </w:rPr>
                    <w:t>建筑隔声、减振等措</w:t>
                  </w:r>
                  <w:r>
                    <w:rPr>
                      <w:rFonts w:hint="default" w:ascii="Times New Roman" w:hAnsi="Times New Roman" w:eastAsia="宋体" w:cs="Times New Roman"/>
                      <w:color w:val="auto"/>
                      <w:kern w:val="2"/>
                      <w:sz w:val="21"/>
                      <w:szCs w:val="21"/>
                      <w:lang w:val="en-US"/>
                    </w:rPr>
                    <w:t>施</w:t>
                  </w:r>
                </w:p>
              </w:tc>
              <w:tc>
                <w:tcPr>
                  <w:tcW w:w="829" w:type="dxa"/>
                  <w:tcBorders>
                    <w:tl2br w:val="nil"/>
                    <w:tr2bl w:val="nil"/>
                  </w:tcBorders>
                  <w:noWrap w:val="0"/>
                  <w:vAlign w:val="center"/>
                </w:tcPr>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9点-</w:t>
                  </w:r>
                </w:p>
                <w:p>
                  <w:pPr>
                    <w:keepNext w:val="0"/>
                    <w:keepLines w:val="0"/>
                    <w:pageBreakBefore w:val="0"/>
                    <w:widowControl/>
                    <w:suppressLineNumbers w:val="0"/>
                    <w:wordWrap/>
                    <w:topLinePunct w:val="0"/>
                    <w:autoSpaceDE w:val="0"/>
                    <w:autoSpaceDN w:val="0"/>
                    <w:bidi w:val="0"/>
                    <w:adjustRightInd w:val="0"/>
                    <w:snapToGrid w:val="0"/>
                    <w:spacing w:beforeAutospacing="0" w:afterAutospacing="0" w:line="240" w:lineRule="atLeast"/>
                    <w:ind w:left="0" w:right="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w:t>
                  </w:r>
                  <w:r>
                    <w:rPr>
                      <w:rFonts w:hint="default" w:ascii="Times New Roman" w:hAnsi="Times New Roman" w:cs="Times New Roman"/>
                      <w:color w:val="auto"/>
                      <w:kern w:val="2"/>
                      <w:sz w:val="21"/>
                      <w:szCs w:val="21"/>
                      <w:lang w:val="en-US" w:eastAsia="zh-CN"/>
                    </w:rPr>
                    <w:t>8</w:t>
                  </w:r>
                  <w:r>
                    <w:rPr>
                      <w:rFonts w:hint="default" w:ascii="Times New Roman" w:hAnsi="Times New Roman" w:eastAsia="宋体" w:cs="Times New Roman"/>
                      <w:color w:val="auto"/>
                      <w:kern w:val="2"/>
                      <w:sz w:val="21"/>
                      <w:szCs w:val="21"/>
                      <w:lang w:val="en-US" w:eastAsia="zh-CN"/>
                    </w:rPr>
                    <w:t>点</w:t>
                  </w:r>
                </w:p>
              </w:tc>
            </w:tr>
          </w:tbl>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4.</w:t>
            </w:r>
            <w:r>
              <w:rPr>
                <w:rFonts w:hint="eastAsia" w:cs="Times New Roman"/>
                <w:b/>
                <w:color w:val="auto"/>
                <w:kern w:val="0"/>
                <w:sz w:val="21"/>
                <w:szCs w:val="21"/>
                <w:lang w:val="en-US" w:eastAsia="zh-CN"/>
              </w:rPr>
              <w:t>9</w:t>
            </w:r>
            <w:r>
              <w:rPr>
                <w:rFonts w:hint="default" w:ascii="Times New Roman" w:hAnsi="Times New Roman" w:eastAsia="宋体" w:cs="Times New Roman"/>
                <w:b/>
                <w:color w:val="auto"/>
                <w:kern w:val="0"/>
                <w:sz w:val="21"/>
                <w:szCs w:val="21"/>
              </w:rPr>
              <w:t>主要噪声源强调查清单（室内声源）</w:t>
            </w:r>
            <w:r>
              <w:rPr>
                <w:rFonts w:hint="default"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单位：dB（A）</w:t>
            </w:r>
          </w:p>
          <w:tbl>
            <w:tblPr>
              <w:tblStyle w:val="27"/>
              <w:tblW w:w="803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787"/>
              <w:gridCol w:w="920"/>
              <w:gridCol w:w="643"/>
              <w:gridCol w:w="286"/>
              <w:gridCol w:w="360"/>
              <w:gridCol w:w="373"/>
              <w:gridCol w:w="777"/>
              <w:gridCol w:w="646"/>
              <w:gridCol w:w="324"/>
              <w:gridCol w:w="645"/>
              <w:gridCol w:w="818"/>
              <w:gridCol w:w="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776"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声源名称</w:t>
                  </w:r>
                </w:p>
              </w:tc>
              <w:tc>
                <w:tcPr>
                  <w:tcW w:w="787"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型号</w:t>
                  </w:r>
                </w:p>
              </w:tc>
              <w:tc>
                <w:tcPr>
                  <w:tcW w:w="920"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声源源强</w:t>
                  </w:r>
                </w:p>
              </w:tc>
              <w:tc>
                <w:tcPr>
                  <w:tcW w:w="643"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声源控制措施</w:t>
                  </w:r>
                </w:p>
              </w:tc>
              <w:tc>
                <w:tcPr>
                  <w:tcW w:w="1019" w:type="dxa"/>
                  <w:gridSpan w:val="3"/>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空间相对位置/m</w:t>
                  </w:r>
                </w:p>
              </w:tc>
              <w:tc>
                <w:tcPr>
                  <w:tcW w:w="777"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距室内边界距离/m</w:t>
                  </w:r>
                </w:p>
              </w:tc>
              <w:tc>
                <w:tcPr>
                  <w:tcW w:w="646"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室内边界声级/dB(A)</w:t>
                  </w:r>
                </w:p>
              </w:tc>
              <w:tc>
                <w:tcPr>
                  <w:tcW w:w="324"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运行</w:t>
                  </w:r>
                </w:p>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时段</w:t>
                  </w:r>
                </w:p>
              </w:tc>
              <w:tc>
                <w:tcPr>
                  <w:tcW w:w="645"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建筑物插入损失/dB(A)</w:t>
                  </w:r>
                </w:p>
              </w:tc>
              <w:tc>
                <w:tcPr>
                  <w:tcW w:w="1494" w:type="dxa"/>
                  <w:gridSpan w:val="2"/>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w:t>
                  </w:r>
                </w:p>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76"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787"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920"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声功率级/dB(A)</w:t>
                  </w:r>
                </w:p>
              </w:tc>
              <w:tc>
                <w:tcPr>
                  <w:tcW w:w="643"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286"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360"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373"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w:t>
                  </w:r>
                </w:p>
              </w:tc>
              <w:tc>
                <w:tcPr>
                  <w:tcW w:w="777"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646"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324"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645"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p>
              </w:tc>
              <w:tc>
                <w:tcPr>
                  <w:tcW w:w="818"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声压级/dB(A)</w:t>
                  </w:r>
                </w:p>
              </w:tc>
              <w:tc>
                <w:tcPr>
                  <w:tcW w:w="676" w:type="dxa"/>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建筑物外距离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冲床</w:t>
                  </w:r>
                </w:p>
              </w:tc>
              <w:tc>
                <w:tcPr>
                  <w:tcW w:w="787" w:type="dxa"/>
                  <w:vMerge w:val="restart"/>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JG-21</w:t>
                  </w:r>
                </w:p>
              </w:tc>
              <w:tc>
                <w:tcPr>
                  <w:tcW w:w="9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r>
                    <w:rPr>
                      <w:rFonts w:hint="default" w:ascii="Times New Roman" w:hAnsi="Times New Roman" w:cs="Times New Roman"/>
                      <w:color w:val="auto"/>
                      <w:sz w:val="21"/>
                      <w:szCs w:val="21"/>
                      <w:lang w:val="en-US" w:eastAsia="zh-CN"/>
                    </w:rPr>
                    <w:t>5</w:t>
                  </w:r>
                </w:p>
              </w:tc>
              <w:tc>
                <w:tcPr>
                  <w:tcW w:w="643" w:type="dxa"/>
                  <w:vMerge w:val="restar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rPr>
                    <w:t>建筑隔声、减振</w:t>
                  </w:r>
                </w:p>
              </w:tc>
              <w:tc>
                <w:tcPr>
                  <w:tcW w:w="2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16</w:t>
                  </w:r>
                </w:p>
              </w:tc>
              <w:tc>
                <w:tcPr>
                  <w:tcW w:w="3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3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0.8</w:t>
                  </w:r>
                </w:p>
              </w:tc>
              <w:tc>
                <w:tcPr>
                  <w:tcW w:w="777" w:type="dxa"/>
                  <w:tcBorders>
                    <w:righ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东南：32</w:t>
                  </w:r>
                </w:p>
              </w:tc>
              <w:tc>
                <w:tcPr>
                  <w:tcW w:w="646" w:type="dxa"/>
                  <w:tcBorders>
                    <w:left w:val="single" w:color="auto" w:sz="4" w:space="0"/>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54.9 </w:t>
                  </w:r>
                </w:p>
              </w:tc>
              <w:tc>
                <w:tcPr>
                  <w:tcW w:w="324" w:type="dxa"/>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9-18点</w:t>
                  </w:r>
                </w:p>
              </w:tc>
              <w:tc>
                <w:tcPr>
                  <w:tcW w:w="645" w:type="dxa"/>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44.9 </w:t>
                  </w:r>
                </w:p>
              </w:tc>
              <w:tc>
                <w:tcPr>
                  <w:tcW w:w="676" w:type="dxa"/>
                  <w:tcBorders>
                    <w:bottom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tcBorders>
                    <w:tl2br w:val="nil"/>
                    <w:tr2bl w:val="nil"/>
                  </w:tcBorders>
                  <w:noWrap w:val="0"/>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87"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tcBorders>
                    <w:righ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西南：11</w:t>
                  </w:r>
                </w:p>
              </w:tc>
              <w:tc>
                <w:tcPr>
                  <w:tcW w:w="646" w:type="dxa"/>
                  <w:tcBorders>
                    <w:left w:val="single" w:color="auto" w:sz="4" w:space="0"/>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64.2 </w:t>
                  </w:r>
                </w:p>
              </w:tc>
              <w:tc>
                <w:tcPr>
                  <w:tcW w:w="324"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54.2 </w:t>
                  </w:r>
                </w:p>
              </w:tc>
              <w:tc>
                <w:tcPr>
                  <w:tcW w:w="676" w:type="dxa"/>
                  <w:tcBorders>
                    <w:top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tcBorders>
                    <w:righ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西北：16</w:t>
                  </w:r>
                </w:p>
              </w:tc>
              <w:tc>
                <w:tcPr>
                  <w:tcW w:w="646" w:type="dxa"/>
                  <w:tcBorders>
                    <w:left w:val="single" w:color="auto" w:sz="4" w:space="0"/>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60.9 </w:t>
                  </w:r>
                </w:p>
              </w:tc>
              <w:tc>
                <w:tcPr>
                  <w:tcW w:w="324"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50.9 </w:t>
                  </w:r>
                </w:p>
              </w:tc>
              <w:tc>
                <w:tcPr>
                  <w:tcW w:w="676" w:type="dxa"/>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tcBorders>
                    <w:righ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东北：13</w:t>
                  </w:r>
                </w:p>
              </w:tc>
              <w:tc>
                <w:tcPr>
                  <w:tcW w:w="646" w:type="dxa"/>
                  <w:tcBorders>
                    <w:left w:val="single" w:color="auto" w:sz="4" w:space="0"/>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62.7 </w:t>
                  </w:r>
                </w:p>
              </w:tc>
              <w:tc>
                <w:tcPr>
                  <w:tcW w:w="324"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52.7 </w:t>
                  </w:r>
                </w:p>
              </w:tc>
              <w:tc>
                <w:tcPr>
                  <w:tcW w:w="676" w:type="dxa"/>
                  <w:tcBorders>
                    <w:top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车床</w:t>
                  </w:r>
                </w:p>
              </w:tc>
              <w:tc>
                <w:tcPr>
                  <w:tcW w:w="787"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C6166152</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75</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37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0..8</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东南：24</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47.4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西南：16</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50.9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西北：24</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47.4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东北：8</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56.9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滚齿机</w:t>
                  </w:r>
                </w:p>
              </w:tc>
              <w:tc>
                <w:tcPr>
                  <w:tcW w:w="787"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3150E</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80</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37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0.8</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东南：12</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西南：8</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61.9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西北：36</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48.9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38.9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东北：16</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CNC</w:t>
                  </w:r>
                </w:p>
              </w:tc>
              <w:tc>
                <w:tcPr>
                  <w:tcW w:w="78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850</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75</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37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0.8</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东南：40</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43.0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33.0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西南：7</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58.1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48.1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西北：8</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56.9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东北：17</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50.4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液压机</w:t>
                  </w:r>
                </w:p>
              </w:tc>
              <w:tc>
                <w:tcPr>
                  <w:tcW w:w="78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YJ-500</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r>
                    <w:rPr>
                      <w:rFonts w:hint="default" w:ascii="Times New Roman" w:hAnsi="Times New Roman" w:cs="Times New Roman"/>
                      <w:color w:val="auto"/>
                      <w:sz w:val="21"/>
                      <w:szCs w:val="21"/>
                      <w:lang w:val="en-US" w:eastAsia="zh-CN"/>
                    </w:rPr>
                    <w:t>5</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3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东南：23</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57.8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47.8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西南：12</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63.4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西北：25</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57.0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47.0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东北：12</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63.4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钻床</w:t>
                  </w:r>
                </w:p>
              </w:tc>
              <w:tc>
                <w:tcPr>
                  <w:tcW w:w="78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Z4015</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r>
                    <w:rPr>
                      <w:rFonts w:hint="default" w:ascii="Times New Roman" w:hAnsi="Times New Roman" w:cs="Times New Roman"/>
                      <w:color w:val="auto"/>
                      <w:sz w:val="21"/>
                      <w:szCs w:val="21"/>
                      <w:lang w:val="en-US" w:eastAsia="zh-CN"/>
                    </w:rPr>
                    <w:t>5</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3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东南：30</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55.5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45.5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西南：7</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68.1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58.1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78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西北：18</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59.9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49.9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东北：17</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60.4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抛丸机</w:t>
                  </w:r>
                </w:p>
              </w:tc>
              <w:tc>
                <w:tcPr>
                  <w:tcW w:w="787"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Q3210</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3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东南：29</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60.8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50.8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西南：13</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67.7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57.7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西北：19</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64.4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东北：11</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69.2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59.2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restart"/>
                  <w:vAlign w:val="center"/>
                </w:tcPr>
                <w:p>
                  <w:pPr>
                    <w:pStyle w:val="51"/>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空压机</w:t>
                  </w:r>
                </w:p>
              </w:tc>
              <w:tc>
                <w:tcPr>
                  <w:tcW w:w="78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V-0.5/1.25</w:t>
                  </w:r>
                </w:p>
              </w:tc>
              <w:tc>
                <w:tcPr>
                  <w:tcW w:w="9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75</w:t>
                  </w: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2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36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3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w:t>
                  </w: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东南：13</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52.7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restart"/>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42.7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西南：5</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61.0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51.0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西北：35</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44.1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34.1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776"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787"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cs="Times New Roman"/>
                      <w:color w:val="auto"/>
                      <w:kern w:val="2"/>
                      <w:sz w:val="21"/>
                      <w:szCs w:val="21"/>
                      <w:lang w:val="en-US" w:eastAsia="zh-CN" w:bidi="ar-SA"/>
                    </w:rPr>
                  </w:pPr>
                </w:p>
              </w:tc>
              <w:tc>
                <w:tcPr>
                  <w:tcW w:w="9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643" w:type="dxa"/>
                  <w:vMerge w:val="continue"/>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kern w:val="2"/>
                      <w:sz w:val="21"/>
                      <w:szCs w:val="21"/>
                      <w:lang w:val="en-US"/>
                    </w:rPr>
                  </w:pPr>
                </w:p>
              </w:tc>
              <w:tc>
                <w:tcPr>
                  <w:tcW w:w="2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3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lang w:val="en-US" w:eastAsia="zh-CN"/>
                    </w:rPr>
                  </w:pPr>
                </w:p>
              </w:tc>
              <w:tc>
                <w:tcPr>
                  <w:tcW w:w="777" w:type="dxa"/>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东北：19</w:t>
                  </w:r>
                </w:p>
              </w:tc>
              <w:tc>
                <w:tcPr>
                  <w:tcW w:w="646"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49.4 </w:t>
                  </w:r>
                </w:p>
              </w:tc>
              <w:tc>
                <w:tcPr>
                  <w:tcW w:w="324"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645" w:type="dxa"/>
                  <w:vMerge w:val="continue"/>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p>
              </w:tc>
              <w:tc>
                <w:tcPr>
                  <w:tcW w:w="818" w:type="dxa"/>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 </w:t>
                  </w:r>
                </w:p>
              </w:tc>
              <w:tc>
                <w:tcPr>
                  <w:tcW w:w="0" w:type="auto"/>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2、厂界和环境保护目标达标情况分析</w:t>
            </w:r>
          </w:p>
          <w:p>
            <w:pPr>
              <w:pStyle w:val="38"/>
              <w:ind w:firstLine="48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（1）预测方法及模式</w:t>
            </w:r>
          </w:p>
          <w:p>
            <w:pPr>
              <w:pStyle w:val="38"/>
              <w:ind w:firstLine="480"/>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一</w:t>
            </w:r>
            <w:r>
              <w:rPr>
                <w:rFonts w:hint="eastAsia" w:ascii="Times New Roman" w:hAnsi="Times New Roman"/>
                <w:color w:val="auto"/>
                <w:sz w:val="21"/>
                <w:szCs w:val="21"/>
                <w:lang w:eastAsia="zh-CN"/>
              </w:rPr>
              <w:t>）</w:t>
            </w:r>
            <w:r>
              <w:rPr>
                <w:rFonts w:hint="eastAsia" w:ascii="Times New Roman" w:hAnsi="Times New Roman"/>
                <w:color w:val="auto"/>
                <w:sz w:val="21"/>
                <w:szCs w:val="21"/>
              </w:rPr>
              <w:t>室</w:t>
            </w:r>
            <w:r>
              <w:rPr>
                <w:rFonts w:hint="eastAsia" w:ascii="Times New Roman" w:hAnsi="Times New Roman"/>
                <w:color w:val="auto"/>
                <w:sz w:val="21"/>
                <w:szCs w:val="21"/>
                <w:lang w:val="en-US" w:eastAsia="zh-CN"/>
              </w:rPr>
              <w:t>内</w:t>
            </w:r>
            <w:r>
              <w:rPr>
                <w:rFonts w:hint="eastAsia" w:ascii="Times New Roman" w:hAnsi="Times New Roman"/>
                <w:color w:val="auto"/>
                <w:sz w:val="21"/>
                <w:szCs w:val="21"/>
              </w:rPr>
              <w:t>声源计算：</w:t>
            </w:r>
            <w:r>
              <w:rPr>
                <w:rFonts w:hint="default" w:ascii="Times New Roman" w:hAnsi="Times New Roman" w:eastAsia="宋体" w:cs="Times New Roman"/>
                <w:color w:val="auto"/>
                <w:sz w:val="21"/>
                <w:szCs w:val="21"/>
                <w:lang w:val="en-US" w:eastAsia="zh-CN"/>
              </w:rPr>
              <w:t>按照《环境影响评价技术导则声环境》（HJ2.4－20</w:t>
            </w:r>
            <w:r>
              <w:rPr>
                <w:rFonts w:hint="default" w:ascii="Times New Roman" w:hAnsi="Times New Roman"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）中推荐的模式进行预测计算。具体预测模式如下：</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①点声源几何发散衰减算基本公式</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drawing>
                <wp:inline distT="0" distB="0" distL="114300" distR="114300">
                  <wp:extent cx="1911985" cy="443865"/>
                  <wp:effectExtent l="0" t="0" r="8255" b="13335"/>
                  <wp:docPr id="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IMG_256"/>
                          <pic:cNvPicPr>
                            <a:picLocks noChangeAspect="1"/>
                          </pic:cNvPicPr>
                        </pic:nvPicPr>
                        <pic:blipFill>
                          <a:blip r:embed="rId14"/>
                          <a:stretch>
                            <a:fillRect/>
                          </a:stretch>
                        </pic:blipFill>
                        <pic:spPr>
                          <a:xfrm>
                            <a:off x="0" y="0"/>
                            <a:ext cx="1911985" cy="443865"/>
                          </a:xfrm>
                          <a:prstGeom prst="rect">
                            <a:avLst/>
                          </a:prstGeom>
                          <a:noFill/>
                          <a:ln w="9525">
                            <a:noFill/>
                          </a:ln>
                        </pic:spPr>
                      </pic:pic>
                    </a:graphicData>
                  </a:graphic>
                </wp:inline>
              </w:drawing>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20" w:firstLineChars="2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式中：Lpr</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—受声点r</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米处的声压级，dB（A）；</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1050" w:firstLineChars="5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Lpr</w:t>
            </w:r>
            <w:r>
              <w:rPr>
                <w:rFonts w:hint="default" w:ascii="Times New Roman" w:hAnsi="Times New Roman" w:eastAsia="宋体" w:cs="Times New Roman"/>
                <w:color w:val="auto"/>
                <w:kern w:val="0"/>
                <w:sz w:val="21"/>
                <w:szCs w:val="21"/>
                <w:vertAlign w:val="subscript"/>
                <w:lang w:val="en-US" w:eastAsia="zh-CN" w:bidi="ar"/>
              </w:rPr>
              <w:t>1</w:t>
            </w:r>
            <w:r>
              <w:rPr>
                <w:rFonts w:hint="default" w:ascii="Times New Roman" w:hAnsi="Times New Roman" w:eastAsia="宋体" w:cs="Times New Roman"/>
                <w:color w:val="auto"/>
                <w:kern w:val="0"/>
                <w:sz w:val="21"/>
                <w:szCs w:val="21"/>
                <w:lang w:val="en-US" w:eastAsia="zh-CN" w:bidi="ar"/>
              </w:rPr>
              <w:t>—声源的声压级，dB（A）。</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②室内声源等效室外声源声功率级计算方法</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20" w:firstLineChars="200"/>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drawing>
                <wp:inline distT="0" distB="0" distL="114300" distR="114300">
                  <wp:extent cx="1783080" cy="42037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1783080" cy="420370"/>
                          </a:xfrm>
                          <a:prstGeom prst="rect">
                            <a:avLst/>
                          </a:prstGeom>
                          <a:noFill/>
                          <a:ln>
                            <a:noFill/>
                          </a:ln>
                        </pic:spPr>
                      </pic:pic>
                    </a:graphicData>
                  </a:graphic>
                </wp:inline>
              </w:drawing>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20" w:firstLineChars="2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式中：Q—方向性因子</w:t>
            </w:r>
            <w:r>
              <w:rPr>
                <w:rFonts w:hint="eastAsia" w:ascii="Times New Roman" w:cs="Times New Roman"/>
                <w:color w:val="auto"/>
                <w:kern w:val="0"/>
                <w:sz w:val="21"/>
                <w:szCs w:val="21"/>
                <w:lang w:val="en-US" w:eastAsia="zh-CN" w:bidi="ar"/>
              </w:rPr>
              <w:t>；通常对无指向性声源，当声源放在房间中心时，Q=1；当放在一面墙的中心时，Q=2；当放在两面墙夹角处时，Q=4；当放在三面墙夹角处时，Q=8；</w:t>
            </w:r>
          </w:p>
          <w:p>
            <w:pPr>
              <w:pStyle w:val="93"/>
              <w:spacing w:before="0" w:beforeAutospacing="0" w:after="0" w:afterAutospacing="0" w:line="460" w:lineRule="exact"/>
              <w:ind w:firstLine="1050" w:firstLineChars="500"/>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R—房间常数</w:t>
            </w:r>
            <w:r>
              <w:rPr>
                <w:rFonts w:hint="eastAsia" w:ascii="Times New Roman" w:cs="Times New Roman"/>
                <w:color w:val="auto"/>
                <w:kern w:val="0"/>
                <w:sz w:val="21"/>
                <w:szCs w:val="21"/>
                <w:lang w:val="en-US" w:eastAsia="zh-CN" w:bidi="ar"/>
              </w:rPr>
              <w:t>；</w:t>
            </w:r>
            <m:oMath>
              <m:r>
                <m:rPr>
                  <m:sty m:val="p"/>
                </m:rPr>
                <w:rPr>
                  <w:rFonts w:hint="default" w:ascii="Cambria Math" w:hAnsi="Cambria Math" w:cs="Times New Roman"/>
                  <w:color w:val="auto"/>
                  <w:sz w:val="21"/>
                  <w:szCs w:val="21"/>
                </w:rPr>
                <m:t>R=Sα/（1−α）</m:t>
              </m:r>
            </m:oMath>
            <w:r>
              <w:rPr>
                <w:rFonts w:hint="default" w:ascii="Times New Roman" w:hAnsi="Times New Roman" w:cs="Times New Roman"/>
                <w:color w:val="auto"/>
                <w:sz w:val="21"/>
                <w:szCs w:val="21"/>
              </w:rPr>
              <w:t>，S为房间内表面面积，m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m:oMath>
              <m:r>
                <m:rPr>
                  <m:sty m:val="p"/>
                </m:rPr>
                <w:rPr>
                  <w:rFonts w:hint="default" w:ascii="Cambria Math" w:hAnsi="Cambria Math"/>
                  <w:color w:val="auto"/>
                  <w:sz w:val="21"/>
                  <w:szCs w:val="21"/>
                </w:rPr>
                <m:t>α</m:t>
              </m:r>
            </m:oMath>
            <w:r>
              <w:rPr>
                <w:rFonts w:hint="default" w:ascii="Times New Roman" w:hAnsi="Times New Roman" w:cs="Times New Roman"/>
                <w:color w:val="auto"/>
                <w:sz w:val="21"/>
                <w:szCs w:val="21"/>
              </w:rPr>
              <w:t>为平均吸声系数；</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1050" w:firstLineChars="5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r—声源到靠近围护结构某点处的距离，m。</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20" w:firstLineChars="200"/>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在室内近似为扩散声场时，按以下公式计算出靠近室外围护结构处的声压级：</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drawing>
                <wp:inline distT="0" distB="0" distL="114300" distR="114300">
                  <wp:extent cx="1989455" cy="492760"/>
                  <wp:effectExtent l="0" t="0" r="6985" b="10160"/>
                  <wp:docPr id="1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IMG_256"/>
                          <pic:cNvPicPr>
                            <a:picLocks noChangeAspect="1"/>
                          </pic:cNvPicPr>
                        </pic:nvPicPr>
                        <pic:blipFill>
                          <a:blip r:embed="rId16"/>
                          <a:stretch>
                            <a:fillRect/>
                          </a:stretch>
                        </pic:blipFill>
                        <pic:spPr>
                          <a:xfrm>
                            <a:off x="0" y="0"/>
                            <a:ext cx="1989455" cy="492760"/>
                          </a:xfrm>
                          <a:prstGeom prst="rect">
                            <a:avLst/>
                          </a:prstGeom>
                          <a:noFill/>
                          <a:ln w="9525">
                            <a:noFill/>
                          </a:ln>
                        </pic:spPr>
                      </pic:pic>
                    </a:graphicData>
                  </a:graphic>
                </wp:inline>
              </w:drawing>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20" w:firstLineChars="2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式中：L</w:t>
            </w:r>
            <w:r>
              <w:rPr>
                <w:rFonts w:hint="default" w:ascii="Times New Roman" w:hAnsi="Times New Roman" w:eastAsia="宋体" w:cs="Times New Roman"/>
                <w:color w:val="auto"/>
                <w:kern w:val="0"/>
                <w:sz w:val="21"/>
                <w:szCs w:val="21"/>
                <w:vertAlign w:val="subscript"/>
                <w:lang w:val="en-US" w:eastAsia="zh-CN" w:bidi="ar"/>
              </w:rPr>
              <w:t>P2</w:t>
            </w:r>
            <w:r>
              <w:rPr>
                <w:rFonts w:hint="default" w:ascii="Times New Roman" w:hAnsi="Times New Roman" w:eastAsia="宋体" w:cs="Times New Roman"/>
                <w:color w:val="auto"/>
                <w:kern w:val="0"/>
                <w:sz w:val="21"/>
                <w:szCs w:val="21"/>
                <w:lang w:val="en-US" w:eastAsia="zh-CN" w:bidi="ar"/>
              </w:rPr>
              <w:t>(T)—靠近围护结构处室外N个声源叠加声压级，dB；</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1050" w:firstLineChars="5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TL—围护结构的隔声量，dB。</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20" w:firstLineChars="20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按以下将室外声源的声压级和透过面积换算成等效的室外声源，计算出中心位置位于透声面积（S）处的等效声源的功率级。</w:t>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480" w:firstLineChars="200"/>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4"/>
                <w:szCs w:val="24"/>
                <w:lang w:val="en-US" w:eastAsia="zh-CN" w:bidi="ar"/>
              </w:rPr>
              <w:drawing>
                <wp:inline distT="0" distB="0" distL="114300" distR="114300">
                  <wp:extent cx="1685925" cy="466090"/>
                  <wp:effectExtent l="0" t="0" r="5715" b="6350"/>
                  <wp:docPr id="1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IMG_256"/>
                          <pic:cNvPicPr>
                            <a:picLocks noChangeAspect="1"/>
                          </pic:cNvPicPr>
                        </pic:nvPicPr>
                        <pic:blipFill>
                          <a:blip r:embed="rId17"/>
                          <a:stretch>
                            <a:fillRect/>
                          </a:stretch>
                        </pic:blipFill>
                        <pic:spPr>
                          <a:xfrm>
                            <a:off x="0" y="0"/>
                            <a:ext cx="1685925" cy="466090"/>
                          </a:xfrm>
                          <a:prstGeom prst="rect">
                            <a:avLst/>
                          </a:prstGeom>
                          <a:noFill/>
                          <a:ln w="9525">
                            <a:noFill/>
                          </a:ln>
                        </pic:spPr>
                      </pic:pic>
                    </a:graphicData>
                  </a:graphic>
                </wp:inline>
              </w:drawing>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③对两个以上多个声源同时存在时，多点源叠加计算总强度，采用如下公式计：</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drawing>
                <wp:inline distT="0" distB="0" distL="114300" distR="114300">
                  <wp:extent cx="1813560" cy="556260"/>
                  <wp:effectExtent l="0" t="0" r="0" b="7620"/>
                  <wp:docPr id="1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IMG_256"/>
                          <pic:cNvPicPr>
                            <a:picLocks noChangeAspect="1"/>
                          </pic:cNvPicPr>
                        </pic:nvPicPr>
                        <pic:blipFill>
                          <a:blip r:embed="rId18"/>
                          <a:stretch>
                            <a:fillRect/>
                          </a:stretch>
                        </pic:blipFill>
                        <pic:spPr>
                          <a:xfrm>
                            <a:off x="0" y="0"/>
                            <a:ext cx="1813560" cy="556260"/>
                          </a:xfrm>
                          <a:prstGeom prst="rect">
                            <a:avLst/>
                          </a:prstGeom>
                          <a:noFill/>
                          <a:ln w="9525">
                            <a:noFill/>
                          </a:ln>
                        </pic:spPr>
                      </pic:pic>
                    </a:graphicData>
                  </a:graphic>
                </wp:inline>
              </w:drawing>
            </w:r>
          </w:p>
          <w:p>
            <w:pPr>
              <w:pStyle w:val="3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式中：Leqg—建设项目声源在预测点的等效声级贡献值，dB(A)；</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LAi—i声源在预测点产生的A声级，dB(A)。</w:t>
            </w:r>
          </w:p>
          <w:p>
            <w:pPr>
              <w:pStyle w:val="14"/>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二</w:t>
            </w:r>
            <w:r>
              <w:rPr>
                <w:rFonts w:hint="eastAsia" w:ascii="Times New Roman" w:hAnsi="Times New Roman"/>
                <w:color w:val="auto"/>
                <w:sz w:val="21"/>
                <w:szCs w:val="21"/>
                <w:lang w:eastAsia="zh-CN"/>
              </w:rPr>
              <w:t>）</w:t>
            </w:r>
            <w:r>
              <w:rPr>
                <w:rFonts w:hint="eastAsia" w:ascii="Times New Roman" w:hAnsi="Times New Roman"/>
                <w:color w:val="auto"/>
                <w:sz w:val="21"/>
                <w:szCs w:val="21"/>
              </w:rPr>
              <w:t>室外声源计算：采用《环境影响评价技术导则 声环境》（HJ2.4-2021）中推荐的室外声源计算方法的点声源的几何发散衰减公式。对于工业企业稳态机械设备，当声源处于自由空间且仅考虑声源的几何发散衰减，则距离点声源r处的声压级为：</w:t>
            </w:r>
          </w:p>
          <w:p>
            <w:pPr>
              <w:pStyle w:val="14"/>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olor w:val="auto"/>
                <w:sz w:val="21"/>
                <w:szCs w:val="21"/>
              </w:rPr>
            </w:pPr>
            <w:r>
              <w:rPr>
                <w:color w:val="auto"/>
                <w:sz w:val="21"/>
                <w:szCs w:val="21"/>
              </w:rPr>
              <w:drawing>
                <wp:inline distT="0" distB="0" distL="114300" distR="114300">
                  <wp:extent cx="1731645" cy="251460"/>
                  <wp:effectExtent l="0" t="0" r="5715" b="762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a:off x="0" y="0"/>
                            <a:ext cx="1731645" cy="251460"/>
                          </a:xfrm>
                          <a:prstGeom prst="rect">
                            <a:avLst/>
                          </a:prstGeom>
                          <a:noFill/>
                          <a:ln>
                            <a:noFill/>
                          </a:ln>
                        </pic:spPr>
                      </pic:pic>
                    </a:graphicData>
                  </a:graphic>
                </wp:inline>
              </w:drawing>
            </w:r>
          </w:p>
          <w:p>
            <w:pPr>
              <w:pStyle w:val="14"/>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olor w:val="auto"/>
                <w:sz w:val="21"/>
                <w:szCs w:val="21"/>
              </w:rPr>
            </w:pPr>
            <w:r>
              <w:rPr>
                <w:rFonts w:hint="eastAsia" w:ascii="Times New Roman" w:hAnsi="Times New Roman"/>
                <w:color w:val="auto"/>
                <w:sz w:val="21"/>
                <w:szCs w:val="21"/>
              </w:rPr>
              <w:t>式中：Lp（r）—预测点处声压级，dB；</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Lp（r0）—参考位置r0处的声压级，dB；</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r—预测点距声源的距离；</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r0—参考位置距声源的距离；</w:t>
            </w:r>
          </w:p>
          <w:p>
            <w:pPr>
              <w:pStyle w:val="14"/>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ascii="Times New Roman" w:hAnsi="Times New Roman"/>
                <w:color w:val="auto"/>
                <w:sz w:val="21"/>
                <w:szCs w:val="21"/>
              </w:rPr>
              <w:t>厂界预测点贡献值计算：</w:t>
            </w:r>
          </w:p>
          <w:p>
            <w:pPr>
              <w:pStyle w:val="14"/>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olor w:val="auto"/>
                <w:sz w:val="21"/>
                <w:szCs w:val="21"/>
              </w:rPr>
            </w:pPr>
            <w:r>
              <w:rPr>
                <w:color w:val="auto"/>
                <w:sz w:val="21"/>
                <w:szCs w:val="21"/>
              </w:rPr>
              <w:drawing>
                <wp:inline distT="0" distB="0" distL="114300" distR="114300">
                  <wp:extent cx="2595880" cy="521335"/>
                  <wp:effectExtent l="0" t="0" r="10160" b="120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2595880" cy="521335"/>
                          </a:xfrm>
                          <a:prstGeom prst="rect">
                            <a:avLst/>
                          </a:prstGeom>
                          <a:noFill/>
                          <a:ln>
                            <a:noFill/>
                          </a:ln>
                        </pic:spPr>
                      </pic:pic>
                    </a:graphicData>
                  </a:graphic>
                </wp:inline>
              </w:drawing>
            </w:r>
          </w:p>
          <w:p>
            <w:pPr>
              <w:pStyle w:val="14"/>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olor w:val="auto"/>
                <w:sz w:val="21"/>
                <w:szCs w:val="21"/>
              </w:rPr>
            </w:pPr>
            <w:r>
              <w:rPr>
                <w:rFonts w:hint="eastAsia" w:ascii="Times New Roman" w:hAnsi="Times New Roman"/>
                <w:color w:val="auto"/>
                <w:sz w:val="21"/>
                <w:szCs w:val="21"/>
              </w:rPr>
              <w:t>式中：Leqg—建设项目声源在预测点产生的噪声贡献值，dB；</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T—用于计算等效声级的时间，s；</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N—室外声源个数；</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ti—在T时间内i声源工作时间，s；</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M—等效室外声源个数；</w:t>
            </w:r>
          </w:p>
          <w:p>
            <w:pPr>
              <w:pStyle w:val="14"/>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eastAsia" w:ascii="Times New Roman" w:hAnsi="Times New Roman"/>
                <w:color w:val="auto"/>
                <w:sz w:val="21"/>
                <w:szCs w:val="21"/>
              </w:rPr>
            </w:pPr>
            <w:r>
              <w:rPr>
                <w:rFonts w:hint="eastAsia" w:ascii="Times New Roman" w:hAnsi="Times New Roman"/>
                <w:color w:val="auto"/>
                <w:sz w:val="21"/>
                <w:szCs w:val="21"/>
              </w:rPr>
              <w:t>tj—在T时间内j声源工作时间，s。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（2）预测结果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针对工程的总体布置情况，评价对车间厂界噪声预测评价，预测结果见表</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p>
          <w:p>
            <w:pPr>
              <w:spacing w:line="46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4.1</w:t>
            </w:r>
            <w:r>
              <w:rPr>
                <w:rFonts w:hint="eastAsia" w:cs="Times New Roman"/>
                <w:b/>
                <w:color w:val="auto"/>
                <w:kern w:val="0"/>
                <w:sz w:val="21"/>
                <w:szCs w:val="21"/>
                <w:lang w:val="en-US" w:eastAsia="zh-CN"/>
              </w:rPr>
              <w:t>0</w:t>
            </w:r>
            <w:r>
              <w:rPr>
                <w:rFonts w:hint="default"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本项目噪声影响预测结果</w:t>
            </w:r>
            <w:r>
              <w:rPr>
                <w:rFonts w:hint="default"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单位：dB（A）</w:t>
            </w:r>
          </w:p>
          <w:tbl>
            <w:tblPr>
              <w:tblStyle w:val="27"/>
              <w:tblW w:w="735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9"/>
              <w:gridCol w:w="2453"/>
              <w:gridCol w:w="27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blHeader/>
                <w:jc w:val="center"/>
              </w:trPr>
              <w:tc>
                <w:tcPr>
                  <w:tcW w:w="21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ind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位置</w:t>
                  </w:r>
                </w:p>
              </w:tc>
              <w:tc>
                <w:tcPr>
                  <w:tcW w:w="24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贡献值</w:t>
                  </w:r>
                </w:p>
              </w:tc>
              <w:tc>
                <w:tcPr>
                  <w:tcW w:w="273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预测</w:t>
                  </w:r>
                  <w:r>
                    <w:rPr>
                      <w:rFonts w:hint="default" w:ascii="Times New Roman" w:hAnsi="Times New Roman" w:eastAsia="宋体" w:cs="Times New Roman"/>
                      <w:b/>
                      <w:bCs/>
                      <w:color w:val="auto"/>
                      <w:sz w:val="21"/>
                      <w:szCs w:val="21"/>
                    </w:rPr>
                    <w:t>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1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东南厂界</w:t>
                  </w:r>
                </w:p>
              </w:tc>
              <w:tc>
                <w:tcPr>
                  <w:tcW w:w="24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55.3</w:t>
                  </w:r>
                </w:p>
              </w:tc>
              <w:tc>
                <w:tcPr>
                  <w:tcW w:w="2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55.3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1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西南</w:t>
                  </w:r>
                  <w:r>
                    <w:rPr>
                      <w:rFonts w:hint="default" w:ascii="Times New Roman" w:hAnsi="Times New Roman" w:eastAsia="宋体" w:cs="Times New Roman"/>
                      <w:color w:val="auto"/>
                      <w:szCs w:val="21"/>
                      <w:lang w:val="en-US" w:eastAsia="zh-CN"/>
                    </w:rPr>
                    <w:t>厂界</w:t>
                  </w:r>
                </w:p>
              </w:tc>
              <w:tc>
                <w:tcPr>
                  <w:tcW w:w="24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63.2</w:t>
                  </w:r>
                </w:p>
              </w:tc>
              <w:tc>
                <w:tcPr>
                  <w:tcW w:w="2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1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西北厂界</w:t>
                  </w:r>
                </w:p>
              </w:tc>
              <w:tc>
                <w:tcPr>
                  <w:tcW w:w="24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57.9</w:t>
                  </w:r>
                </w:p>
              </w:tc>
              <w:tc>
                <w:tcPr>
                  <w:tcW w:w="2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1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东北厂界</w:t>
                  </w:r>
                </w:p>
              </w:tc>
              <w:tc>
                <w:tcPr>
                  <w:tcW w:w="24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61.6</w:t>
                  </w:r>
                </w:p>
              </w:tc>
              <w:tc>
                <w:tcPr>
                  <w:tcW w:w="2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169" w:type="dxa"/>
                  <w:vAlign w:val="center"/>
                </w:tcPr>
                <w:p>
                  <w:pPr>
                    <w:pStyle w:val="11"/>
                    <w:keepNext w:val="0"/>
                    <w:keepLines w:val="0"/>
                    <w:pageBreakBefore w:val="0"/>
                    <w:kinsoku/>
                    <w:wordWrap/>
                    <w:overflowPunct/>
                    <w:topLinePunct w:val="0"/>
                    <w:autoSpaceDE/>
                    <w:autoSpaceDN/>
                    <w:bidi w:val="0"/>
                    <w:adjustRightInd w:val="0"/>
                    <w:snapToGrid w:val="0"/>
                    <w:spacing w:before="0" w:after="0" w:line="300" w:lineRule="atLeast"/>
                    <w:ind w:right="0"/>
                    <w:jc w:val="center"/>
                    <w:textAlignment w:val="auto"/>
                    <w:rPr>
                      <w:rFonts w:hint="default" w:ascii="Times New Roman" w:hAnsi="Times New Roman" w:cs="Times New Roman"/>
                      <w:color w:val="auto"/>
                    </w:rPr>
                  </w:pPr>
                  <w:r>
                    <w:rPr>
                      <w:rFonts w:hint="default" w:ascii="Times New Roman" w:hAnsi="Times New Roman" w:cs="Times New Roman"/>
                      <w:color w:val="auto"/>
                      <w:sz w:val="21"/>
                      <w:szCs w:val="21"/>
                      <w:lang w:eastAsia="zh-CN"/>
                    </w:rPr>
                    <w:t>备注</w:t>
                  </w:r>
                </w:p>
              </w:tc>
              <w:tc>
                <w:tcPr>
                  <w:tcW w:w="5188" w:type="dxa"/>
                  <w:gridSpan w:val="2"/>
                  <w:tcBorders>
                    <w:lef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atLeast"/>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cs="Times New Roman"/>
                      <w:color w:val="auto"/>
                      <w:lang w:val="en-US" w:eastAsia="zh-CN"/>
                    </w:rPr>
                    <w:t>昼间噪声≤65dB（A），夜间不生产。</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由预测结果可以看出，在采取了有效的噪声防治措施后，项目运营期厂界噪声满足《工业企业厂界环境噪声排放标准》（GB12348-2008）3类标准要求</w:t>
            </w:r>
            <w:r>
              <w:rPr>
                <w:rFonts w:hint="default" w:ascii="Times New Roman" w:hAnsi="Times New Roman"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拟建项目的建设对周围声环境影响小，环境可行。</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3、噪声监测计划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项目噪声监测计划见表 4.1</w:t>
            </w:r>
            <w:r>
              <w:rPr>
                <w:rFonts w:hint="eastAsia" w:cs="Times New Roman"/>
                <w:color w:val="auto"/>
                <w:sz w:val="21"/>
                <w:szCs w:val="21"/>
                <w:lang w:val="en-US" w:eastAsia="zh-CN" w:bidi="ar"/>
              </w:rPr>
              <w:t>1</w:t>
            </w:r>
            <w:r>
              <w:rPr>
                <w:rFonts w:hint="default" w:ascii="Times New Roman" w:hAnsi="Times New Roman" w:eastAsia="宋体" w:cs="Times New Roman"/>
                <w:color w:val="auto"/>
                <w:sz w:val="21"/>
                <w:szCs w:val="21"/>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项目环境监测计划一览表</w:t>
            </w:r>
          </w:p>
          <w:tbl>
            <w:tblPr>
              <w:tblStyle w:val="27"/>
              <w:tblW w:w="80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303"/>
              <w:gridCol w:w="1262"/>
              <w:gridCol w:w="1861"/>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4"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30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控制污染物</w:t>
                  </w:r>
                </w:p>
              </w:tc>
              <w:tc>
                <w:tcPr>
                  <w:tcW w:w="126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861"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c>
                <w:tcPr>
                  <w:tcW w:w="281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64" w:type="dxa"/>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03" w:type="dxa"/>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等效声级</w:t>
                  </w:r>
                </w:p>
              </w:tc>
              <w:tc>
                <w:tcPr>
                  <w:tcW w:w="1262" w:type="dxa"/>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厂界外1m</w:t>
                  </w:r>
                </w:p>
              </w:tc>
              <w:tc>
                <w:tcPr>
                  <w:tcW w:w="1861" w:type="dxa"/>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kern w:val="0"/>
                      <w:szCs w:val="21"/>
                      <w:highlight w:val="none"/>
                    </w:rPr>
                    <w:t>验收时连续监测两天，每天</w:t>
                  </w:r>
                  <w:r>
                    <w:rPr>
                      <w:rFonts w:hint="default" w:ascii="Times New Roman" w:hAnsi="Times New Roman" w:cs="Times New Roman"/>
                      <w:snapToGrid w:val="0"/>
                      <w:color w:val="auto"/>
                      <w:kern w:val="0"/>
                      <w:szCs w:val="21"/>
                      <w:highlight w:val="none"/>
                      <w:lang w:eastAsia="zh-CN"/>
                    </w:rPr>
                    <w:t>昼间</w:t>
                  </w:r>
                  <w:r>
                    <w:rPr>
                      <w:rFonts w:hint="default" w:ascii="Times New Roman" w:hAnsi="Times New Roman" w:cs="Times New Roman"/>
                      <w:snapToGrid w:val="0"/>
                      <w:color w:val="auto"/>
                      <w:kern w:val="0"/>
                      <w:szCs w:val="21"/>
                      <w:highlight w:val="none"/>
                    </w:rPr>
                    <w:t>监测</w:t>
                  </w:r>
                  <w:r>
                    <w:rPr>
                      <w:rFonts w:hint="default" w:ascii="Times New Roman" w:hAnsi="Times New Roman" w:cs="Times New Roman"/>
                      <w:snapToGrid w:val="0"/>
                      <w:color w:val="auto"/>
                      <w:kern w:val="0"/>
                      <w:szCs w:val="21"/>
                      <w:highlight w:val="none"/>
                      <w:lang w:val="en-US" w:eastAsia="zh-CN"/>
                    </w:rPr>
                    <w:t>1</w:t>
                  </w:r>
                  <w:r>
                    <w:rPr>
                      <w:rFonts w:hint="default" w:ascii="Times New Roman" w:hAnsi="Times New Roman" w:cs="Times New Roman"/>
                      <w:snapToGrid w:val="0"/>
                      <w:color w:val="auto"/>
                      <w:kern w:val="0"/>
                      <w:szCs w:val="21"/>
                      <w:highlight w:val="none"/>
                    </w:rPr>
                    <w:t>次；</w:t>
                  </w:r>
                  <w:r>
                    <w:rPr>
                      <w:rFonts w:hint="default" w:ascii="Times New Roman" w:hAnsi="Times New Roman" w:cs="Times New Roman"/>
                      <w:snapToGrid w:val="0"/>
                      <w:color w:val="auto"/>
                      <w:kern w:val="0"/>
                      <w:szCs w:val="21"/>
                      <w:highlight w:val="none"/>
                      <w:lang w:eastAsia="zh-CN"/>
                    </w:rPr>
                    <w:t>以后</w:t>
                  </w:r>
                  <w:r>
                    <w:rPr>
                      <w:rFonts w:hint="default" w:ascii="Times New Roman" w:hAnsi="Times New Roman" w:eastAsia="宋体" w:cs="Times New Roman"/>
                      <w:color w:val="auto"/>
                      <w:sz w:val="21"/>
                      <w:szCs w:val="21"/>
                    </w:rPr>
                    <w:t>每季度监测一次</w:t>
                  </w:r>
                </w:p>
              </w:tc>
              <w:tc>
                <w:tcPr>
                  <w:tcW w:w="2812" w:type="dxa"/>
                  <w:noWrap w:val="0"/>
                  <w:vAlign w:val="center"/>
                </w:tcPr>
                <w:p>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《工业企业厂界环境噪声排放标准(GB12348-2008)》的</w:t>
                  </w:r>
                  <w:r>
                    <w:rPr>
                      <w:rFonts w:hint="default" w:ascii="Times New Roman" w:hAnsi="Times New Roman" w:cs="Times New Roman"/>
                      <w:snapToGrid w:val="0"/>
                      <w:color w:val="auto"/>
                      <w:kern w:val="0"/>
                      <w:sz w:val="21"/>
                      <w:szCs w:val="21"/>
                      <w:lang w:val="en-US" w:eastAsia="zh-CN"/>
                    </w:rPr>
                    <w:t>3</w:t>
                  </w:r>
                  <w:r>
                    <w:rPr>
                      <w:rFonts w:hint="default" w:ascii="Times New Roman" w:hAnsi="Times New Roman" w:eastAsia="宋体" w:cs="Times New Roman"/>
                      <w:snapToGrid w:val="0"/>
                      <w:color w:val="auto"/>
                      <w:kern w:val="0"/>
                      <w:sz w:val="21"/>
                      <w:szCs w:val="21"/>
                    </w:rPr>
                    <w:t>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4、噪声污染防治措施</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本项目拟采取噪声污染防治措施如下：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①选用满足环保要求的低噪声设备，合理规划生产设备的布局，将高噪声设备布置在</w:t>
            </w:r>
            <w:r>
              <w:rPr>
                <w:rFonts w:hint="default" w:ascii="Times New Roman" w:hAnsi="Times New Roman" w:cs="Times New Roman"/>
                <w:color w:val="auto"/>
                <w:kern w:val="2"/>
                <w:sz w:val="21"/>
                <w:szCs w:val="21"/>
                <w:lang w:val="en-US" w:eastAsia="zh-CN" w:bidi="ar"/>
              </w:rPr>
              <w:t>厂区中央</w:t>
            </w:r>
            <w:r>
              <w:rPr>
                <w:rFonts w:hint="default" w:ascii="Times New Roman" w:hAnsi="Times New Roman" w:eastAsia="宋体" w:cs="Times New Roman"/>
                <w:color w:val="auto"/>
                <w:kern w:val="2"/>
                <w:sz w:val="21"/>
                <w:szCs w:val="21"/>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②合理安排生产计划，合理安排设备工作时间，严禁夜间作业；</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③完善管理制度，加强设备维护保养。</w:t>
            </w:r>
          </w:p>
          <w:p>
            <w:pPr>
              <w:spacing w:line="36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lang w:val="en-US" w:eastAsia="zh-CN" w:bidi="ar"/>
              </w:rPr>
              <w:t>4.2.</w:t>
            </w:r>
            <w:r>
              <w:rPr>
                <w:rFonts w:hint="default" w:ascii="Times New Roman" w:hAnsi="Times New Roman" w:eastAsia="宋体" w:cs="Times New Roman"/>
                <w:b/>
                <w:color w:val="auto"/>
                <w:sz w:val="21"/>
                <w:szCs w:val="21"/>
              </w:rPr>
              <w:t>4固废</w:t>
            </w:r>
          </w:p>
          <w:p>
            <w:pPr>
              <w:spacing w:line="36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项目固废污染源源强核算</w:t>
            </w:r>
          </w:p>
          <w:p>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（1）</w:t>
            </w:r>
            <w:r>
              <w:rPr>
                <w:rFonts w:hint="default" w:ascii="Times New Roman" w:hAnsi="Times New Roman" w:eastAsia="宋体" w:cs="Times New Roman"/>
                <w:b/>
                <w:bCs/>
                <w:color w:val="auto"/>
                <w:sz w:val="21"/>
                <w:szCs w:val="21"/>
              </w:rPr>
              <w:t>生活垃圾</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项目建成后职工人数</w:t>
            </w:r>
            <w:r>
              <w:rPr>
                <w:rFonts w:hint="default" w:ascii="Times New Roman" w:hAnsi="Times New Roman" w:cs="Times New Roman"/>
                <w:bCs/>
                <w:color w:val="auto"/>
                <w:sz w:val="21"/>
                <w:szCs w:val="21"/>
                <w:lang w:val="en-US" w:eastAsia="zh-CN"/>
              </w:rPr>
              <w:t>20</w:t>
            </w:r>
            <w:r>
              <w:rPr>
                <w:rFonts w:hint="default" w:ascii="Times New Roman" w:hAnsi="Times New Roman" w:eastAsia="宋体" w:cs="Times New Roman"/>
                <w:bCs/>
                <w:color w:val="auto"/>
                <w:sz w:val="21"/>
                <w:szCs w:val="21"/>
              </w:rPr>
              <w:t>人，生活垃圾产生量按</w:t>
            </w:r>
            <w:r>
              <w:rPr>
                <w:rFonts w:hint="default" w:ascii="Times New Roman" w:hAnsi="Times New Roman" w:cs="Times New Roman"/>
                <w:bCs/>
                <w:color w:val="auto"/>
                <w:sz w:val="21"/>
                <w:szCs w:val="21"/>
                <w:lang w:val="en-US" w:eastAsia="zh-CN"/>
              </w:rPr>
              <w:t>0.5</w:t>
            </w:r>
            <w:r>
              <w:rPr>
                <w:rFonts w:hint="default" w:ascii="Times New Roman" w:hAnsi="Times New Roman" w:eastAsia="宋体" w:cs="Times New Roman"/>
                <w:bCs/>
                <w:color w:val="auto"/>
                <w:sz w:val="21"/>
                <w:szCs w:val="21"/>
              </w:rPr>
              <w:t>kg/d·人计，每天的生活垃圾产生量为</w:t>
            </w:r>
            <w:r>
              <w:rPr>
                <w:rFonts w:hint="default" w:ascii="Times New Roman" w:hAnsi="Times New Roman" w:cs="Times New Roman"/>
                <w:bCs/>
                <w:color w:val="auto"/>
                <w:sz w:val="21"/>
                <w:szCs w:val="21"/>
                <w:lang w:val="en-US" w:eastAsia="zh-CN"/>
              </w:rPr>
              <w:t>10</w:t>
            </w:r>
            <w:r>
              <w:rPr>
                <w:rFonts w:hint="default" w:ascii="Times New Roman" w:hAnsi="Times New Roman" w:eastAsia="宋体" w:cs="Times New Roman"/>
                <w:bCs/>
                <w:color w:val="auto"/>
                <w:sz w:val="21"/>
                <w:szCs w:val="21"/>
              </w:rPr>
              <w:t>kg/d，年工作日为</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00d，则年产生活垃圾量为</w:t>
            </w:r>
            <w:r>
              <w:rPr>
                <w:rFonts w:hint="default" w:ascii="Times New Roman" w:hAnsi="Times New Roman" w:cs="Times New Roman"/>
                <w:bCs/>
                <w:color w:val="auto"/>
                <w:sz w:val="21"/>
                <w:szCs w:val="21"/>
                <w:lang w:val="en-US" w:eastAsia="zh-CN"/>
              </w:rPr>
              <w:t>3</w:t>
            </w:r>
            <w:r>
              <w:rPr>
                <w:rFonts w:hint="default" w:ascii="Times New Roman" w:hAnsi="Times New Roman" w:eastAsia="宋体" w:cs="Times New Roman"/>
                <w:bCs/>
                <w:color w:val="auto"/>
                <w:sz w:val="21"/>
                <w:szCs w:val="21"/>
              </w:rPr>
              <w:t>t/a。</w:t>
            </w:r>
            <w:r>
              <w:rPr>
                <w:rFonts w:hint="default" w:ascii="Times New Roman" w:hAnsi="Times New Roman" w:eastAsia="宋体" w:cs="Times New Roman"/>
                <w:color w:val="auto"/>
                <w:sz w:val="21"/>
                <w:szCs w:val="21"/>
              </w:rPr>
              <w:t>收集后</w:t>
            </w:r>
            <w:r>
              <w:rPr>
                <w:rFonts w:hint="default" w:ascii="Times New Roman" w:hAnsi="Times New Roman" w:eastAsia="宋体" w:cs="Times New Roman"/>
                <w:color w:val="auto"/>
                <w:kern w:val="0"/>
                <w:sz w:val="21"/>
                <w:szCs w:val="21"/>
              </w:rPr>
              <w:t>由环卫部门统一收集后处理。</w:t>
            </w:r>
          </w:p>
          <w:p>
            <w:pPr>
              <w:spacing w:line="360" w:lineRule="auto"/>
              <w:ind w:firstLine="422" w:firstLineChars="20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（2）</w:t>
            </w:r>
            <w:r>
              <w:rPr>
                <w:rFonts w:hint="default" w:ascii="Times New Roman" w:hAnsi="Times New Roman" w:eastAsia="宋体" w:cs="Times New Roman"/>
                <w:b/>
                <w:bCs/>
                <w:color w:val="auto"/>
                <w:sz w:val="21"/>
                <w:szCs w:val="21"/>
              </w:rPr>
              <w:t>一般固废</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1"/>
                <w:szCs w:val="21"/>
                <w:lang w:eastAsia="zh-CN"/>
              </w:rPr>
              <w:t>不含油金属屑：本项目</w:t>
            </w:r>
            <w:r>
              <w:rPr>
                <w:rFonts w:hint="default" w:ascii="Times New Roman" w:hAnsi="Times New Roman" w:cs="Times New Roman"/>
                <w:color w:val="auto"/>
                <w:lang w:val="en-US" w:eastAsia="zh-CN"/>
              </w:rPr>
              <w:t>钻孔、冲孔</w:t>
            </w:r>
            <w:r>
              <w:rPr>
                <w:rFonts w:hint="default" w:ascii="Times New Roman" w:hAnsi="Times New Roman" w:cs="Times New Roman"/>
                <w:color w:val="auto"/>
                <w:lang w:eastAsia="zh-CN"/>
              </w:rPr>
              <w:t>加工</w:t>
            </w:r>
            <w:r>
              <w:rPr>
                <w:rFonts w:hint="default" w:ascii="Times New Roman" w:hAnsi="Times New Roman" w:eastAsia="宋体" w:cs="Times New Roman"/>
                <w:color w:val="auto"/>
                <w:sz w:val="21"/>
                <w:szCs w:val="21"/>
                <w:lang w:eastAsia="zh-CN"/>
              </w:rPr>
              <w:t>工序会产生不含油金属屑，根据业主提供资料，本项目不含油金属屑</w:t>
            </w:r>
            <w:r>
              <w:rPr>
                <w:rFonts w:hint="default" w:ascii="Times New Roman" w:hAnsi="Times New Roman" w:cs="Times New Roman"/>
                <w:color w:val="auto"/>
                <w:sz w:val="21"/>
                <w:szCs w:val="21"/>
                <w:lang w:val="en-US" w:eastAsia="zh-CN"/>
              </w:rPr>
              <w:t>约占金属原料的</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eastAsia="zh-CN"/>
              </w:rPr>
              <w:t>本项目</w:t>
            </w:r>
            <w:r>
              <w:rPr>
                <w:rFonts w:hint="default" w:ascii="Times New Roman" w:hAnsi="Times New Roman" w:cs="Times New Roman"/>
                <w:color w:val="auto"/>
                <w:sz w:val="21"/>
                <w:szCs w:val="21"/>
                <w:lang w:val="en-US" w:eastAsia="zh-CN"/>
              </w:rPr>
              <w:t>金属</w:t>
            </w:r>
            <w:r>
              <w:rPr>
                <w:rFonts w:hint="default" w:ascii="Times New Roman" w:hAnsi="Times New Roman" w:eastAsia="宋体" w:cs="Times New Roman"/>
                <w:color w:val="auto"/>
                <w:sz w:val="21"/>
                <w:szCs w:val="21"/>
                <w:lang w:eastAsia="zh-CN"/>
              </w:rPr>
              <w:t>原料用量</w:t>
            </w:r>
            <w:r>
              <w:rPr>
                <w:rFonts w:hint="eastAsia" w:ascii="Times New Roman" w:hAnsi="Times New Roman" w:cs="Times New Roman"/>
                <w:color w:val="auto"/>
                <w:sz w:val="21"/>
                <w:szCs w:val="21"/>
                <w:lang w:val="en-US" w:eastAsia="zh-CN"/>
              </w:rPr>
              <w:t>600</w:t>
            </w:r>
            <w:r>
              <w:rPr>
                <w:rFonts w:hint="default" w:ascii="Times New Roman" w:hAnsi="Times New Roman" w:eastAsia="宋体" w:cs="Times New Roman"/>
                <w:color w:val="auto"/>
                <w:sz w:val="21"/>
                <w:szCs w:val="21"/>
                <w:lang w:eastAsia="zh-CN"/>
              </w:rPr>
              <w:t>t/a，</w:t>
            </w:r>
            <w:r>
              <w:rPr>
                <w:rFonts w:hint="default" w:ascii="Times New Roman" w:hAnsi="Times New Roman" w:cs="Times New Roman"/>
                <w:color w:val="auto"/>
                <w:sz w:val="21"/>
                <w:szCs w:val="21"/>
                <w:lang w:val="en-US" w:eastAsia="zh-CN"/>
              </w:rPr>
              <w:t>则</w:t>
            </w:r>
            <w:r>
              <w:rPr>
                <w:rFonts w:hint="default" w:ascii="Times New Roman" w:hAnsi="Times New Roman" w:eastAsia="宋体" w:cs="Times New Roman"/>
                <w:color w:val="auto"/>
                <w:sz w:val="21"/>
                <w:szCs w:val="21"/>
                <w:lang w:eastAsia="zh-CN"/>
              </w:rPr>
              <w:t>不含油金属屑产生量</w:t>
            </w:r>
            <w:r>
              <w:rPr>
                <w:rFonts w:hint="default" w:ascii="Times New Roman" w:hAnsi="Times New Roman" w:cs="Times New Roman"/>
                <w:color w:val="auto"/>
                <w:sz w:val="21"/>
                <w:szCs w:val="21"/>
                <w:lang w:eastAsia="zh-CN"/>
              </w:rPr>
              <w:t>约</w:t>
            </w:r>
            <w:r>
              <w:rPr>
                <w:rFonts w:hint="eastAsia" w:ascii="Times New Roman" w:hAnsi="Times New Roman"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lang w:eastAsia="zh-CN"/>
              </w:rPr>
              <w:t>/a</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不合格产品：</w:t>
            </w:r>
            <w:r>
              <w:rPr>
                <w:rFonts w:hint="default" w:ascii="Times New Roman" w:hAnsi="Times New Roman" w:cs="Times New Roman"/>
                <w:color w:val="auto"/>
                <w:sz w:val="21"/>
                <w:szCs w:val="21"/>
                <w:lang w:val="en-US" w:eastAsia="zh-CN"/>
              </w:rPr>
              <w:t>本项目检验工序会产生</w:t>
            </w:r>
            <w:r>
              <w:rPr>
                <w:rFonts w:hint="default" w:ascii="Times New Roman" w:hAnsi="Times New Roman" w:eastAsia="宋体" w:cs="Times New Roman"/>
                <w:color w:val="auto"/>
                <w:sz w:val="21"/>
                <w:szCs w:val="21"/>
                <w:lang w:eastAsia="zh-CN"/>
              </w:rPr>
              <w:t>不合格产品</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eastAsia="zh-CN"/>
              </w:rPr>
              <w:t>根据业主提供资料，本项目不合格产品产生率约占原料用量</w:t>
            </w: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，本项目</w:t>
            </w:r>
            <w:r>
              <w:rPr>
                <w:rFonts w:hint="default" w:ascii="Times New Roman" w:hAnsi="Times New Roman" w:cs="Times New Roman"/>
                <w:color w:val="auto"/>
                <w:sz w:val="21"/>
                <w:szCs w:val="21"/>
                <w:lang w:val="en-US" w:eastAsia="zh-CN"/>
              </w:rPr>
              <w:t>金属</w:t>
            </w:r>
            <w:r>
              <w:rPr>
                <w:rFonts w:hint="default" w:ascii="Times New Roman" w:hAnsi="Times New Roman" w:eastAsia="宋体" w:cs="Times New Roman"/>
                <w:color w:val="auto"/>
                <w:sz w:val="21"/>
                <w:szCs w:val="21"/>
                <w:lang w:eastAsia="zh-CN"/>
              </w:rPr>
              <w:t>原料用量</w:t>
            </w:r>
            <w:r>
              <w:rPr>
                <w:rFonts w:hint="eastAsia" w:ascii="Times New Roman" w:hAnsi="Times New Roman" w:cs="Times New Roman"/>
                <w:color w:val="auto"/>
                <w:sz w:val="21"/>
                <w:szCs w:val="21"/>
                <w:lang w:val="en-US" w:eastAsia="zh-CN"/>
              </w:rPr>
              <w:t>600</w:t>
            </w:r>
            <w:r>
              <w:rPr>
                <w:rFonts w:hint="default" w:ascii="Times New Roman" w:hAnsi="Times New Roman" w:eastAsia="宋体" w:cs="Times New Roman"/>
                <w:color w:val="auto"/>
                <w:sz w:val="21"/>
                <w:szCs w:val="21"/>
                <w:lang w:eastAsia="zh-CN"/>
              </w:rPr>
              <w:t>t/a，则本项目不合格产品产生量约</w:t>
            </w:r>
            <w:r>
              <w:rPr>
                <w:rFonts w:hint="eastAsia" w:ascii="Times New Roman" w:hAnsi="Times New Roman" w:cs="Times New Roman"/>
                <w:color w:val="auto"/>
                <w:sz w:val="21"/>
                <w:szCs w:val="21"/>
                <w:lang w:val="en-US" w:eastAsia="zh-CN"/>
              </w:rPr>
              <w:t>0.6</w:t>
            </w:r>
            <w:r>
              <w:rPr>
                <w:rFonts w:hint="default" w:ascii="Times New Roman" w:hAnsi="Times New Roman" w:eastAsia="宋体" w:cs="Times New Roman"/>
                <w:color w:val="auto"/>
                <w:sz w:val="21"/>
                <w:szCs w:val="21"/>
                <w:lang w:eastAsia="zh-CN"/>
              </w:rPr>
              <w:t>t/a。</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废钢丸</w:t>
            </w:r>
            <w:r>
              <w:rPr>
                <w:rFonts w:hint="default" w:ascii="Times New Roman" w:hAnsi="Times New Roman" w:eastAsia="宋体" w:cs="Times New Roman"/>
                <w:color w:val="auto"/>
                <w:sz w:val="21"/>
                <w:szCs w:val="21"/>
                <w:lang w:eastAsia="zh-CN"/>
              </w:rPr>
              <w:t>：本项目</w:t>
            </w:r>
            <w:r>
              <w:rPr>
                <w:rFonts w:hint="default" w:ascii="Times New Roman" w:hAnsi="Times New Roman" w:cs="Times New Roman"/>
                <w:color w:val="auto"/>
                <w:szCs w:val="21"/>
                <w:lang w:val="en-US" w:eastAsia="zh-CN"/>
              </w:rPr>
              <w:t>抛丸工序钢丸用量为</w:t>
            </w:r>
            <w:r>
              <w:rPr>
                <w:rFonts w:hint="eastAsia" w:ascii="Times New Roman" w:hAnsi="Times New Roman" w:cs="Times New Roman"/>
                <w:color w:val="auto"/>
                <w:szCs w:val="21"/>
                <w:lang w:val="en-US" w:eastAsia="zh-CN"/>
              </w:rPr>
              <w:t>1.5</w:t>
            </w:r>
            <w:r>
              <w:rPr>
                <w:rFonts w:hint="default" w:ascii="Times New Roman" w:hAnsi="Times New Roman" w:cs="Times New Roman"/>
                <w:color w:val="auto"/>
                <w:szCs w:val="21"/>
                <w:lang w:val="en-US" w:eastAsia="zh-CN"/>
              </w:rPr>
              <w:t>t/年</w:t>
            </w:r>
            <w:r>
              <w:rPr>
                <w:rFonts w:hint="default" w:ascii="Times New Roman" w:hAnsi="Times New Roman" w:eastAsia="宋体" w:cs="Times New Roman"/>
                <w:color w:val="auto"/>
                <w:sz w:val="21"/>
                <w:szCs w:val="21"/>
                <w:lang w:eastAsia="zh-CN"/>
              </w:rPr>
              <w:t>，根据业主提供资料，本项目</w:t>
            </w:r>
            <w:r>
              <w:rPr>
                <w:rFonts w:hint="default" w:ascii="Times New Roman" w:hAnsi="Times New Roman" w:cs="Times New Roman"/>
                <w:color w:val="auto"/>
                <w:sz w:val="21"/>
                <w:szCs w:val="21"/>
                <w:lang w:val="en-US" w:eastAsia="zh-CN"/>
              </w:rPr>
              <w:t>抛丸过程中约</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0%损耗，则废钢丸</w:t>
            </w:r>
            <w:r>
              <w:rPr>
                <w:rFonts w:hint="default" w:ascii="Times New Roman" w:hAnsi="Times New Roman" w:eastAsia="宋体" w:cs="Times New Roman"/>
                <w:color w:val="auto"/>
                <w:sz w:val="21"/>
                <w:szCs w:val="21"/>
                <w:lang w:eastAsia="zh-CN"/>
              </w:rPr>
              <w:t>产生量</w:t>
            </w:r>
            <w:r>
              <w:rPr>
                <w:rFonts w:hint="default" w:ascii="Times New Roman" w:hAnsi="Times New Roman" w:cs="Times New Roman"/>
                <w:color w:val="auto"/>
                <w:sz w:val="21"/>
                <w:szCs w:val="21"/>
                <w:lang w:eastAsia="zh-CN"/>
              </w:rPr>
              <w:t>约</w:t>
            </w:r>
            <w:r>
              <w:rPr>
                <w:rFonts w:hint="eastAsia" w:ascii="Times New Roman" w:hAnsi="Times New Roman" w:cs="Times New Roman"/>
                <w:color w:val="auto"/>
                <w:sz w:val="21"/>
                <w:szCs w:val="21"/>
                <w:lang w:val="en-US" w:eastAsia="zh-CN"/>
              </w:rPr>
              <w:t>0.9</w:t>
            </w: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lang w:eastAsia="zh-CN"/>
              </w:rPr>
              <w:t>/a</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本项目产生的一般固废暂存于一般固废暂存区，交物资回收公司进行处置。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（3）危险废物</w:t>
            </w:r>
          </w:p>
          <w:p>
            <w:pPr>
              <w:spacing w:line="360" w:lineRule="auto"/>
              <w:ind w:firstLine="420" w:firstLineChars="20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含油废金属屑：</w:t>
            </w:r>
            <w:r>
              <w:rPr>
                <w:rFonts w:hint="default" w:ascii="Times New Roman" w:hAnsi="Times New Roman" w:cs="Times New Roman"/>
                <w:color w:val="auto"/>
                <w:sz w:val="21"/>
                <w:szCs w:val="21"/>
                <w:lang w:eastAsia="zh-CN"/>
              </w:rPr>
              <w:t>主要来自于</w:t>
            </w:r>
            <w:r>
              <w:rPr>
                <w:rFonts w:hint="eastAsia" w:ascii="Times New Roman" w:hAnsi="Times New Roman" w:cs="Times New Roman"/>
                <w:color w:val="auto"/>
                <w:sz w:val="21"/>
                <w:szCs w:val="21"/>
                <w:lang w:val="en-US" w:eastAsia="zh-CN"/>
              </w:rPr>
              <w:t>车床、滚齿加工</w:t>
            </w:r>
            <w:r>
              <w:rPr>
                <w:rFonts w:hint="default" w:ascii="Times New Roman" w:hAnsi="Times New Roman" w:cs="Times New Roman"/>
                <w:color w:val="auto"/>
                <w:sz w:val="21"/>
                <w:szCs w:val="21"/>
                <w:lang w:val="en-US" w:eastAsia="zh-CN"/>
              </w:rPr>
              <w:t>等</w:t>
            </w:r>
            <w:r>
              <w:rPr>
                <w:rFonts w:hint="default" w:ascii="Times New Roman" w:hAnsi="Times New Roman" w:cs="Times New Roman"/>
                <w:color w:val="auto"/>
                <w:sz w:val="21"/>
                <w:szCs w:val="21"/>
                <w:lang w:eastAsia="zh-CN"/>
              </w:rPr>
              <w:t>机加工序，根据业主提供的资料，</w:t>
            </w: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含油废金属屑</w:t>
            </w:r>
            <w:r>
              <w:rPr>
                <w:rFonts w:hint="default" w:ascii="Times New Roman" w:hAnsi="Times New Roman" w:cs="Times New Roman"/>
                <w:color w:val="auto"/>
                <w:sz w:val="21"/>
                <w:szCs w:val="21"/>
              </w:rPr>
              <w:t>产生</w:t>
            </w:r>
            <w:r>
              <w:rPr>
                <w:rFonts w:hint="default" w:ascii="Times New Roman" w:hAnsi="Times New Roman" w:cs="Times New Roman"/>
                <w:color w:val="auto"/>
                <w:sz w:val="21"/>
                <w:szCs w:val="21"/>
                <w:lang w:eastAsia="zh-CN"/>
              </w:rPr>
              <w:t>量</w:t>
            </w:r>
            <w:r>
              <w:rPr>
                <w:rFonts w:hint="default" w:ascii="Times New Roman" w:hAnsi="Times New Roman" w:cs="Times New Roman"/>
                <w:color w:val="auto"/>
                <w:sz w:val="21"/>
                <w:szCs w:val="21"/>
              </w:rPr>
              <w:t>率约</w:t>
            </w:r>
            <w:r>
              <w:rPr>
                <w:rFonts w:hint="default" w:ascii="Times New Roman" w:hAnsi="Times New Roman" w:cs="Times New Roman"/>
                <w:color w:val="auto"/>
                <w:sz w:val="21"/>
                <w:szCs w:val="21"/>
                <w:lang w:eastAsia="zh-CN"/>
              </w:rPr>
              <w:t>占</w:t>
            </w:r>
            <w:r>
              <w:rPr>
                <w:rFonts w:hint="eastAsia" w:ascii="Times New Roman" w:hAnsi="Times New Roman" w:cs="Times New Roman"/>
                <w:color w:val="auto"/>
                <w:sz w:val="21"/>
                <w:szCs w:val="21"/>
                <w:lang w:val="en-US" w:eastAsia="zh-CN"/>
              </w:rPr>
              <w:t>金属</w:t>
            </w:r>
            <w:r>
              <w:rPr>
                <w:rFonts w:hint="default" w:ascii="Times New Roman" w:hAnsi="Times New Roman" w:cs="Times New Roman"/>
                <w:color w:val="auto"/>
                <w:sz w:val="21"/>
                <w:szCs w:val="21"/>
                <w:lang w:eastAsia="zh-CN"/>
              </w:rPr>
              <w:t>原料用量</w:t>
            </w: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lang w:eastAsia="zh-CN"/>
              </w:rPr>
              <w:t>本项目</w:t>
            </w:r>
            <w:r>
              <w:rPr>
                <w:rFonts w:hint="eastAsia" w:ascii="Times New Roman" w:hAnsi="Times New Roman" w:cs="Times New Roman"/>
                <w:color w:val="auto"/>
                <w:sz w:val="21"/>
                <w:szCs w:val="21"/>
                <w:lang w:val="en-US" w:eastAsia="zh-CN"/>
              </w:rPr>
              <w:t>金属</w:t>
            </w:r>
            <w:r>
              <w:rPr>
                <w:rFonts w:hint="default" w:ascii="Times New Roman" w:hAnsi="Times New Roman" w:eastAsia="宋体" w:cs="Times New Roman"/>
                <w:color w:val="auto"/>
                <w:sz w:val="21"/>
                <w:szCs w:val="21"/>
                <w:lang w:eastAsia="zh-CN"/>
              </w:rPr>
              <w:t>原料用量</w:t>
            </w:r>
            <w:r>
              <w:rPr>
                <w:rFonts w:hint="eastAsia" w:ascii="Times New Roman" w:hAnsi="Times New Roman" w:eastAsia="宋体" w:cs="Times New Roman"/>
                <w:b w:val="0"/>
                <w:bCs/>
                <w:color w:val="auto"/>
                <w:sz w:val="21"/>
                <w:szCs w:val="21"/>
                <w:vertAlign w:val="baseline"/>
                <w:lang w:val="en-US" w:eastAsia="zh-CN"/>
              </w:rPr>
              <w:t>600</w:t>
            </w:r>
            <w:r>
              <w:rPr>
                <w:rFonts w:hint="default" w:ascii="Times New Roman" w:hAnsi="Times New Roman" w:eastAsia="宋体" w:cs="Times New Roman"/>
                <w:color w:val="auto"/>
                <w:sz w:val="21"/>
                <w:szCs w:val="21"/>
                <w:lang w:eastAsia="zh-CN"/>
              </w:rPr>
              <w:t>t/a，</w:t>
            </w:r>
            <w:r>
              <w:rPr>
                <w:rFonts w:hint="default" w:ascii="Times New Roman" w:hAnsi="Times New Roman" w:cs="Times New Roman"/>
                <w:color w:val="auto"/>
                <w:sz w:val="21"/>
                <w:szCs w:val="21"/>
              </w:rPr>
              <w:t>则</w:t>
            </w:r>
            <w:r>
              <w:rPr>
                <w:rFonts w:hint="default" w:ascii="Times New Roman" w:hAnsi="Times New Roman" w:cs="Times New Roman"/>
                <w:color w:val="auto"/>
                <w:sz w:val="21"/>
                <w:szCs w:val="21"/>
                <w:lang w:val="en-US" w:eastAsia="zh-CN"/>
              </w:rPr>
              <w:t>含油废金属屑</w:t>
            </w:r>
            <w:r>
              <w:rPr>
                <w:rFonts w:hint="default" w:ascii="Times New Roman" w:hAnsi="Times New Roman" w:cs="Times New Roman"/>
                <w:color w:val="auto"/>
                <w:sz w:val="21"/>
                <w:szCs w:val="21"/>
                <w:lang w:eastAsia="zh-CN"/>
              </w:rPr>
              <w:t>年产量约</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lang w:eastAsia="zh-CN"/>
              </w:rPr>
              <w:t>根据《国家危险废物名录》（2021年），金属制品机械加工行业珩磨、研磨、打磨过程，以及使用切削油或切削液进行机械加工过程中产生的属于危险废物的含油金属屑</w:t>
            </w:r>
            <w:r>
              <w:rPr>
                <w:rFonts w:hint="default" w:ascii="Times New Roman" w:hAnsi="Times New Roman" w:cs="Times New Roman"/>
                <w:color w:val="auto"/>
                <w:sz w:val="21"/>
                <w:szCs w:val="21"/>
                <w:lang w:val="en-US" w:eastAsia="zh-CN"/>
              </w:rPr>
              <w:t>，可</w:t>
            </w:r>
            <w:r>
              <w:rPr>
                <w:rFonts w:hint="default" w:ascii="Times New Roman" w:hAnsi="Times New Roman" w:cs="Times New Roman"/>
                <w:color w:val="auto"/>
                <w:sz w:val="21"/>
                <w:szCs w:val="21"/>
                <w:lang w:eastAsia="zh-CN"/>
              </w:rPr>
              <w:t>经压榨、压滤、过滤除油达到静置无滴漏后打包压块用于金属冶炼，利用过程不按危险废物管理。</w:t>
            </w:r>
            <w:r>
              <w:rPr>
                <w:rFonts w:hint="default" w:ascii="Times New Roman" w:hAnsi="Times New Roman" w:cs="Times New Roman"/>
                <w:color w:val="auto"/>
                <w:sz w:val="21"/>
                <w:szCs w:val="21"/>
                <w:lang w:val="en-US" w:eastAsia="zh-CN"/>
              </w:rPr>
              <w:t>本项目含油废金属屑按危险废物进行管理，产生的含油废金属屑经滤网过滤除油达到静置无滴漏要求后打包压块暂存于危废暂存间，外交金属冶炼单位用于金属冶炼</w:t>
            </w:r>
            <w:r>
              <w:rPr>
                <w:rFonts w:hint="default" w:ascii="Times New Roman" w:hAnsi="Times New Roman" w:cs="Times New Roman"/>
                <w:color w:val="auto"/>
                <w:sz w:val="21"/>
                <w:szCs w:val="21"/>
                <w:lang w:eastAsia="zh-CN"/>
              </w:rPr>
              <w:t>。</w:t>
            </w:r>
          </w:p>
          <w:p>
            <w:pPr>
              <w:spacing w:line="360" w:lineRule="auto"/>
              <w:ind w:firstLine="420" w:firstLineChars="20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废切削液</w:t>
            </w:r>
            <w:r>
              <w:rPr>
                <w:rFonts w:hint="default" w:ascii="Times New Roman" w:hAnsi="Times New Roman" w:cs="Times New Roman"/>
                <w:color w:val="auto"/>
                <w:sz w:val="21"/>
                <w:szCs w:val="21"/>
                <w:lang w:eastAsia="zh-CN"/>
              </w:rPr>
              <w:t>：本项目使用切削</w:t>
            </w:r>
            <w:r>
              <w:rPr>
                <w:rFonts w:hint="default" w:ascii="Times New Roman" w:hAnsi="Times New Roman" w:cs="Times New Roman"/>
                <w:color w:val="auto"/>
                <w:sz w:val="21"/>
                <w:szCs w:val="21"/>
                <w:lang w:val="en-US" w:eastAsia="zh-CN"/>
              </w:rPr>
              <w:t>液</w:t>
            </w:r>
            <w:r>
              <w:rPr>
                <w:rFonts w:hint="default" w:ascii="Times New Roman" w:hAnsi="Times New Roman" w:cs="Times New Roman"/>
                <w:color w:val="auto"/>
                <w:sz w:val="21"/>
                <w:szCs w:val="21"/>
                <w:lang w:eastAsia="zh-CN"/>
              </w:rPr>
              <w:t>的设备</w:t>
            </w:r>
            <w:r>
              <w:rPr>
                <w:rFonts w:hint="default" w:ascii="Times New Roman" w:hAnsi="Times New Roman" w:cs="Times New Roman"/>
                <w:color w:val="auto"/>
                <w:sz w:val="21"/>
                <w:szCs w:val="21"/>
                <w:lang w:val="en-US" w:eastAsia="zh-CN"/>
              </w:rPr>
              <w:t>主要是</w:t>
            </w:r>
            <w:r>
              <w:rPr>
                <w:rFonts w:hint="eastAsia" w:ascii="Times New Roman" w:hAnsi="Times New Roman" w:cs="Times New Roman"/>
                <w:color w:val="auto"/>
                <w:sz w:val="21"/>
                <w:szCs w:val="21"/>
                <w:lang w:val="en-US" w:eastAsia="zh-CN"/>
              </w:rPr>
              <w:t>车床、</w:t>
            </w:r>
            <w:r>
              <w:rPr>
                <w:rFonts w:hint="default" w:ascii="Times New Roman" w:hAnsi="Times New Roman" w:cs="Times New Roman"/>
                <w:color w:val="auto"/>
                <w:sz w:val="21"/>
                <w:szCs w:val="21"/>
                <w:lang w:eastAsia="zh-CN"/>
              </w:rPr>
              <w:t>CNC</w:t>
            </w:r>
            <w:r>
              <w:rPr>
                <w:rFonts w:hint="default" w:ascii="Times New Roman" w:hAnsi="Times New Roman" w:cs="Times New Roman"/>
                <w:color w:val="auto"/>
                <w:sz w:val="21"/>
                <w:szCs w:val="21"/>
                <w:lang w:val="en-US" w:eastAsia="zh-CN"/>
              </w:rPr>
              <w:t>和</w:t>
            </w:r>
            <w:r>
              <w:rPr>
                <w:rFonts w:hint="default" w:ascii="Times New Roman" w:hAnsi="Times New Roman" w:cs="Times New Roman"/>
                <w:color w:val="auto"/>
                <w:szCs w:val="21"/>
              </w:rPr>
              <w:t>滚齿机</w:t>
            </w:r>
            <w:r>
              <w:rPr>
                <w:rFonts w:hint="default" w:ascii="Times New Roman" w:hAnsi="Times New Roman" w:cs="Times New Roman"/>
                <w:color w:val="auto"/>
                <w:sz w:val="21"/>
                <w:szCs w:val="21"/>
                <w:lang w:val="en-US" w:eastAsia="zh-CN"/>
              </w:rPr>
              <w:t>，根据业主提供资料，废切削液每年更换一次，</w:t>
            </w:r>
            <w:r>
              <w:rPr>
                <w:rFonts w:hint="eastAsia" w:ascii="Times New Roman" w:hAnsi="Times New Roman" w:cs="Times New Roman"/>
                <w:color w:val="auto"/>
                <w:sz w:val="21"/>
                <w:szCs w:val="21"/>
                <w:lang w:val="en-US" w:eastAsia="zh-CN"/>
              </w:rPr>
              <w:t>更换量约为</w:t>
            </w:r>
            <w:r>
              <w:rPr>
                <w:rFonts w:hint="default" w:ascii="Times New Roman" w:hAnsi="Times New Roman" w:cs="Times New Roman"/>
                <w:color w:val="auto"/>
                <w:sz w:val="21"/>
                <w:szCs w:val="21"/>
                <w:lang w:val="en-US" w:eastAsia="zh-CN"/>
              </w:rPr>
              <w:t>切削液</w:t>
            </w:r>
            <w:r>
              <w:rPr>
                <w:rFonts w:hint="eastAsia" w:cs="Times New Roman"/>
                <w:color w:val="auto"/>
                <w:sz w:val="21"/>
                <w:szCs w:val="21"/>
                <w:lang w:val="en-US" w:eastAsia="zh-CN"/>
              </w:rPr>
              <w:t>配置后</w:t>
            </w:r>
            <w:r>
              <w:rPr>
                <w:rFonts w:hint="eastAsia" w:ascii="Times New Roman" w:hAnsi="Times New Roman" w:cs="Times New Roman"/>
                <w:color w:val="auto"/>
                <w:sz w:val="21"/>
                <w:szCs w:val="21"/>
                <w:lang w:val="en-US" w:eastAsia="zh-CN"/>
              </w:rPr>
              <w:t>用量的20%，</w:t>
            </w:r>
            <w:r>
              <w:rPr>
                <w:rFonts w:hint="default" w:ascii="Times New Roman" w:hAnsi="Times New Roman" w:cs="Times New Roman"/>
                <w:color w:val="auto"/>
                <w:sz w:val="21"/>
                <w:szCs w:val="21"/>
                <w:lang w:val="en-US" w:eastAsia="zh-CN"/>
              </w:rPr>
              <w:t>则项目产生的废切削液约为1.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lang w:eastAsia="zh-CN"/>
              </w:rPr>
              <w:t>。根据《国家危险废物名录》</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21年</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废切削液</w:t>
            </w:r>
            <w:r>
              <w:rPr>
                <w:rFonts w:hint="default" w:ascii="Times New Roman" w:hAnsi="Times New Roman" w:cs="Times New Roman"/>
                <w:color w:val="auto"/>
                <w:sz w:val="21"/>
                <w:szCs w:val="21"/>
                <w:lang w:eastAsia="zh-CN"/>
              </w:rPr>
              <w:t>属于HW</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eastAsia="zh-CN"/>
              </w:rPr>
              <w:t>9油/水、烃/水混合物或乳化液，在危险废物暂存间暂存，定期由资质单位收运处置。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废</w:t>
            </w:r>
            <w:r>
              <w:rPr>
                <w:rFonts w:hint="default" w:ascii="Times New Roman" w:hAnsi="Times New Roman" w:cs="Times New Roman"/>
                <w:color w:val="auto"/>
                <w:sz w:val="21"/>
                <w:szCs w:val="21"/>
                <w:lang w:val="en-US" w:eastAsia="zh-CN"/>
              </w:rPr>
              <w:t>液压</w:t>
            </w:r>
            <w:r>
              <w:rPr>
                <w:rFonts w:hint="default" w:ascii="Times New Roman" w:hAnsi="Times New Roman" w:cs="Times New Roman"/>
                <w:color w:val="auto"/>
                <w:sz w:val="21"/>
                <w:szCs w:val="21"/>
              </w:rPr>
              <w:t>油：本项目</w:t>
            </w:r>
            <w:r>
              <w:rPr>
                <w:rFonts w:hint="default" w:ascii="Times New Roman" w:hAnsi="Times New Roman" w:cs="Times New Roman"/>
                <w:color w:val="auto"/>
                <w:sz w:val="21"/>
                <w:szCs w:val="21"/>
                <w:lang w:val="en-US" w:eastAsia="zh-CN"/>
              </w:rPr>
              <w:t>液压油主要用在</w:t>
            </w:r>
            <w:r>
              <w:rPr>
                <w:rFonts w:hint="default" w:ascii="Times New Roman" w:hAnsi="Times New Roman" w:eastAsia="宋体" w:cs="Times New Roman"/>
                <w:i w:val="0"/>
                <w:iCs w:val="0"/>
                <w:color w:val="auto"/>
                <w:kern w:val="0"/>
                <w:sz w:val="21"/>
                <w:szCs w:val="21"/>
                <w:u w:val="none"/>
                <w:lang w:val="en-US" w:eastAsia="zh-CN" w:bidi="ar"/>
              </w:rPr>
              <w:t>冲床</w:t>
            </w:r>
            <w:r>
              <w:rPr>
                <w:rFonts w:hint="eastAsia" w:ascii="Times New Roman" w:hAnsi="Times New Roman" w:eastAsia="宋体" w:cs="Times New Roman"/>
                <w:i w:val="0"/>
                <w:iCs w:val="0"/>
                <w:color w:val="auto"/>
                <w:kern w:val="0"/>
                <w:sz w:val="21"/>
                <w:szCs w:val="21"/>
                <w:u w:val="none"/>
                <w:lang w:val="en-US" w:eastAsia="zh-CN" w:bidi="ar"/>
              </w:rPr>
              <w:t>、液压机</w:t>
            </w:r>
            <w:r>
              <w:rPr>
                <w:rFonts w:hint="default" w:ascii="Times New Roman" w:hAnsi="Times New Roman" w:cs="Times New Roman"/>
                <w:color w:val="auto"/>
                <w:sz w:val="21"/>
                <w:szCs w:val="21"/>
                <w:lang w:val="en-US" w:eastAsia="zh-CN"/>
              </w:rPr>
              <w:t>上，液压油每年更换一次，则废液压油产生量为</w:t>
            </w:r>
            <w:r>
              <w:rPr>
                <w:rFonts w:hint="eastAsia" w:ascii="Times New Roman" w:hAnsi="Times New Roman" w:cs="Times New Roman"/>
                <w:color w:val="auto"/>
                <w:sz w:val="21"/>
                <w:szCs w:val="21"/>
                <w:lang w:val="en-US" w:eastAsia="zh-CN"/>
              </w:rPr>
              <w:t>0.34</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rPr>
              <w:t>根据《国家危险废物名录》（20</w:t>
            </w:r>
            <w:r>
              <w:rPr>
                <w:rFonts w:hint="default" w:ascii="Times New Roman" w:hAnsi="Times New Roman" w:cs="Times New Roman"/>
                <w:color w:val="auto"/>
                <w:sz w:val="21"/>
                <w:szCs w:val="21"/>
                <w:lang w:val="en-US" w:eastAsia="zh-CN"/>
              </w:rPr>
              <w:t>21年</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废液压油</w:t>
            </w:r>
            <w:r>
              <w:rPr>
                <w:rFonts w:hint="default" w:ascii="Times New Roman" w:hAnsi="Times New Roman" w:cs="Times New Roman"/>
                <w:color w:val="auto"/>
                <w:sz w:val="21"/>
                <w:szCs w:val="21"/>
              </w:rPr>
              <w:t>属于</w:t>
            </w:r>
            <w:r>
              <w:rPr>
                <w:rFonts w:hint="default" w:ascii="Times New Roman" w:hAnsi="Times New Roman" w:cs="Times New Roman"/>
                <w:color w:val="auto"/>
                <w:sz w:val="21"/>
                <w:szCs w:val="21"/>
                <w:lang w:eastAsia="zh-CN"/>
              </w:rPr>
              <w:t>HW08废矿物油与含矿物油废物</w:t>
            </w:r>
            <w:r>
              <w:rPr>
                <w:rFonts w:hint="default" w:ascii="Times New Roman" w:hAnsi="Times New Roman" w:cs="Times New Roman"/>
                <w:color w:val="auto"/>
                <w:sz w:val="21"/>
                <w:szCs w:val="21"/>
              </w:rPr>
              <w:t>，</w:t>
            </w:r>
            <w:r>
              <w:rPr>
                <w:rFonts w:hint="default" w:ascii="Times New Roman" w:hAnsi="Times New Roman" w:cs="Times New Roman"/>
                <w:color w:val="auto"/>
                <w:kern w:val="0"/>
                <w:sz w:val="21"/>
                <w:szCs w:val="21"/>
              </w:rPr>
              <w:t>在危险废物暂存间暂存，定期由资质单位收运处置</w:t>
            </w:r>
            <w:r>
              <w:rPr>
                <w:rFonts w:hint="default" w:ascii="Times New Roman" w:hAnsi="Times New Roman" w:cs="Times New Roman"/>
                <w:color w:val="auto"/>
                <w:spacing w:val="8"/>
                <w:kern w:val="24"/>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废机油：本项目</w:t>
            </w:r>
            <w:r>
              <w:rPr>
                <w:rFonts w:hint="default" w:ascii="Times New Roman" w:hAnsi="Times New Roman" w:cs="Times New Roman"/>
                <w:color w:val="auto"/>
                <w:sz w:val="21"/>
                <w:szCs w:val="21"/>
                <w:lang w:val="en-US" w:eastAsia="zh-CN"/>
              </w:rPr>
              <w:t>机油主要用在生产设备、空压机运行过程中的润滑。</w:t>
            </w:r>
            <w:r>
              <w:rPr>
                <w:rFonts w:hint="default" w:ascii="Times New Roman" w:hAnsi="Times New Roman" w:cs="Times New Roman"/>
                <w:color w:val="auto"/>
                <w:sz w:val="21"/>
                <w:szCs w:val="21"/>
                <w:lang w:eastAsia="zh-CN"/>
              </w:rPr>
              <w:t>机油</w:t>
            </w:r>
            <w:r>
              <w:rPr>
                <w:rFonts w:hint="default" w:ascii="Times New Roman" w:hAnsi="Times New Roman" w:cs="Times New Roman"/>
                <w:color w:val="auto"/>
                <w:sz w:val="21"/>
                <w:szCs w:val="21"/>
                <w:lang w:val="en-US" w:eastAsia="zh-CN"/>
              </w:rPr>
              <w:t>每年更换一次，废机油产生量为0.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t/a，</w:t>
            </w:r>
            <w:r>
              <w:rPr>
                <w:rFonts w:hint="default" w:ascii="Times New Roman" w:hAnsi="Times New Roman" w:cs="Times New Roman"/>
                <w:color w:val="auto"/>
                <w:sz w:val="21"/>
                <w:szCs w:val="21"/>
                <w:lang w:eastAsia="zh-CN"/>
              </w:rPr>
              <w:t>根据《国家危险废物名录》</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21年</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废机油</w:t>
            </w:r>
            <w:r>
              <w:rPr>
                <w:rFonts w:hint="default" w:ascii="Times New Roman" w:hAnsi="Times New Roman" w:cs="Times New Roman"/>
                <w:color w:val="auto"/>
                <w:sz w:val="21"/>
                <w:szCs w:val="21"/>
                <w:lang w:eastAsia="zh-CN"/>
              </w:rPr>
              <w:t>属于HW08废矿物油，在危险废物暂存间暂存，定期由资质单位收运处置。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废油桶：本项目</w:t>
            </w:r>
            <w:r>
              <w:rPr>
                <w:rFonts w:hint="default" w:ascii="Times New Roman" w:hAnsi="Times New Roman" w:cs="Times New Roman"/>
                <w:color w:val="auto"/>
                <w:sz w:val="21"/>
                <w:szCs w:val="21"/>
                <w:lang w:val="en-US" w:eastAsia="zh-CN"/>
              </w:rPr>
              <w:t>切削液、液压油、机油</w:t>
            </w:r>
            <w:r>
              <w:rPr>
                <w:rFonts w:hint="eastAsia" w:ascii="Times New Roman" w:hAnsi="Times New Roman" w:cs="Times New Roman"/>
                <w:bCs/>
                <w:color w:val="auto"/>
                <w:szCs w:val="21"/>
                <w:lang w:val="en-US" w:eastAsia="zh-CN"/>
              </w:rPr>
              <w:t>使用过程中会产生</w:t>
            </w:r>
            <w:r>
              <w:rPr>
                <w:rFonts w:hint="default" w:ascii="Times New Roman" w:hAnsi="Times New Roman" w:cs="Times New Roman"/>
                <w:color w:val="auto"/>
                <w:sz w:val="21"/>
                <w:szCs w:val="21"/>
                <w:lang w:eastAsia="zh-CN"/>
              </w:rPr>
              <w:t>废油桶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废油桶产生量</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lang w:eastAsia="zh-CN"/>
              </w:rPr>
              <w:t>t/a，根据《国家危险废物名录》</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21年</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，废油桶属于HW49其他废物，在危险废物暂存间暂存，定期由资质单位收运处置。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粘油废棉纱、手套：本项目粘油废棉纱、手套产生量</w:t>
            </w:r>
            <w:r>
              <w:rPr>
                <w:rFonts w:hint="default" w:ascii="Times New Roman" w:hAnsi="Times New Roman" w:cs="Times New Roman"/>
                <w:color w:val="auto"/>
                <w:sz w:val="21"/>
                <w:szCs w:val="21"/>
                <w:lang w:val="en-US" w:eastAsia="zh-CN"/>
              </w:rPr>
              <w:t>为0.02</w:t>
            </w:r>
            <w:r>
              <w:rPr>
                <w:rFonts w:hint="default" w:ascii="Times New Roman" w:hAnsi="Times New Roman" w:cs="Times New Roman"/>
                <w:color w:val="auto"/>
                <w:sz w:val="21"/>
                <w:szCs w:val="21"/>
                <w:lang w:eastAsia="zh-CN"/>
              </w:rPr>
              <w:t>t/a，根据《国家危险废物管理名录》（20</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eastAsia="zh-CN"/>
              </w:rPr>
              <w:t>版），废棉纱手套属于“HW49其他废物”中的“900-041-49含有或沾染毒性、感染性危险废物的废弃包装物、容器、过滤吸附介质”，在危险废物暂存间暂存，定期由资质单位收运处置。</w:t>
            </w:r>
          </w:p>
          <w:p>
            <w:pPr>
              <w:keepNext w:val="0"/>
              <w:keepLines w:val="0"/>
              <w:pageBreakBefore w:val="0"/>
              <w:widowControl w:val="0"/>
              <w:kinsoku/>
              <w:wordWrap/>
              <w:overflowPunct/>
              <w:topLinePunct w:val="0"/>
              <w:autoSpaceDE/>
              <w:autoSpaceDN/>
              <w:bidi w:val="0"/>
              <w:adjustRightInd w:val="0"/>
              <w:snapToGrid w:val="0"/>
              <w:spacing w:line="400" w:lineRule="atLeast"/>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12</w:t>
            </w:r>
            <w:r>
              <w:rPr>
                <w:rFonts w:hint="default" w:ascii="Times New Roman" w:hAnsi="Times New Roman" w:eastAsia="宋体" w:cs="Times New Roman"/>
                <w:b/>
                <w:color w:val="auto"/>
                <w:sz w:val="21"/>
                <w:szCs w:val="21"/>
              </w:rPr>
              <w:t xml:space="preserve">  危险废物汇总表</w:t>
            </w:r>
          </w:p>
          <w:tbl>
            <w:tblPr>
              <w:tblStyle w:val="27"/>
              <w:tblW w:w="8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
              <w:gridCol w:w="775"/>
              <w:gridCol w:w="775"/>
              <w:gridCol w:w="725"/>
              <w:gridCol w:w="710"/>
              <w:gridCol w:w="654"/>
              <w:gridCol w:w="479"/>
              <w:gridCol w:w="646"/>
              <w:gridCol w:w="600"/>
              <w:gridCol w:w="548"/>
              <w:gridCol w:w="50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序号</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危险废物名称</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危险废物类别</w:t>
                  </w:r>
                </w:p>
              </w:tc>
              <w:tc>
                <w:tcPr>
                  <w:tcW w:w="72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b/>
                      <w:color w:val="auto"/>
                      <w:kern w:val="0"/>
                      <w:sz w:val="18"/>
                      <w:szCs w:val="18"/>
                      <w:lang w:eastAsia="zh-CN"/>
                    </w:rPr>
                  </w:pPr>
                  <w:r>
                    <w:rPr>
                      <w:rFonts w:hint="default" w:ascii="Times New Roman" w:hAnsi="Times New Roman" w:cs="Times New Roman"/>
                      <w:b/>
                      <w:color w:val="auto"/>
                      <w:kern w:val="0"/>
                      <w:sz w:val="18"/>
                      <w:szCs w:val="18"/>
                    </w:rPr>
                    <w:t>危险废物代</w:t>
                  </w:r>
                  <w:r>
                    <w:rPr>
                      <w:rFonts w:hint="default" w:ascii="Times New Roman" w:hAnsi="Times New Roman" w:cs="Times New Roman"/>
                      <w:b/>
                      <w:color w:val="auto"/>
                      <w:kern w:val="0"/>
                      <w:sz w:val="18"/>
                      <w:szCs w:val="18"/>
                      <w:lang w:eastAsia="zh-CN"/>
                    </w:rPr>
                    <w:t>码</w:t>
                  </w:r>
                </w:p>
              </w:tc>
              <w:tc>
                <w:tcPr>
                  <w:tcW w:w="7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产生量</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（t/a）</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产生工序及装置</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形态</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主要成分</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有害</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成分</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产废周期</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危险</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特性</w:t>
                  </w:r>
                </w:p>
              </w:tc>
              <w:tc>
                <w:tcPr>
                  <w:tcW w:w="131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b/>
                      <w:color w:val="auto"/>
                      <w:kern w:val="0"/>
                      <w:sz w:val="18"/>
                      <w:szCs w:val="18"/>
                    </w:rPr>
                  </w:pPr>
                  <w:r>
                    <w:rPr>
                      <w:rFonts w:hint="default" w:ascii="Times New Roman" w:hAnsi="Times New Roman" w:cs="Times New Roman"/>
                      <w:b/>
                      <w:color w:val="auto"/>
                      <w:kern w:val="0"/>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1</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废机油</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HW08</w:t>
                  </w:r>
                </w:p>
              </w:tc>
              <w:tc>
                <w:tcPr>
                  <w:tcW w:w="72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900-217-08</w:t>
                  </w:r>
                </w:p>
              </w:tc>
              <w:tc>
                <w:tcPr>
                  <w:tcW w:w="7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
                    </w:rPr>
                    <w:t>0.</w:t>
                  </w:r>
                  <w:r>
                    <w:rPr>
                      <w:rFonts w:hint="eastAsia" w:ascii="Times New Roman" w:hAnsi="Times New Roman" w:cs="Times New Roman"/>
                      <w:color w:val="auto"/>
                      <w:kern w:val="0"/>
                      <w:sz w:val="18"/>
                      <w:szCs w:val="18"/>
                      <w:lang w:val="en-US" w:eastAsia="zh-CN" w:bidi="ar"/>
                    </w:rPr>
                    <w:t>2</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机械</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设备</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液体</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矿物油</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矿物油</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1年</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T，I</w:t>
                  </w:r>
                </w:p>
              </w:tc>
              <w:tc>
                <w:tcPr>
                  <w:tcW w:w="1318" w:type="dxa"/>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收集后盛装于包装容器内暂存于危废暂存间，交由危废处置资质单位处置</w:t>
                  </w:r>
                  <w:r>
                    <w:rPr>
                      <w:rFonts w:hint="default" w:ascii="Times New Roman" w:hAnsi="Times New Roman" w:cs="Times New Roman"/>
                      <w:color w:val="auto"/>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2</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废油桶</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HW49</w:t>
                  </w:r>
                </w:p>
              </w:tc>
              <w:tc>
                <w:tcPr>
                  <w:tcW w:w="72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900-041-49</w:t>
                  </w:r>
                </w:p>
              </w:tc>
              <w:tc>
                <w:tcPr>
                  <w:tcW w:w="7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0.2</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油品</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存储</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固态</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金属</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矿物油</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1个月</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T</w:t>
                  </w:r>
                </w:p>
              </w:tc>
              <w:tc>
                <w:tcPr>
                  <w:tcW w:w="1318" w:type="dxa"/>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3</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废切</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削液</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HW0</w:t>
                  </w:r>
                  <w:r>
                    <w:rPr>
                      <w:rFonts w:hint="default" w:ascii="Times New Roman" w:hAnsi="Times New Roman" w:cs="Times New Roman"/>
                      <w:color w:val="auto"/>
                      <w:kern w:val="0"/>
                      <w:sz w:val="18"/>
                      <w:szCs w:val="18"/>
                      <w:lang w:val="en-US" w:eastAsia="zh-CN"/>
                    </w:rPr>
                    <w:t>9</w:t>
                  </w:r>
                </w:p>
              </w:tc>
              <w:tc>
                <w:tcPr>
                  <w:tcW w:w="72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900-006-09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1.</w:t>
                  </w:r>
                  <w:r>
                    <w:rPr>
                      <w:rFonts w:hint="eastAsia" w:ascii="Times New Roman" w:hAnsi="Times New Roman" w:cs="Times New Roman"/>
                      <w:color w:val="auto"/>
                      <w:kern w:val="0"/>
                      <w:sz w:val="18"/>
                      <w:szCs w:val="18"/>
                      <w:lang w:val="en-US" w:eastAsia="zh-CN" w:bidi="ar"/>
                    </w:rPr>
                    <w:t>2</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机械</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加工</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液体</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矿物油</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切削液</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1年</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T，I</w:t>
                  </w:r>
                </w:p>
              </w:tc>
              <w:tc>
                <w:tcPr>
                  <w:tcW w:w="1318" w:type="dxa"/>
                  <w:vMerge w:val="continue"/>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4</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粘油废棉纱、手套</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HW49</w:t>
                  </w:r>
                </w:p>
              </w:tc>
              <w:tc>
                <w:tcPr>
                  <w:tcW w:w="72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900-041-49</w:t>
                  </w:r>
                </w:p>
              </w:tc>
              <w:tc>
                <w:tcPr>
                  <w:tcW w:w="7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0.</w:t>
                  </w:r>
                  <w:r>
                    <w:rPr>
                      <w:rFonts w:hint="default" w:ascii="Times New Roman" w:hAnsi="Times New Roman" w:eastAsia="宋体" w:cs="Times New Roman"/>
                      <w:color w:val="auto"/>
                      <w:kern w:val="0"/>
                      <w:sz w:val="18"/>
                      <w:szCs w:val="18"/>
                      <w:lang w:val="en-US" w:eastAsia="zh-CN"/>
                    </w:rPr>
                    <w:t>02</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设备</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维修</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固态</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纺织物</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矿物油</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每天</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T，I</w:t>
                  </w:r>
                </w:p>
              </w:tc>
              <w:tc>
                <w:tcPr>
                  <w:tcW w:w="1318" w:type="dxa"/>
                  <w:vMerge w:val="continue"/>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5</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废</w:t>
                  </w:r>
                  <w:r>
                    <w:rPr>
                      <w:rFonts w:hint="default" w:ascii="Times New Roman" w:hAnsi="Times New Roman" w:cs="Times New Roman"/>
                      <w:color w:val="auto"/>
                      <w:kern w:val="0"/>
                      <w:sz w:val="18"/>
                      <w:szCs w:val="18"/>
                      <w:lang w:val="en-US" w:eastAsia="zh-CN" w:bidi="ar"/>
                    </w:rPr>
                    <w:t>液</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
                    </w:rPr>
                    <w:t>压油</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HW08</w:t>
                  </w:r>
                </w:p>
              </w:tc>
              <w:tc>
                <w:tcPr>
                  <w:tcW w:w="725"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900-218-08</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0.34</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机械</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设备</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液体</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矿物油</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矿物油</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1年</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T，I</w:t>
                  </w:r>
                </w:p>
              </w:tc>
              <w:tc>
                <w:tcPr>
                  <w:tcW w:w="1318" w:type="dxa"/>
                  <w:vMerge w:val="continue"/>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6</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eastAsia="zh-CN"/>
                    </w:rPr>
                    <w:t>含油</w:t>
                  </w:r>
                  <w:r>
                    <w:rPr>
                      <w:rFonts w:hint="default" w:ascii="Times New Roman" w:hAnsi="Times New Roman" w:eastAsia="宋体" w:cs="Times New Roman"/>
                      <w:color w:val="auto"/>
                      <w:kern w:val="0"/>
                      <w:sz w:val="18"/>
                      <w:szCs w:val="18"/>
                    </w:rPr>
                    <w:t>废金属屑</w:t>
                  </w:r>
                </w:p>
              </w:tc>
              <w:tc>
                <w:tcPr>
                  <w:tcW w:w="77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HW0</w:t>
                  </w:r>
                  <w:r>
                    <w:rPr>
                      <w:rFonts w:hint="default" w:ascii="Times New Roman" w:hAnsi="Times New Roman" w:eastAsia="宋体" w:cs="Times New Roman"/>
                      <w:color w:val="auto"/>
                      <w:kern w:val="0"/>
                      <w:sz w:val="18"/>
                      <w:szCs w:val="18"/>
                      <w:lang w:val="en-US" w:eastAsia="zh-CN"/>
                    </w:rPr>
                    <w:t>9</w:t>
                  </w:r>
                </w:p>
              </w:tc>
              <w:tc>
                <w:tcPr>
                  <w:tcW w:w="725"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900-006-09</w:t>
                  </w:r>
                </w:p>
              </w:tc>
              <w:tc>
                <w:tcPr>
                  <w:tcW w:w="71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3</w:t>
                  </w:r>
                </w:p>
              </w:tc>
              <w:tc>
                <w:tcPr>
                  <w:tcW w:w="654"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机械</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加工</w:t>
                  </w:r>
                </w:p>
              </w:tc>
              <w:tc>
                <w:tcPr>
                  <w:tcW w:w="47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eastAsia="zh-CN"/>
                    </w:rPr>
                    <w:t>固态</w:t>
                  </w:r>
                </w:p>
              </w:tc>
              <w:tc>
                <w:tcPr>
                  <w:tcW w:w="64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金属</w:t>
                  </w:r>
                </w:p>
              </w:tc>
              <w:tc>
                <w:tcPr>
                  <w:tcW w:w="600"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矿物油</w:t>
                  </w:r>
                </w:p>
              </w:tc>
              <w:tc>
                <w:tcPr>
                  <w:tcW w:w="54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每天</w:t>
                  </w:r>
                </w:p>
              </w:tc>
              <w:tc>
                <w:tcPr>
                  <w:tcW w:w="501"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T，I</w:t>
                  </w:r>
                </w:p>
              </w:tc>
              <w:tc>
                <w:tcPr>
                  <w:tcW w:w="131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经过滤除油达到静置无滴漏要求后打包压块</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暂存于危废暂存间。</w:t>
                  </w:r>
                </w:p>
              </w:tc>
            </w:tr>
          </w:tbl>
          <w:p>
            <w:pPr>
              <w:spacing w:line="46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13</w:t>
            </w:r>
            <w:r>
              <w:rPr>
                <w:rFonts w:hint="default" w:ascii="Times New Roman" w:hAnsi="Times New Roman" w:eastAsia="宋体" w:cs="Times New Roman"/>
                <w:b/>
                <w:color w:val="auto"/>
                <w:kern w:val="0"/>
                <w:sz w:val="21"/>
                <w:szCs w:val="21"/>
              </w:rPr>
              <w:t>本项目固废产生、治理及排放情况</w:t>
            </w:r>
          </w:p>
          <w:tbl>
            <w:tblPr>
              <w:tblStyle w:val="27"/>
              <w:tblW w:w="80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537"/>
              <w:gridCol w:w="666"/>
              <w:gridCol w:w="906"/>
              <w:gridCol w:w="1883"/>
              <w:gridCol w:w="710"/>
              <w:gridCol w:w="1608"/>
              <w:gridCol w:w="7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固废名称</w:t>
                  </w:r>
                </w:p>
              </w:tc>
              <w:tc>
                <w:tcPr>
                  <w:tcW w:w="66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种类</w:t>
                  </w:r>
                </w:p>
              </w:tc>
              <w:tc>
                <w:tcPr>
                  <w:tcW w:w="9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产物环节</w:t>
                  </w:r>
                </w:p>
              </w:tc>
              <w:tc>
                <w:tcPr>
                  <w:tcW w:w="18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类别及代码</w:t>
                  </w:r>
                </w:p>
              </w:tc>
              <w:tc>
                <w:tcPr>
                  <w:tcW w:w="7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产生量</w:t>
                  </w:r>
                </w:p>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t/a</w:t>
                  </w:r>
                </w:p>
              </w:tc>
              <w:tc>
                <w:tcPr>
                  <w:tcW w:w="160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利用、处置方式</w:t>
                  </w:r>
                </w:p>
              </w:tc>
              <w:tc>
                <w:tcPr>
                  <w:tcW w:w="73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处置量t/a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废钢丸</w:t>
                  </w:r>
                </w:p>
              </w:tc>
              <w:tc>
                <w:tcPr>
                  <w:tcW w:w="666" w:type="dxa"/>
                  <w:vMerge w:val="restart"/>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一般</w:t>
                  </w:r>
                </w:p>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固废</w:t>
                  </w: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val="0"/>
                      <w:bCs w:val="0"/>
                      <w:color w:val="auto"/>
                      <w:sz w:val="21"/>
                      <w:szCs w:val="21"/>
                      <w:lang w:val="en-US" w:eastAsia="zh-CN"/>
                    </w:rPr>
                    <w:t>废钢铁</w:t>
                  </w:r>
                  <w:r>
                    <w:rPr>
                      <w:rFonts w:hint="default" w:ascii="Times New Roman" w:hAnsi="Times New Roman" w:cs="Times New Roman"/>
                      <w:b w:val="0"/>
                      <w:bCs w:val="0"/>
                      <w:color w:val="auto"/>
                      <w:sz w:val="21"/>
                      <w:szCs w:val="21"/>
                      <w:lang w:eastAsia="zh-CN"/>
                    </w:rPr>
                    <w:t>3</w:t>
                  </w:r>
                  <w:r>
                    <w:rPr>
                      <w:rFonts w:hint="default" w:ascii="Times New Roman" w:hAnsi="Times New Roman" w:cs="Times New Roman"/>
                      <w:b w:val="0"/>
                      <w:bCs w:val="0"/>
                      <w:color w:val="auto"/>
                      <w:sz w:val="21"/>
                      <w:szCs w:val="21"/>
                      <w:lang w:val="en-US" w:eastAsia="zh-CN"/>
                    </w:rPr>
                    <w:t>75-999-</w:t>
                  </w:r>
                  <w:r>
                    <w:rPr>
                      <w:rFonts w:hint="default" w:ascii="Times New Roman" w:hAnsi="Times New Roman" w:cs="Times New Roman"/>
                      <w:color w:val="auto"/>
                      <w:sz w:val="21"/>
                      <w:szCs w:val="21"/>
                      <w:lang w:val="en-US" w:eastAsia="zh-CN"/>
                    </w:rPr>
                    <w:t>09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0.9</w:t>
                  </w:r>
                </w:p>
              </w:tc>
              <w:tc>
                <w:tcPr>
                  <w:tcW w:w="1608" w:type="dxa"/>
                  <w:vMerge w:val="restart"/>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交物资回收公司处</w:t>
                  </w:r>
                  <w:r>
                    <w:rPr>
                      <w:rFonts w:hint="default" w:ascii="Times New Roman" w:hAnsi="Times New Roman" w:eastAsia="宋体" w:cs="Times New Roman"/>
                      <w:color w:val="auto"/>
                      <w:sz w:val="21"/>
                      <w:szCs w:val="21"/>
                      <w:lang w:val="en-US" w:eastAsia="zh-CN"/>
                    </w:rPr>
                    <w:t>置</w:t>
                  </w:r>
                  <w:r>
                    <w:rPr>
                      <w:rFonts w:hint="default" w:ascii="Times New Roman" w:hAnsi="Times New Roman" w:cs="Times New Roman"/>
                      <w:color w:val="auto"/>
                      <w:kern w:val="0"/>
                      <w:sz w:val="21"/>
                      <w:szCs w:val="21"/>
                      <w:lang w:bidi="ar"/>
                    </w:rPr>
                    <w:t>。</w:t>
                  </w:r>
                </w:p>
              </w:tc>
              <w:tc>
                <w:tcPr>
                  <w:tcW w:w="73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outlineLvl w:val="9"/>
                    <w:rPr>
                      <w:rFonts w:hint="default" w:ascii="Times New Roman" w:hAnsi="Times New Roman" w:cs="Times New Roman"/>
                      <w:b/>
                      <w:bCs/>
                      <w:color w:val="auto"/>
                      <w:kern w:val="0"/>
                      <w:sz w:val="21"/>
                      <w:szCs w:val="21"/>
                      <w:lang w:bidi="ar"/>
                    </w:rPr>
                  </w:pPr>
                  <w:r>
                    <w:rPr>
                      <w:rFonts w:hint="default" w:ascii="Times New Roman" w:hAnsi="Times New Roman" w:cs="Times New Roman"/>
                      <w:color w:val="auto"/>
                      <w:kern w:val="0"/>
                      <w:sz w:val="21"/>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66" w:hRule="atLeast"/>
                <w:jc w:val="center"/>
              </w:trPr>
              <w:tc>
                <w:tcPr>
                  <w:tcW w:w="153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不含油</w:t>
                  </w:r>
                </w:p>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金属边角料</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废钢铁</w:t>
                  </w:r>
                  <w:r>
                    <w:rPr>
                      <w:rFonts w:hint="default" w:ascii="Times New Roman" w:hAnsi="Times New Roman" w:cs="Times New Roman"/>
                      <w:b w:val="0"/>
                      <w:bCs w:val="0"/>
                      <w:color w:val="auto"/>
                      <w:sz w:val="21"/>
                      <w:szCs w:val="21"/>
                      <w:lang w:eastAsia="zh-CN"/>
                    </w:rPr>
                    <w:t>3</w:t>
                  </w:r>
                  <w:r>
                    <w:rPr>
                      <w:rFonts w:hint="default" w:ascii="Times New Roman" w:hAnsi="Times New Roman" w:cs="Times New Roman"/>
                      <w:b w:val="0"/>
                      <w:bCs w:val="0"/>
                      <w:color w:val="auto"/>
                      <w:sz w:val="21"/>
                      <w:szCs w:val="21"/>
                      <w:lang w:val="en-US" w:eastAsia="zh-CN"/>
                    </w:rPr>
                    <w:t>75</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eastAsia="zh-CN"/>
                    </w:rPr>
                    <w:t>999</w:t>
                  </w:r>
                  <w:r>
                    <w:rPr>
                      <w:rFonts w:hint="default" w:ascii="Times New Roman" w:hAnsi="Times New Roman" w:eastAsia="宋体" w:cs="Times New Roman"/>
                      <w:color w:val="auto"/>
                      <w:kern w:val="2"/>
                      <w:sz w:val="21"/>
                      <w:szCs w:val="21"/>
                      <w:lang w:val="en-US" w:eastAsia="zh-CN" w:bidi="ar-SA"/>
                    </w:rPr>
                    <w:t>-09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12</w:t>
                  </w:r>
                </w:p>
              </w:tc>
              <w:tc>
                <w:tcPr>
                  <w:tcW w:w="1608"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b w:val="0"/>
                      <w:bCs/>
                      <w:color w:val="auto"/>
                      <w:szCs w:val="21"/>
                    </w:rPr>
                  </w:pPr>
                  <w:r>
                    <w:rPr>
                      <w:rFonts w:hint="default" w:ascii="Times New Roman" w:hAnsi="Times New Roman" w:cs="Times New Roman"/>
                      <w:color w:val="auto"/>
                      <w:sz w:val="21"/>
                      <w:szCs w:val="21"/>
                      <w:lang w:eastAsia="zh-CN"/>
                    </w:rPr>
                    <w:t>不合格产品</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废钢铁</w:t>
                  </w:r>
                  <w:r>
                    <w:rPr>
                      <w:rFonts w:hint="default" w:ascii="Times New Roman" w:hAnsi="Times New Roman" w:cs="Times New Roman"/>
                      <w:b w:val="0"/>
                      <w:bCs w:val="0"/>
                      <w:color w:val="auto"/>
                      <w:sz w:val="21"/>
                      <w:szCs w:val="21"/>
                      <w:lang w:eastAsia="zh-CN"/>
                    </w:rPr>
                    <w:t>3</w:t>
                  </w:r>
                  <w:r>
                    <w:rPr>
                      <w:rFonts w:hint="default" w:ascii="Times New Roman" w:hAnsi="Times New Roman" w:cs="Times New Roman"/>
                      <w:b w:val="0"/>
                      <w:bCs w:val="0"/>
                      <w:color w:val="auto"/>
                      <w:sz w:val="21"/>
                      <w:szCs w:val="21"/>
                      <w:lang w:val="en-US" w:eastAsia="zh-CN"/>
                    </w:rPr>
                    <w:t>75</w:t>
                  </w:r>
                  <w:r>
                    <w:rPr>
                      <w:rFonts w:hint="default" w:ascii="Times New Roman" w:hAnsi="Times New Roman" w:cs="Times New Roman"/>
                      <w:b w:val="0"/>
                      <w:bCs w:val="0"/>
                      <w:color w:val="auto"/>
                      <w:sz w:val="21"/>
                      <w:szCs w:val="21"/>
                      <w:lang w:eastAsia="zh-CN"/>
                    </w:rPr>
                    <w:t>-999</w:t>
                  </w:r>
                  <w:r>
                    <w:rPr>
                      <w:rFonts w:hint="default" w:ascii="Times New Roman" w:hAnsi="Times New Roman" w:eastAsia="宋体" w:cs="Times New Roman"/>
                      <w:color w:val="auto"/>
                      <w:kern w:val="2"/>
                      <w:sz w:val="21"/>
                      <w:szCs w:val="21"/>
                      <w:lang w:val="en-US" w:eastAsia="zh-CN" w:bidi="ar-SA"/>
                    </w:rPr>
                    <w:t>-09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0.6</w:t>
                  </w:r>
                </w:p>
              </w:tc>
              <w:tc>
                <w:tcPr>
                  <w:tcW w:w="1608"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eastAsia="zh-CN" w:bidi="ar"/>
                    </w:rPr>
                  </w:pP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tcBorders>
                    <w:top w:val="single" w:color="auto" w:sz="4" w:space="0"/>
                  </w:tcBorders>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废机油</w:t>
                  </w:r>
                </w:p>
              </w:tc>
              <w:tc>
                <w:tcPr>
                  <w:tcW w:w="666" w:type="dxa"/>
                  <w:vMerge w:val="restart"/>
                  <w:tcBorders>
                    <w:top w:val="single" w:color="auto" w:sz="4" w:space="0"/>
                  </w:tcBorders>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危险</w:t>
                  </w:r>
                </w:p>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废物</w:t>
                  </w: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  900-217-08</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w:t>
                  </w:r>
                </w:p>
              </w:tc>
              <w:tc>
                <w:tcPr>
                  <w:tcW w:w="1608" w:type="dxa"/>
                  <w:vMerge w:val="restart"/>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定期交具有危险废物处理资质的单位收运、处置。</w:t>
                  </w: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tcBorders>
                    <w:top w:val="single" w:color="auto" w:sz="4" w:space="0"/>
                  </w:tcBorders>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废切削液</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widowControl/>
                    <w:suppressLineNumbers w:val="0"/>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HW09</w:t>
                  </w:r>
                  <w:r>
                    <w:rPr>
                      <w:rFonts w:hint="default" w:ascii="Times New Roman" w:hAnsi="Times New Roman"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900-006-09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r>
                    <w:rPr>
                      <w:rFonts w:hint="eastAsia" w:ascii="Times New Roman" w:hAnsi="Times New Roman" w:cs="Times New Roman"/>
                      <w:color w:val="auto"/>
                      <w:kern w:val="0"/>
                      <w:sz w:val="21"/>
                      <w:szCs w:val="21"/>
                      <w:lang w:val="en-US" w:eastAsia="zh-CN" w:bidi="ar"/>
                    </w:rPr>
                    <w:t>2</w:t>
                  </w:r>
                </w:p>
              </w:tc>
              <w:tc>
                <w:tcPr>
                  <w:tcW w:w="1608"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废油桶</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p>
              </w:tc>
              <w:tc>
                <w:tcPr>
                  <w:tcW w:w="906"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油品存储</w:t>
                  </w:r>
                </w:p>
              </w:tc>
              <w:tc>
                <w:tcPr>
                  <w:tcW w:w="188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HW49  900-041-49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608"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废</w:t>
                  </w:r>
                  <w:r>
                    <w:rPr>
                      <w:rFonts w:hint="default" w:ascii="Times New Roman" w:hAnsi="Times New Roman" w:cs="Times New Roman"/>
                      <w:color w:val="auto"/>
                      <w:kern w:val="0"/>
                      <w:sz w:val="21"/>
                      <w:szCs w:val="21"/>
                      <w:lang w:val="en-US" w:eastAsia="zh-CN" w:bidi="ar"/>
                    </w:rPr>
                    <w:t>液压油</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widowControl/>
                    <w:suppressLineNumbers w:val="0"/>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2"/>
                      <w:szCs w:val="22"/>
                      <w:u w:val="none"/>
                      <w:lang w:val="en-US" w:eastAsia="zh-CN" w:bidi="ar"/>
                    </w:rPr>
                    <w:t>HW08</w:t>
                  </w:r>
                  <w:r>
                    <w:rPr>
                      <w:rFonts w:hint="default" w:ascii="Times New Roman" w:hAnsi="Times New Roman" w:cs="Times New Roman"/>
                      <w:i w:val="0"/>
                      <w:color w:val="auto"/>
                      <w:kern w:val="0"/>
                      <w:sz w:val="22"/>
                      <w:szCs w:val="22"/>
                      <w:u w:val="none"/>
                      <w:lang w:val="en-US" w:eastAsia="zh-CN" w:bidi="ar"/>
                    </w:rPr>
                    <w:t xml:space="preserve">  900-218-08</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0.34</w:t>
                  </w:r>
                </w:p>
              </w:tc>
              <w:tc>
                <w:tcPr>
                  <w:tcW w:w="1608"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粘油废棉</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纱、手套</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设备维修</w:t>
                  </w:r>
                </w:p>
              </w:tc>
              <w:tc>
                <w:tcPr>
                  <w:tcW w:w="1883" w:type="dxa"/>
                  <w:noWrap w:val="0"/>
                  <w:vAlign w:val="center"/>
                </w:tcPr>
                <w:p>
                  <w:pPr>
                    <w:keepNext w:val="0"/>
                    <w:keepLines w:val="0"/>
                    <w:widowControl/>
                    <w:suppressLineNumbers w:val="0"/>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HW49</w:t>
                  </w:r>
                  <w:r>
                    <w:rPr>
                      <w:rFonts w:hint="default" w:ascii="Times New Roman" w:hAnsi="Times New Roman"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900-041-49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w:t>
                  </w:r>
                </w:p>
              </w:tc>
              <w:tc>
                <w:tcPr>
                  <w:tcW w:w="1608"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含油废金属屑</w:t>
                  </w:r>
                </w:p>
              </w:tc>
              <w:tc>
                <w:tcPr>
                  <w:tcW w:w="666" w:type="dxa"/>
                  <w:vMerge w:val="continue"/>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生产过程</w:t>
                  </w:r>
                </w:p>
              </w:tc>
              <w:tc>
                <w:tcPr>
                  <w:tcW w:w="1883" w:type="dxa"/>
                  <w:noWrap w:val="0"/>
                  <w:vAlign w:val="center"/>
                </w:tcPr>
                <w:p>
                  <w:pPr>
                    <w:keepNext w:val="0"/>
                    <w:keepLines w:val="0"/>
                    <w:widowControl/>
                    <w:suppressLineNumbers w:val="0"/>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HW09</w:t>
                  </w:r>
                  <w:r>
                    <w:rPr>
                      <w:rFonts w:hint="default" w:ascii="Times New Roman" w:hAnsi="Times New Roman"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900-006-09</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p>
              </w:tc>
              <w:tc>
                <w:tcPr>
                  <w:tcW w:w="1608" w:type="dxa"/>
                  <w:tcBorders>
                    <w:top w:val="single" w:color="auto" w:sz="4" w:space="0"/>
                  </w:tcBorders>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暂存于危废暂存间，外交金属冶炼单位用于冶炼。</w:t>
                  </w: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153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生活垃圾</w:t>
                  </w:r>
                </w:p>
              </w:tc>
              <w:tc>
                <w:tcPr>
                  <w:tcW w:w="66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其它</w:t>
                  </w:r>
                </w:p>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废物</w:t>
                  </w:r>
                </w:p>
              </w:tc>
              <w:tc>
                <w:tcPr>
                  <w:tcW w:w="906"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职工生活</w:t>
                  </w:r>
                </w:p>
              </w:tc>
              <w:tc>
                <w:tcPr>
                  <w:tcW w:w="188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710"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bCs/>
                      <w:color w:val="auto"/>
                      <w:sz w:val="21"/>
                      <w:szCs w:val="21"/>
                      <w:lang w:val="en-US" w:eastAsia="zh-CN"/>
                    </w:rPr>
                    <w:t>3</w:t>
                  </w:r>
                </w:p>
              </w:tc>
              <w:tc>
                <w:tcPr>
                  <w:tcW w:w="1608"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交地方环卫统一收运、处置。</w:t>
                  </w:r>
                </w:p>
              </w:tc>
              <w:tc>
                <w:tcPr>
                  <w:tcW w:w="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exact"/>
              <w:ind w:firstLine="422" w:firstLineChars="20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sz w:val="21"/>
                <w:szCs w:val="21"/>
                <w:lang w:val="en-US" w:eastAsia="zh-CN" w:bidi="ar"/>
              </w:rPr>
              <w:t xml:space="preserve">表 </w:t>
            </w:r>
            <w:r>
              <w:rPr>
                <w:rFonts w:hint="default" w:ascii="Times New Roman" w:hAnsi="Times New Roman" w:eastAsia="宋体" w:cs="Times New Roman"/>
                <w:b/>
                <w:color w:val="auto"/>
                <w:sz w:val="21"/>
                <w:szCs w:val="21"/>
                <w:lang w:val="en-US" w:eastAsia="zh-CN"/>
              </w:rPr>
              <w:t>4.</w:t>
            </w:r>
            <w:r>
              <w:rPr>
                <w:rFonts w:hint="eastAsia" w:cs="Times New Roman"/>
                <w:b/>
                <w:color w:val="auto"/>
                <w:sz w:val="21"/>
                <w:szCs w:val="21"/>
                <w:lang w:val="en-US" w:eastAsia="zh-CN"/>
              </w:rPr>
              <w:t>14</w:t>
            </w:r>
            <w:r>
              <w:rPr>
                <w:rFonts w:hint="default" w:ascii="Times New Roman" w:hAnsi="Times New Roman" w:eastAsia="宋体" w:cs="Times New Roman"/>
                <w:b/>
                <w:bCs/>
                <w:color w:val="auto"/>
                <w:sz w:val="21"/>
                <w:szCs w:val="21"/>
                <w:lang w:val="en-US" w:eastAsia="zh-CN" w:bidi="ar"/>
              </w:rPr>
              <w:t xml:space="preserve"> 危险废物贮存场所基本情况</w:t>
            </w:r>
          </w:p>
          <w:tbl>
            <w:tblPr>
              <w:tblStyle w:val="28"/>
              <w:tblW w:w="8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039"/>
              <w:gridCol w:w="1099"/>
              <w:gridCol w:w="793"/>
              <w:gridCol w:w="1219"/>
              <w:gridCol w:w="655"/>
              <w:gridCol w:w="683"/>
              <w:gridCol w:w="693"/>
              <w:gridCol w:w="750"/>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序号</w:t>
                  </w:r>
                </w:p>
              </w:tc>
              <w:tc>
                <w:tcPr>
                  <w:tcW w:w="10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贮存场所（设施）名称</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危险废物名称</w:t>
                  </w:r>
                </w:p>
              </w:tc>
              <w:tc>
                <w:tcPr>
                  <w:tcW w:w="7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危险废物类别</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危险废物代码</w:t>
                  </w:r>
                </w:p>
              </w:tc>
              <w:tc>
                <w:tcPr>
                  <w:tcW w:w="6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位置</w:t>
                  </w:r>
                </w:p>
              </w:tc>
              <w:tc>
                <w:tcPr>
                  <w:tcW w:w="6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占地面积</w:t>
                  </w: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贮存</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方式</w:t>
                  </w: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贮存</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能力</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贮存</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1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103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危废暂存间</w:t>
                  </w:r>
                </w:p>
              </w:tc>
              <w:tc>
                <w:tcPr>
                  <w:tcW w:w="109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废机油</w:t>
                  </w:r>
                </w:p>
              </w:tc>
              <w:tc>
                <w:tcPr>
                  <w:tcW w:w="79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HW08</w:t>
                  </w:r>
                </w:p>
              </w:tc>
              <w:tc>
                <w:tcPr>
                  <w:tcW w:w="121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900-217-08</w:t>
                  </w:r>
                </w:p>
              </w:tc>
              <w:tc>
                <w:tcPr>
                  <w:tcW w:w="6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厂区一楼西北侧</w:t>
                  </w:r>
                </w:p>
              </w:tc>
              <w:tc>
                <w:tcPr>
                  <w:tcW w:w="6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桶装</w:t>
                  </w:r>
                </w:p>
              </w:tc>
              <w:tc>
                <w:tcPr>
                  <w:tcW w:w="750" w:type="dxa"/>
                  <w:vMerge w:val="restart"/>
                  <w:noWrap w:val="0"/>
                  <w:vAlign w:val="center"/>
                </w:tcPr>
                <w:p>
                  <w:pPr>
                    <w:keepNext w:val="0"/>
                    <w:keepLines w:val="0"/>
                    <w:pageBreakBefore w:val="0"/>
                    <w:widowControl/>
                    <w:suppressLineNumbers w:val="0"/>
                    <w:kinsoku/>
                    <w:overflow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cs="Times New Roman"/>
                      <w:color w:val="auto"/>
                      <w:kern w:val="0"/>
                      <w:sz w:val="21"/>
                      <w:szCs w:val="21"/>
                      <w:lang w:val="en-US" w:eastAsia="zh-CN" w:bidi="ar"/>
                    </w:rPr>
                    <w:t>5t</w:t>
                  </w:r>
                </w:p>
              </w:tc>
              <w:tc>
                <w:tcPr>
                  <w:tcW w:w="653" w:type="dxa"/>
                  <w:vMerge w:val="restart"/>
                  <w:noWrap w:val="0"/>
                  <w:vAlign w:val="center"/>
                </w:tcPr>
                <w:p>
                  <w:pPr>
                    <w:keepNext w:val="0"/>
                    <w:keepLines w:val="0"/>
                    <w:pageBreakBefore w:val="0"/>
                    <w:widowControl/>
                    <w:suppressLineNumbers w:val="0"/>
                    <w:kinsoku/>
                    <w:overflow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1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2</w:t>
                  </w:r>
                </w:p>
              </w:tc>
              <w:tc>
                <w:tcPr>
                  <w:tcW w:w="10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109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废油桶</w:t>
                  </w:r>
                </w:p>
              </w:tc>
              <w:tc>
                <w:tcPr>
                  <w:tcW w:w="79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HW49</w:t>
                  </w:r>
                </w:p>
              </w:tc>
              <w:tc>
                <w:tcPr>
                  <w:tcW w:w="121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900-041-49</w:t>
                  </w:r>
                </w:p>
              </w:tc>
              <w:tc>
                <w:tcPr>
                  <w:tcW w:w="6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cs="Times New Roman"/>
                      <w:color w:val="auto"/>
                      <w:kern w:val="0"/>
                      <w:sz w:val="21"/>
                      <w:szCs w:val="21"/>
                      <w:vertAlign w:val="baseline"/>
                      <w:lang w:eastAsia="zh-CN"/>
                    </w:rPr>
                    <w:t>堆放</w:t>
                  </w:r>
                </w:p>
              </w:tc>
              <w:tc>
                <w:tcPr>
                  <w:tcW w:w="75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5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18"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w:t>
                  </w:r>
                </w:p>
              </w:tc>
              <w:tc>
                <w:tcPr>
                  <w:tcW w:w="10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109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废切削液</w:t>
                  </w:r>
                </w:p>
              </w:tc>
              <w:tc>
                <w:tcPr>
                  <w:tcW w:w="79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HW09</w:t>
                  </w:r>
                </w:p>
              </w:tc>
              <w:tc>
                <w:tcPr>
                  <w:tcW w:w="121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900-006-09</w:t>
                  </w:r>
                </w:p>
              </w:tc>
              <w:tc>
                <w:tcPr>
                  <w:tcW w:w="6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eastAsia="zh-CN"/>
                    </w:rPr>
                    <w:t>桶装</w:t>
                  </w:r>
                </w:p>
              </w:tc>
              <w:tc>
                <w:tcPr>
                  <w:tcW w:w="75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5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0" w:type="auto"/>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4</w:t>
                  </w:r>
                </w:p>
              </w:tc>
              <w:tc>
                <w:tcPr>
                  <w:tcW w:w="10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109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粘油废棉纱、手套</w:t>
                  </w:r>
                </w:p>
              </w:tc>
              <w:tc>
                <w:tcPr>
                  <w:tcW w:w="79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HW49</w:t>
                  </w:r>
                </w:p>
              </w:tc>
              <w:tc>
                <w:tcPr>
                  <w:tcW w:w="121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900-041-49</w:t>
                  </w:r>
                </w:p>
              </w:tc>
              <w:tc>
                <w:tcPr>
                  <w:tcW w:w="6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桶装</w:t>
                  </w: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53"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0" w:type="auto"/>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w:t>
                  </w:r>
                </w:p>
              </w:tc>
              <w:tc>
                <w:tcPr>
                  <w:tcW w:w="10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109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废液压油</w:t>
                  </w:r>
                </w:p>
              </w:tc>
              <w:tc>
                <w:tcPr>
                  <w:tcW w:w="793"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HW08</w:t>
                  </w:r>
                </w:p>
              </w:tc>
              <w:tc>
                <w:tcPr>
                  <w:tcW w:w="121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900-218-08</w:t>
                  </w:r>
                </w:p>
              </w:tc>
              <w:tc>
                <w:tcPr>
                  <w:tcW w:w="6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桶装</w:t>
                  </w: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53"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0" w:type="auto"/>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6</w:t>
                  </w:r>
                </w:p>
              </w:tc>
              <w:tc>
                <w:tcPr>
                  <w:tcW w:w="10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1099"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含油废金属屑</w:t>
                  </w:r>
                </w:p>
              </w:tc>
              <w:tc>
                <w:tcPr>
                  <w:tcW w:w="793"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HW09</w:t>
                  </w:r>
                </w:p>
              </w:tc>
              <w:tc>
                <w:tcPr>
                  <w:tcW w:w="121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900-006-09</w:t>
                  </w:r>
                </w:p>
              </w:tc>
              <w:tc>
                <w:tcPr>
                  <w:tcW w:w="6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eastAsia="zh-CN"/>
                    </w:rPr>
                    <w:t>桶装</w:t>
                  </w:r>
                </w:p>
              </w:tc>
              <w:tc>
                <w:tcPr>
                  <w:tcW w:w="75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c>
                <w:tcPr>
                  <w:tcW w:w="653"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0"/>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2、管理要求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kern w:val="2"/>
                <w:sz w:val="21"/>
                <w:szCs w:val="21"/>
                <w:lang w:val="en-US" w:eastAsia="zh-CN" w:bidi="ar-SA"/>
              </w:rPr>
              <w:t>根据《一般工业固体废物贮存和填埋污染控制标准》（GB 18599-2020）中要求，</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采用库房、包装工具（罐、桶、包装袋等）贮存一般工业</w:t>
            </w:r>
            <w:r>
              <w:rPr>
                <w:rFonts w:hint="eastAsia" w:cs="Times New Roman"/>
                <w:color w:val="auto"/>
                <w:kern w:val="2"/>
                <w:sz w:val="21"/>
                <w:szCs w:val="21"/>
                <w:lang w:val="en-US" w:eastAsia="zh-CN" w:bidi="ar-SA"/>
              </w:rPr>
              <w:t>固</w:t>
            </w:r>
            <w:r>
              <w:rPr>
                <w:rFonts w:hint="default" w:ascii="Times New Roman" w:hAnsi="Times New Roman" w:eastAsia="宋体" w:cs="Times New Roman"/>
                <w:color w:val="auto"/>
                <w:kern w:val="2"/>
                <w:sz w:val="21"/>
                <w:szCs w:val="21"/>
                <w:lang w:val="en-US" w:eastAsia="zh-CN" w:bidi="ar-SA"/>
              </w:rPr>
              <w:t>体废物过程的污染控制，不适用GB 18599-2020标准，贮存过程中应满足相应的防渗漏、防雨淋、防扬尘等环境保护要求。</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同时一般固体废物分类应按《一般固体废物分类与代码》（GB/T39198-2020）、</w:t>
            </w:r>
            <w:r>
              <w:rPr>
                <w:rFonts w:hint="default" w:ascii="Times New Roman" w:hAnsi="Times New Roman" w:eastAsia="宋体" w:cs="Times New Roman"/>
                <w:color w:val="auto"/>
                <w:sz w:val="21"/>
                <w:szCs w:val="21"/>
                <w:lang w:val="en-US" w:eastAsia="zh-CN" w:bidi="ar"/>
              </w:rPr>
              <w:t>《环境保护图形标准》设置环境保护图形的警示、提示标志。</w:t>
            </w:r>
            <w:r>
              <w:rPr>
                <w:rFonts w:hint="default" w:ascii="Times New Roman" w:hAnsi="Times New Roman" w:cs="Times New Roman"/>
                <w:color w:val="auto"/>
                <w:sz w:val="21"/>
                <w:szCs w:val="21"/>
                <w:lang w:val="en-US" w:eastAsia="zh-CN" w:bidi="ar"/>
              </w:rPr>
              <w:t>一般固体废物存放区</w:t>
            </w:r>
            <w:r>
              <w:rPr>
                <w:rFonts w:hint="default" w:ascii="Times New Roman" w:hAnsi="Times New Roman" w:eastAsia="宋体" w:cs="Times New Roman"/>
                <w:color w:val="auto"/>
                <w:sz w:val="21"/>
                <w:szCs w:val="21"/>
                <w:lang w:val="en-US" w:eastAsia="zh-CN" w:bidi="ar"/>
              </w:rPr>
              <w:t>不得混入生活垃圾或危险废物</w:t>
            </w:r>
            <w:r>
              <w:rPr>
                <w:rFonts w:hint="default" w:ascii="Times New Roman" w:hAnsi="Times New Roman" w:cs="Times New Roman"/>
                <w:color w:val="auto"/>
                <w:sz w:val="21"/>
                <w:szCs w:val="21"/>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危废暂存间应严格按照《危险废物识别标志设置技术规范》（HJ 1276</w:t>
            </w:r>
            <w:r>
              <w:rPr>
                <w:rFonts w:hint="eastAsia"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2022）的规定设置警示标志，采取防风、防雨、防晒</w:t>
            </w:r>
            <w:r>
              <w:rPr>
                <w:rFonts w:hint="default" w:ascii="Times New Roman" w:hAnsi="Times New Roman"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防流失、防扬散、防渗漏等措施，设置托盘等液体泄漏收集或拦截设施，按</w:t>
            </w:r>
            <w:r>
              <w:rPr>
                <w:rFonts w:hint="default" w:ascii="Times New Roman" w:hAnsi="Times New Roman" w:cs="Times New Roman"/>
                <w:color w:val="auto"/>
                <w:sz w:val="21"/>
                <w:szCs w:val="21"/>
                <w:lang w:val="en-US" w:eastAsia="zh-CN" w:bidi="ar"/>
              </w:rPr>
              <w:t>《危险废物贮存污染控制标准》（GB18597-2023）</w:t>
            </w:r>
            <w:r>
              <w:rPr>
                <w:rFonts w:hint="default" w:ascii="Times New Roman" w:hAnsi="Times New Roman" w:eastAsia="宋体" w:cs="Times New Roman"/>
                <w:color w:val="auto"/>
                <w:sz w:val="21"/>
                <w:szCs w:val="21"/>
                <w:lang w:val="en-US" w:eastAsia="zh-CN" w:bidi="ar"/>
              </w:rPr>
              <w:t>中相关要求进行设计、运行和管理。本项目设置的危废暂存间将严格按照相关要求建设，空间充足且危废暂存及处置措施可行，可满足项目危废暂存要求。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危险废物转移应按照《危险废物转移管理办法》（生态环境部 公安部 交通运输部 部令 第23号）执行转移联单制度。固废运输选择合理的运输路线，保证运距合理，沿线敏感点少，不对沿线环境及居民造成影响。同时，项目固废实行封闭运输，避免运输途中发生洒、漏现象，发生二次污染。另外，建设单位将危险废物移交处置单位时，应严格按照《危险废物转移管理办法》填写危险废物转移五联单，并由双方单位保留备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按《中华人民共和国固体废物污染环境防治法》“第八十五条”</w:t>
            </w:r>
            <w:r>
              <w:rPr>
                <w:rFonts w:hint="default" w:ascii="Times New Roman" w:hAnsi="Times New Roman" w:cs="Times New Roman"/>
                <w:color w:val="auto"/>
                <w:sz w:val="21"/>
                <w:szCs w:val="21"/>
                <w:lang w:val="en-US" w:eastAsia="zh-CN" w:bidi="ar"/>
              </w:rPr>
              <w:t>，本项目应</w:t>
            </w:r>
            <w:r>
              <w:rPr>
                <w:rFonts w:hint="default" w:ascii="Times New Roman" w:hAnsi="Times New Roman" w:eastAsia="宋体" w:cs="Times New Roman"/>
                <w:color w:val="auto"/>
                <w:sz w:val="21"/>
                <w:szCs w:val="21"/>
                <w:lang w:val="en-US" w:eastAsia="zh-CN" w:bidi="ar"/>
              </w:rPr>
              <w:t>制定意外事故的防范措施和应急预案，并向所在地生态环境主管部门和其他负有固体废物污染环境防治监督管理职责的部门备案</w:t>
            </w:r>
            <w:r>
              <w:rPr>
                <w:rFonts w:hint="default" w:ascii="Times New Roman" w:hAnsi="Times New Roman" w:cs="Times New Roman"/>
                <w:color w:val="auto"/>
                <w:sz w:val="21"/>
                <w:szCs w:val="21"/>
                <w:lang w:val="en-US" w:eastAsia="zh-CN" w:bidi="ar"/>
              </w:rPr>
              <w:t>。</w:t>
            </w:r>
          </w:p>
          <w:p>
            <w:pPr>
              <w:pStyle w:val="38"/>
              <w:keepNext w:val="0"/>
              <w:keepLines w:val="0"/>
              <w:pageBreakBefore w:val="0"/>
              <w:widowControl w:val="0"/>
              <w:kinsoku/>
              <w:wordWrap/>
              <w:overflowPunct/>
              <w:topLinePunct w:val="0"/>
              <w:autoSpaceDE/>
              <w:autoSpaceDN/>
              <w:bidi w:val="0"/>
              <w:adjustRightInd w:val="0"/>
              <w:snapToGrid w:val="0"/>
              <w:spacing w:line="348"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bidi="ar"/>
              </w:rPr>
              <w:t>4.2.5</w:t>
            </w:r>
            <w:r>
              <w:rPr>
                <w:rFonts w:hint="default" w:ascii="Times New Roman" w:hAnsi="Times New Roman" w:eastAsia="宋体" w:cs="Times New Roman"/>
                <w:b/>
                <w:color w:val="auto"/>
                <w:sz w:val="21"/>
                <w:szCs w:val="21"/>
              </w:rPr>
              <w:t>环境风险</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ind w:right="0" w:rightChars="0"/>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1、危险物质和风险源分布</w:t>
            </w:r>
          </w:p>
          <w:p>
            <w:pPr>
              <w:pStyle w:val="5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outlineLvl w:val="9"/>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eastAsia="宋体" w:cs="Times New Roman"/>
                <w:bCs/>
                <w:color w:val="auto"/>
                <w:sz w:val="21"/>
                <w:szCs w:val="21"/>
                <w:highlight w:val="none"/>
                <w:lang w:eastAsia="zh-CN"/>
              </w:rPr>
              <w:t>根据本项目原辅材料及生产工艺特点分析，本项目所涉及的风险源主要为</w:t>
            </w:r>
            <w:r>
              <w:rPr>
                <w:rFonts w:hint="default" w:ascii="Times New Roman" w:hAnsi="Times New Roman" w:cs="Times New Roman"/>
                <w:bCs/>
                <w:color w:val="auto"/>
                <w:sz w:val="21"/>
                <w:szCs w:val="21"/>
                <w:highlight w:val="none"/>
                <w:lang w:eastAsia="zh-CN"/>
              </w:rPr>
              <w:t>油品存储区</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snapToGrid w:val="0"/>
                <w:color w:val="auto"/>
                <w:spacing w:val="4"/>
                <w:sz w:val="21"/>
                <w:szCs w:val="21"/>
                <w:highlight w:val="none"/>
                <w:lang w:val="en-US" w:eastAsia="zh-CN"/>
              </w:rPr>
              <w:t>本项目运营过程</w:t>
            </w:r>
            <w:r>
              <w:rPr>
                <w:rFonts w:hint="default" w:ascii="Times New Roman" w:hAnsi="Times New Roman" w:eastAsia="宋体" w:cs="Times New Roman"/>
                <w:bCs/>
                <w:color w:val="auto"/>
                <w:sz w:val="21"/>
                <w:szCs w:val="21"/>
                <w:highlight w:val="none"/>
                <w:lang w:eastAsia="zh-CN"/>
              </w:rPr>
              <w:t>所涉及的风险</w:t>
            </w:r>
            <w:r>
              <w:rPr>
                <w:rFonts w:hint="default" w:ascii="Times New Roman" w:hAnsi="Times New Roman" w:cs="Times New Roman"/>
                <w:bCs/>
                <w:color w:val="auto"/>
                <w:sz w:val="21"/>
                <w:szCs w:val="21"/>
                <w:highlight w:val="none"/>
                <w:lang w:eastAsia="zh-CN"/>
              </w:rPr>
              <w:t>物质主要为</w:t>
            </w:r>
            <w:r>
              <w:rPr>
                <w:rFonts w:hint="default" w:ascii="Times New Roman" w:hAnsi="Times New Roman" w:cs="Times New Roman"/>
                <w:snapToGrid w:val="0"/>
                <w:color w:val="auto"/>
                <w:spacing w:val="4"/>
                <w:sz w:val="21"/>
                <w:szCs w:val="21"/>
                <w:highlight w:val="none"/>
                <w:lang w:val="en-US" w:eastAsia="zh-CN"/>
              </w:rPr>
              <w:t>液压油、机油、切削液。</w:t>
            </w:r>
            <w:r>
              <w:rPr>
                <w:rFonts w:hint="default" w:ascii="Times New Roman" w:hAnsi="Times New Roman" w:eastAsia="宋体" w:cs="Times New Roman"/>
                <w:snapToGrid w:val="0"/>
                <w:color w:val="auto"/>
                <w:spacing w:val="4"/>
                <w:sz w:val="21"/>
                <w:szCs w:val="21"/>
                <w:highlight w:val="none"/>
                <w:lang w:val="en-US" w:eastAsia="zh-CN"/>
              </w:rPr>
              <w:t>结合附录B1、附录B2、《化学品分类和标签规范第18部分：急性毒性》(GB30000.18-2013)可知，本项目所涉及危</w:t>
            </w:r>
            <w:r>
              <w:rPr>
                <w:rFonts w:hint="default" w:ascii="Times New Roman" w:hAnsi="Times New Roman" w:cs="Times New Roman"/>
                <w:b w:val="0"/>
                <w:bCs/>
                <w:color w:val="auto"/>
                <w:sz w:val="21"/>
                <w:szCs w:val="21"/>
                <w:vertAlign w:val="baseline"/>
                <w:lang w:val="en-US" w:eastAsia="zh-CN"/>
              </w:rPr>
              <w:t>险物质储存情况详见表4.1</w:t>
            </w:r>
            <w:r>
              <w:rPr>
                <w:rFonts w:hint="eastAsia" w:cs="Times New Roman"/>
                <w:b w:val="0"/>
                <w:bCs/>
                <w:color w:val="auto"/>
                <w:sz w:val="21"/>
                <w:szCs w:val="21"/>
                <w:vertAlign w:val="baseline"/>
                <w:lang w:val="en-US" w:eastAsia="zh-CN"/>
              </w:rPr>
              <w:t>5</w:t>
            </w:r>
            <w:r>
              <w:rPr>
                <w:rFonts w:hint="default" w:ascii="Times New Roman" w:hAnsi="Times New Roman" w:cs="Times New Roman"/>
                <w:b w:val="0"/>
                <w:bCs/>
                <w:color w:val="auto"/>
                <w:sz w:val="21"/>
                <w:szCs w:val="21"/>
                <w:vertAlign w:val="baseline"/>
                <w:lang w:val="en-US" w:eastAsia="zh-CN"/>
              </w:rPr>
              <w:t>。</w:t>
            </w:r>
          </w:p>
          <w:p>
            <w:pPr>
              <w:pStyle w:val="55"/>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cs="Times New Roman"/>
                <w:b/>
                <w:color w:val="auto"/>
                <w:kern w:val="0"/>
                <w:sz w:val="21"/>
                <w:szCs w:val="21"/>
                <w:lang w:val="en-US" w:eastAsia="zh-CN" w:bidi="ar-SA"/>
              </w:rPr>
            </w:pPr>
            <w:r>
              <w:rPr>
                <w:rFonts w:hint="default" w:ascii="Times New Roman" w:hAnsi="Times New Roman" w:cs="Times New Roman"/>
                <w:b/>
                <w:color w:val="auto"/>
                <w:kern w:val="0"/>
                <w:sz w:val="21"/>
                <w:szCs w:val="21"/>
                <w:lang w:val="en-US" w:eastAsia="zh-CN" w:bidi="ar-SA"/>
              </w:rPr>
              <w:t>表4.1</w:t>
            </w:r>
            <w:r>
              <w:rPr>
                <w:rFonts w:hint="eastAsia" w:cs="Times New Roman"/>
                <w:b/>
                <w:color w:val="auto"/>
                <w:kern w:val="0"/>
                <w:sz w:val="21"/>
                <w:szCs w:val="21"/>
                <w:lang w:val="en-US" w:eastAsia="zh-CN" w:bidi="ar-SA"/>
              </w:rPr>
              <w:t>5</w:t>
            </w:r>
            <w:r>
              <w:rPr>
                <w:rFonts w:hint="default" w:ascii="Times New Roman" w:hAnsi="Times New Roman" w:cs="Times New Roman"/>
                <w:b/>
                <w:color w:val="auto"/>
                <w:kern w:val="0"/>
                <w:sz w:val="21"/>
                <w:szCs w:val="21"/>
                <w:lang w:val="en-US" w:eastAsia="zh-CN" w:bidi="ar-SA"/>
              </w:rPr>
              <w:t>本项目所涉及危化品储存情况</w:t>
            </w:r>
          </w:p>
          <w:tbl>
            <w:tblPr>
              <w:tblStyle w:val="28"/>
              <w:tblW w:w="8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625"/>
              <w:gridCol w:w="1255"/>
              <w:gridCol w:w="1058"/>
              <w:gridCol w:w="982"/>
              <w:gridCol w:w="1353"/>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序号</w:t>
                  </w:r>
                </w:p>
              </w:tc>
              <w:tc>
                <w:tcPr>
                  <w:tcW w:w="162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原料名称</w:t>
                  </w:r>
                </w:p>
              </w:tc>
              <w:tc>
                <w:tcPr>
                  <w:tcW w:w="125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毒性物质类别</w:t>
                  </w:r>
                </w:p>
              </w:tc>
              <w:tc>
                <w:tcPr>
                  <w:tcW w:w="1058"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储存</w:t>
                  </w:r>
                </w:p>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位置</w:t>
                  </w:r>
                </w:p>
              </w:tc>
              <w:tc>
                <w:tcPr>
                  <w:tcW w:w="98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cs="Times New Roman"/>
                      <w:b/>
                      <w:bCs w:val="0"/>
                      <w:color w:val="auto"/>
                      <w:sz w:val="21"/>
                      <w:szCs w:val="21"/>
                      <w:vertAlign w:val="baseline"/>
                      <w:lang w:val="en-US" w:eastAsia="zh-CN"/>
                    </w:rPr>
                    <w:t>最大储存量</w:t>
                  </w:r>
                </w:p>
              </w:tc>
              <w:tc>
                <w:tcPr>
                  <w:tcW w:w="1353"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导则推荐临界量</w:t>
                  </w:r>
                </w:p>
              </w:tc>
              <w:tc>
                <w:tcPr>
                  <w:tcW w:w="1124"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q</w:t>
                  </w:r>
                  <w:r>
                    <w:rPr>
                      <w:rFonts w:hint="default" w:ascii="Times New Roman" w:hAnsi="Times New Roman" w:cs="Times New Roman"/>
                      <w:b/>
                      <w:bCs w:val="0"/>
                      <w:color w:val="auto"/>
                      <w:sz w:val="21"/>
                      <w:szCs w:val="21"/>
                      <w:vertAlign w:val="subscript"/>
                      <w:lang w:val="en-US" w:eastAsia="zh-CN"/>
                    </w:rPr>
                    <w:t>n</w:t>
                  </w:r>
                  <w:r>
                    <w:rPr>
                      <w:rFonts w:hint="default" w:ascii="Times New Roman" w:hAnsi="Times New Roman" w:cs="Times New Roman"/>
                      <w:b/>
                      <w:bCs w:val="0"/>
                      <w:color w:val="auto"/>
                      <w:sz w:val="21"/>
                      <w:szCs w:val="21"/>
                      <w:vertAlign w:val="baseline"/>
                      <w:lang w:val="en-US" w:eastAsia="zh-CN"/>
                    </w:rPr>
                    <w:t>/Q</w:t>
                  </w:r>
                  <w:r>
                    <w:rPr>
                      <w:rFonts w:hint="default" w:ascii="Times New Roman" w:hAnsi="Times New Roman" w:cs="Times New Roman"/>
                      <w:b/>
                      <w:bCs w:val="0"/>
                      <w:color w:val="auto"/>
                      <w:sz w:val="21"/>
                      <w:szCs w:val="21"/>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机油</w:t>
                  </w:r>
                </w:p>
              </w:tc>
              <w:tc>
                <w:tcPr>
                  <w:tcW w:w="125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油类物质</w:t>
                  </w:r>
                </w:p>
              </w:tc>
              <w:tc>
                <w:tcPr>
                  <w:tcW w:w="1058" w:type="dxa"/>
                  <w:vMerge w:val="restar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化学品</w:t>
                  </w:r>
                </w:p>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eastAsia="宋体" w:cs="Times New Roman"/>
                      <w:bCs/>
                      <w:color w:val="auto"/>
                      <w:sz w:val="21"/>
                      <w:szCs w:val="21"/>
                      <w:highlight w:val="none"/>
                      <w:lang w:eastAsia="zh-CN"/>
                    </w:rPr>
                    <w:t>存储区</w:t>
                  </w:r>
                </w:p>
              </w:tc>
              <w:tc>
                <w:tcPr>
                  <w:tcW w:w="98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0.05</w:t>
                  </w:r>
                  <w:r>
                    <w:rPr>
                      <w:rFonts w:hint="default" w:ascii="Times New Roman" w:hAnsi="Times New Roman" w:cs="Times New Roman"/>
                      <w:b w:val="0"/>
                      <w:bCs/>
                      <w:color w:val="auto"/>
                      <w:sz w:val="21"/>
                      <w:szCs w:val="21"/>
                      <w:vertAlign w:val="baseline"/>
                      <w:lang w:val="en-US" w:eastAsia="zh-CN"/>
                    </w:rPr>
                    <w:t>t</w:t>
                  </w:r>
                </w:p>
              </w:tc>
              <w:tc>
                <w:tcPr>
                  <w:tcW w:w="1353"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2500t</w:t>
                  </w:r>
                </w:p>
              </w:tc>
              <w:tc>
                <w:tcPr>
                  <w:tcW w:w="1124"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color w:val="auto"/>
                      <w:sz w:val="21"/>
                      <w:szCs w:val="21"/>
                      <w:lang w:val="en-US" w:eastAsia="zh-CN"/>
                    </w:rPr>
                    <w:t>液压油</w:t>
                  </w:r>
                </w:p>
              </w:tc>
              <w:tc>
                <w:tcPr>
                  <w:tcW w:w="125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sz w:val="21"/>
                      <w:szCs w:val="21"/>
                      <w:vertAlign w:val="baseline"/>
                      <w:lang w:val="en-US" w:eastAsia="zh-CN"/>
                    </w:rPr>
                    <w:t>油类物质</w:t>
                  </w:r>
                </w:p>
              </w:tc>
              <w:tc>
                <w:tcPr>
                  <w:tcW w:w="1058"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17</w:t>
                  </w:r>
                  <w:r>
                    <w:rPr>
                      <w:rFonts w:hint="default" w:ascii="Times New Roman" w:hAnsi="Times New Roman" w:cs="Times New Roman"/>
                      <w:b w:val="0"/>
                      <w:bCs/>
                      <w:color w:val="auto"/>
                      <w:sz w:val="21"/>
                      <w:szCs w:val="21"/>
                      <w:vertAlign w:val="baseline"/>
                      <w:lang w:val="en-US" w:eastAsia="zh-CN"/>
                    </w:rPr>
                    <w:t>t</w:t>
                  </w:r>
                </w:p>
              </w:tc>
              <w:tc>
                <w:tcPr>
                  <w:tcW w:w="1353"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sz w:val="21"/>
                      <w:szCs w:val="21"/>
                      <w:vertAlign w:val="baseline"/>
                      <w:lang w:val="en-US" w:eastAsia="zh-CN"/>
                    </w:rPr>
                    <w:t>2500t</w:t>
                  </w:r>
                </w:p>
              </w:tc>
              <w:tc>
                <w:tcPr>
                  <w:tcW w:w="1124"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3</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Cs/>
                      <w:color w:val="auto"/>
                      <w:sz w:val="21"/>
                      <w:szCs w:val="21"/>
                      <w:lang w:eastAsia="zh-CN"/>
                    </w:rPr>
                    <w:t>切削液</w:t>
                  </w:r>
                </w:p>
              </w:tc>
              <w:tc>
                <w:tcPr>
                  <w:tcW w:w="125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sz w:val="21"/>
                      <w:szCs w:val="21"/>
                      <w:vertAlign w:val="baseline"/>
                      <w:lang w:val="en-US" w:eastAsia="zh-CN"/>
                    </w:rPr>
                    <w:t>油类物质</w:t>
                  </w:r>
                </w:p>
              </w:tc>
              <w:tc>
                <w:tcPr>
                  <w:tcW w:w="1058"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0.05</w:t>
                  </w:r>
                  <w:r>
                    <w:rPr>
                      <w:rFonts w:hint="default" w:ascii="Times New Roman" w:hAnsi="Times New Roman" w:cs="Times New Roman"/>
                      <w:b w:val="0"/>
                      <w:bCs/>
                      <w:color w:val="auto"/>
                      <w:sz w:val="21"/>
                      <w:szCs w:val="21"/>
                      <w:vertAlign w:val="baseline"/>
                      <w:lang w:val="en-US" w:eastAsia="zh-CN"/>
                    </w:rPr>
                    <w:t>t</w:t>
                  </w:r>
                </w:p>
              </w:tc>
              <w:tc>
                <w:tcPr>
                  <w:tcW w:w="1353"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sz w:val="21"/>
                      <w:szCs w:val="21"/>
                      <w:vertAlign w:val="baseline"/>
                      <w:lang w:val="en-US" w:eastAsia="zh-CN"/>
                    </w:rPr>
                    <w:t>2500t</w:t>
                  </w:r>
                </w:p>
              </w:tc>
              <w:tc>
                <w:tcPr>
                  <w:tcW w:w="1124"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2" w:type="dxa"/>
                  <w:gridSpan w:val="6"/>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合计</w:t>
                  </w:r>
                </w:p>
              </w:tc>
              <w:tc>
                <w:tcPr>
                  <w:tcW w:w="1124"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0.000</w:t>
                  </w:r>
                  <w:r>
                    <w:rPr>
                      <w:rFonts w:hint="eastAsia"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08</w:t>
                  </w:r>
                </w:p>
              </w:tc>
            </w:tr>
          </w:tbl>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0"/>
                <w:sz w:val="21"/>
                <w:szCs w:val="21"/>
                <w:lang w:val="en-US" w:eastAsia="zh-CN" w:bidi="ar-SA"/>
              </w:rPr>
              <w:t>根据上表知，本项目所使用的各类原辅料中，q</w:t>
            </w:r>
            <w:r>
              <w:rPr>
                <w:rFonts w:hint="default" w:ascii="Times New Roman" w:hAnsi="Times New Roman" w:eastAsia="宋体" w:cs="Times New Roman"/>
                <w:b w:val="0"/>
                <w:bCs/>
                <w:color w:val="auto"/>
                <w:kern w:val="0"/>
                <w:sz w:val="21"/>
                <w:szCs w:val="21"/>
                <w:vertAlign w:val="subscript"/>
                <w:lang w:val="en-US" w:eastAsia="zh-CN" w:bidi="ar-SA"/>
              </w:rPr>
              <w:t>n</w:t>
            </w:r>
            <w:r>
              <w:rPr>
                <w:rFonts w:hint="default" w:ascii="Times New Roman" w:hAnsi="Times New Roman" w:eastAsia="宋体" w:cs="Times New Roman"/>
                <w:b w:val="0"/>
                <w:bCs/>
                <w:color w:val="auto"/>
                <w:kern w:val="0"/>
                <w:sz w:val="21"/>
                <w:szCs w:val="21"/>
                <w:lang w:val="en-US" w:eastAsia="zh-CN" w:bidi="ar-SA"/>
              </w:rPr>
              <w:t>/Q</w:t>
            </w:r>
            <w:r>
              <w:rPr>
                <w:rFonts w:hint="default" w:ascii="Times New Roman" w:hAnsi="Times New Roman" w:eastAsia="宋体" w:cs="Times New Roman"/>
                <w:b w:val="0"/>
                <w:bCs/>
                <w:color w:val="auto"/>
                <w:kern w:val="0"/>
                <w:sz w:val="21"/>
                <w:szCs w:val="21"/>
                <w:vertAlign w:val="subscript"/>
                <w:lang w:val="en-US" w:eastAsia="zh-CN" w:bidi="ar-SA"/>
              </w:rPr>
              <w:t>n</w:t>
            </w:r>
            <w:r>
              <w:rPr>
                <w:rFonts w:hint="default" w:ascii="Times New Roman" w:hAnsi="Times New Roman" w:eastAsia="宋体" w:cs="Times New Roman"/>
                <w:b w:val="0"/>
                <w:bCs/>
                <w:color w:val="auto"/>
                <w:kern w:val="0"/>
                <w:sz w:val="21"/>
                <w:szCs w:val="21"/>
                <w:lang w:val="en-US" w:eastAsia="zh-CN" w:bidi="ar-SA"/>
              </w:rPr>
              <w:t>之和为</w:t>
            </w:r>
            <w:r>
              <w:rPr>
                <w:rFonts w:hint="default" w:ascii="Times New Roman" w:hAnsi="Times New Roman" w:eastAsia="宋体" w:cs="Times New Roman"/>
                <w:b w:val="0"/>
                <w:bCs/>
                <w:color w:val="auto"/>
                <w:sz w:val="21"/>
                <w:szCs w:val="21"/>
                <w:vertAlign w:val="baseline"/>
                <w:lang w:val="en-US" w:eastAsia="zh-CN"/>
              </w:rPr>
              <w:t>0.000</w:t>
            </w:r>
            <w:r>
              <w:rPr>
                <w:rFonts w:hint="eastAsia"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08</w:t>
            </w:r>
            <w:r>
              <w:rPr>
                <w:rFonts w:hint="default" w:ascii="Times New Roman" w:hAnsi="Times New Roman" w:eastAsia="宋体" w:cs="Times New Roman"/>
                <w:b w:val="0"/>
                <w:bCs/>
                <w:color w:val="auto"/>
                <w:kern w:val="0"/>
                <w:sz w:val="21"/>
                <w:szCs w:val="21"/>
                <w:lang w:val="en-US" w:eastAsia="zh-CN" w:bidi="ar-SA"/>
              </w:rPr>
              <w:t>，小于1，根据《建设项目环境风评价技术导则》（HJ169-2018）环境风险评价工作等级划分</w:t>
            </w:r>
            <w:r>
              <w:rPr>
                <w:rFonts w:hint="default" w:ascii="Times New Roman" w:hAnsi="Times New Roman" w:cs="Times New Roman"/>
                <w:b w:val="0"/>
                <w:bCs/>
                <w:color w:val="auto"/>
                <w:kern w:val="0"/>
                <w:sz w:val="21"/>
                <w:szCs w:val="21"/>
                <w:lang w:val="en-US" w:eastAsia="zh-CN" w:bidi="ar-SA"/>
              </w:rPr>
              <w:t>可知</w:t>
            </w: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kern w:val="0"/>
                <w:sz w:val="21"/>
                <w:szCs w:val="21"/>
                <w:lang w:val="en-US" w:eastAsia="zh-CN" w:bidi="ar-SA"/>
              </w:rPr>
              <w:t>本项目的环境风险潜势直接判定为I，</w:t>
            </w:r>
            <w:r>
              <w:rPr>
                <w:rFonts w:hint="default" w:ascii="Times New Roman" w:hAnsi="Times New Roman" w:eastAsia="宋体" w:cs="Times New Roman"/>
                <w:b w:val="0"/>
                <w:bCs/>
                <w:color w:val="auto"/>
                <w:sz w:val="21"/>
                <w:szCs w:val="21"/>
                <w:lang w:val="en-US" w:eastAsia="zh-CN"/>
              </w:rPr>
              <w:t>仅需进行简单分析。</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2、可能影响途径</w:t>
            </w:r>
          </w:p>
          <w:p>
            <w:pPr>
              <w:pStyle w:val="34"/>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根据《建设项目环境风险评价技术导则》（HJ169-2018）和《环境风险评价使用技术和方法》规定，风险评价首先要确定建设项目所用原辅材料的毒性、易燃易爆性等危险性级别。本项目运营期环境风险主要包括：</w:t>
            </w:r>
            <w:r>
              <w:rPr>
                <w:rFonts w:hint="default" w:ascii="Times New Roman" w:hAnsi="Times New Roman" w:cs="Times New Roman"/>
                <w:snapToGrid w:val="0"/>
                <w:color w:val="auto"/>
                <w:spacing w:val="4"/>
                <w:sz w:val="21"/>
                <w:szCs w:val="21"/>
                <w:highlight w:val="none"/>
                <w:lang w:val="en-US" w:eastAsia="zh-CN"/>
              </w:rPr>
              <w:t>液压油、机油、切削液</w:t>
            </w:r>
            <w:r>
              <w:rPr>
                <w:rFonts w:hint="default" w:ascii="Times New Roman" w:hAnsi="Times New Roman" w:cs="Times New Roman"/>
                <w:b w:val="0"/>
                <w:bCs/>
                <w:color w:val="auto"/>
                <w:sz w:val="21"/>
                <w:szCs w:val="21"/>
                <w:lang w:val="en-US" w:eastAsia="zh-CN"/>
              </w:rPr>
              <w:t>储放过程中保管不严密，发生泄漏，从而导致环境污染事故；油品泄漏引起的火灾事故。</w:t>
            </w:r>
          </w:p>
          <w:p>
            <w:pPr>
              <w:pStyle w:val="34"/>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环境风险防范措施</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（1）生产区</w:t>
            </w:r>
            <w:r>
              <w:rPr>
                <w:rFonts w:hint="default" w:ascii="Times New Roman" w:hAnsi="Times New Roman" w:eastAsia="宋体" w:cs="Times New Roman"/>
                <w:b w:val="0"/>
                <w:bCs/>
                <w:color w:val="auto"/>
                <w:sz w:val="21"/>
                <w:szCs w:val="21"/>
                <w:lang w:val="en-US" w:eastAsia="zh-CN"/>
              </w:rPr>
              <w:t>环境风险防范措施</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82"/>
              <w:textAlignment w:val="auto"/>
              <w:rPr>
                <w:rFonts w:hint="default" w:ascii="Times New Roman" w:hAnsi="Times New Roman" w:cs="Times New Roman"/>
                <w:b w:val="0"/>
                <w:bCs/>
                <w:color w:val="auto"/>
                <w:sz w:val="21"/>
                <w:szCs w:val="21"/>
                <w:lang w:bidi="ar"/>
              </w:rPr>
            </w:pPr>
            <w:r>
              <w:rPr>
                <w:rFonts w:hint="default" w:ascii="Times New Roman" w:hAnsi="Times New Roman" w:eastAsia="宋体" w:cs="Times New Roman"/>
                <w:b w:val="0"/>
                <w:bCs/>
                <w:color w:val="auto"/>
                <w:kern w:val="0"/>
                <w:sz w:val="21"/>
                <w:szCs w:val="21"/>
                <w:lang w:val="en-US" w:eastAsia="zh-CN" w:bidi="ar"/>
              </w:rPr>
              <w:t>车间生产区地面做防渗处理，</w:t>
            </w:r>
            <w:r>
              <w:rPr>
                <w:rFonts w:hint="default" w:ascii="Times New Roman" w:hAnsi="Times New Roman" w:cs="Times New Roman"/>
                <w:b w:val="0"/>
                <w:bCs/>
                <w:color w:val="auto"/>
                <w:sz w:val="21"/>
                <w:szCs w:val="21"/>
                <w:lang w:bidi="ar"/>
              </w:rPr>
              <w:t>使用</w:t>
            </w:r>
            <w:r>
              <w:rPr>
                <w:rFonts w:hint="default" w:ascii="Times New Roman" w:hAnsi="Times New Roman" w:cs="Times New Roman"/>
                <w:b w:val="0"/>
                <w:bCs/>
                <w:color w:val="auto"/>
                <w:sz w:val="21"/>
                <w:szCs w:val="21"/>
                <w:lang w:val="en-US" w:eastAsia="zh-CN" w:bidi="ar"/>
              </w:rPr>
              <w:t>油</w:t>
            </w:r>
            <w:r>
              <w:rPr>
                <w:rFonts w:hint="default" w:ascii="Times New Roman" w:hAnsi="Times New Roman" w:cs="Times New Roman"/>
                <w:b w:val="0"/>
                <w:bCs/>
                <w:color w:val="auto"/>
                <w:sz w:val="21"/>
                <w:szCs w:val="21"/>
                <w:lang w:bidi="ar"/>
              </w:rPr>
              <w:t>品的设备应设置托盘用来收集跑、冒、滴、漏的液体，托盘应设置合理的容积，确保在生产过程中溢出的</w:t>
            </w:r>
            <w:r>
              <w:rPr>
                <w:rFonts w:hint="default" w:ascii="Times New Roman" w:hAnsi="Times New Roman" w:cs="Times New Roman"/>
                <w:b w:val="0"/>
                <w:bCs/>
                <w:color w:val="auto"/>
                <w:sz w:val="21"/>
                <w:szCs w:val="21"/>
                <w:lang w:val="en-US" w:eastAsia="zh-CN" w:bidi="ar"/>
              </w:rPr>
              <w:t>油类</w:t>
            </w:r>
            <w:r>
              <w:rPr>
                <w:rFonts w:hint="default" w:ascii="Times New Roman" w:hAnsi="Times New Roman" w:cs="Times New Roman"/>
                <w:b w:val="0"/>
                <w:bCs/>
                <w:color w:val="auto"/>
                <w:sz w:val="21"/>
                <w:szCs w:val="21"/>
                <w:lang w:bidi="ar"/>
              </w:rPr>
              <w:t>物质能全部收集。</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（2）风险物质存储</w:t>
            </w:r>
            <w:r>
              <w:rPr>
                <w:rFonts w:hint="default" w:ascii="Times New Roman" w:hAnsi="Times New Roman" w:eastAsia="宋体" w:cs="Times New Roman"/>
                <w:b w:val="0"/>
                <w:bCs/>
                <w:color w:val="auto"/>
                <w:sz w:val="21"/>
                <w:szCs w:val="21"/>
                <w:lang w:val="en-US" w:eastAsia="zh-CN"/>
              </w:rPr>
              <w:t>环境风险防范措施</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cs="Times New Roman"/>
                <w:color w:val="auto"/>
                <w:sz w:val="21"/>
                <w:szCs w:val="21"/>
                <w:lang w:bidi="ar"/>
              </w:rPr>
            </w:pPr>
            <w:r>
              <w:rPr>
                <w:rFonts w:hint="default" w:ascii="Times New Roman" w:hAnsi="Times New Roman" w:cs="Times New Roman"/>
                <w:b w:val="0"/>
                <w:bCs/>
                <w:color w:val="auto"/>
                <w:sz w:val="21"/>
                <w:szCs w:val="21"/>
                <w:lang w:val="en-US" w:eastAsia="zh-CN" w:bidi="ar"/>
              </w:rPr>
              <w:t>油品</w:t>
            </w:r>
            <w:r>
              <w:rPr>
                <w:rFonts w:hint="default" w:ascii="Times New Roman" w:hAnsi="Times New Roman" w:cs="Times New Roman"/>
                <w:b w:val="0"/>
                <w:bCs/>
                <w:color w:val="auto"/>
                <w:sz w:val="21"/>
                <w:szCs w:val="21"/>
                <w:lang w:bidi="ar"/>
              </w:rPr>
              <w:t>在储存过程中严格遵从储存条件，并与其相应的禁忌物分开。</w:t>
            </w:r>
            <w:r>
              <w:rPr>
                <w:rFonts w:hint="default" w:ascii="Times New Roman" w:hAnsi="Times New Roman" w:cs="Times New Roman"/>
                <w:b w:val="0"/>
                <w:bCs/>
                <w:color w:val="auto"/>
                <w:sz w:val="21"/>
                <w:szCs w:val="21"/>
                <w:lang w:val="en-US" w:eastAsia="zh-CN" w:bidi="ar"/>
              </w:rPr>
              <w:t>油品</w:t>
            </w:r>
            <w:r>
              <w:rPr>
                <w:rFonts w:hint="default" w:ascii="Times New Roman" w:hAnsi="Times New Roman" w:cs="Times New Roman"/>
                <w:b w:val="0"/>
                <w:bCs/>
                <w:color w:val="auto"/>
                <w:sz w:val="21"/>
                <w:szCs w:val="21"/>
                <w:lang w:bidi="ar"/>
              </w:rPr>
              <w:t>储存于通风、阴凉和干燥的地方，存放区域四周禁止有火源。地面做好防渗处理；</w:t>
            </w:r>
            <w:r>
              <w:rPr>
                <w:rFonts w:hint="default" w:ascii="Times New Roman" w:hAnsi="Times New Roman" w:cs="Times New Roman"/>
                <w:b w:val="0"/>
                <w:bCs/>
                <w:color w:val="auto"/>
                <w:sz w:val="21"/>
                <w:szCs w:val="21"/>
                <w:lang w:val="en-US" w:eastAsia="zh-CN" w:bidi="ar"/>
              </w:rPr>
              <w:t>油</w:t>
            </w:r>
            <w:r>
              <w:rPr>
                <w:rFonts w:hint="default" w:ascii="Times New Roman" w:hAnsi="Times New Roman" w:cs="Times New Roman"/>
                <w:b w:val="0"/>
                <w:bCs/>
                <w:color w:val="auto"/>
                <w:sz w:val="21"/>
                <w:szCs w:val="21"/>
                <w:lang w:eastAsia="zh-CN" w:bidi="ar"/>
              </w:rPr>
              <w:t>品存储区应</w:t>
            </w:r>
            <w:r>
              <w:rPr>
                <w:rFonts w:hint="default" w:ascii="Times New Roman" w:hAnsi="Times New Roman" w:cs="Times New Roman"/>
                <w:b w:val="0"/>
                <w:bCs/>
                <w:color w:val="auto"/>
                <w:sz w:val="21"/>
                <w:szCs w:val="21"/>
                <w:lang w:bidi="ar"/>
              </w:rPr>
              <w:t>设置围堰用于拦截事故泄露</w:t>
            </w:r>
            <w:r>
              <w:rPr>
                <w:rFonts w:hint="default" w:ascii="Times New Roman" w:hAnsi="Times New Roman" w:cs="Times New Roman"/>
                <w:color w:val="auto"/>
                <w:sz w:val="21"/>
                <w:szCs w:val="21"/>
                <w:lang w:bidi="ar"/>
              </w:rPr>
              <w:t>时的物料和可能产生的废液。</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危险废物暂存区地面做好防渗处理，设置围堰。张贴禁止火源的标志，四周禁止有火源。禁止混入不相容的危险废物，地面做好防漏防渗处理，收集的废液同其他危险废物一并定期送有资质的危险废物处置单位处置。</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在</w:t>
            </w:r>
            <w:r>
              <w:rPr>
                <w:rFonts w:hint="default" w:ascii="Times New Roman" w:hAnsi="Times New Roman" w:cs="Times New Roman"/>
                <w:b w:val="0"/>
                <w:bCs/>
                <w:color w:val="auto"/>
                <w:sz w:val="21"/>
                <w:szCs w:val="21"/>
                <w:lang w:val="en-US" w:eastAsia="zh-CN" w:bidi="ar"/>
              </w:rPr>
              <w:t>油品</w:t>
            </w:r>
            <w:r>
              <w:rPr>
                <w:rFonts w:hint="default" w:ascii="Times New Roman" w:hAnsi="Times New Roman" w:cs="Times New Roman"/>
                <w:color w:val="auto"/>
                <w:sz w:val="21"/>
                <w:szCs w:val="21"/>
                <w:lang w:bidi="ar"/>
              </w:rPr>
              <w:t>运输过程中可能发生交通事故等</w:t>
            </w:r>
            <w:r>
              <w:rPr>
                <w:rFonts w:hint="default" w:ascii="Times New Roman" w:hAnsi="Times New Roman" w:cs="Times New Roman"/>
                <w:color w:val="auto"/>
                <w:sz w:val="21"/>
                <w:szCs w:val="21"/>
                <w:lang w:eastAsia="zh-CN" w:bidi="ar"/>
              </w:rPr>
              <w:t>意外</w:t>
            </w:r>
            <w:r>
              <w:rPr>
                <w:rFonts w:hint="default" w:ascii="Times New Roman" w:hAnsi="Times New Roman" w:cs="Times New Roman"/>
                <w:color w:val="auto"/>
                <w:sz w:val="21"/>
                <w:szCs w:val="21"/>
                <w:lang w:bidi="ar"/>
              </w:rPr>
              <w:t>，导致</w:t>
            </w:r>
            <w:r>
              <w:rPr>
                <w:rFonts w:hint="default" w:ascii="Times New Roman" w:hAnsi="Times New Roman" w:cs="Times New Roman"/>
                <w:b w:val="0"/>
                <w:bCs/>
                <w:color w:val="auto"/>
                <w:sz w:val="21"/>
                <w:szCs w:val="21"/>
                <w:lang w:val="en-US" w:eastAsia="zh-CN" w:bidi="ar"/>
              </w:rPr>
              <w:t>油</w:t>
            </w:r>
            <w:r>
              <w:rPr>
                <w:rFonts w:hint="default" w:ascii="Times New Roman" w:hAnsi="Times New Roman" w:cs="Times New Roman"/>
                <w:b w:val="0"/>
                <w:bCs/>
                <w:color w:val="auto"/>
                <w:sz w:val="21"/>
                <w:szCs w:val="21"/>
                <w:lang w:eastAsia="zh-CN" w:bidi="ar"/>
              </w:rPr>
              <w:t>品</w:t>
            </w:r>
            <w:r>
              <w:rPr>
                <w:rFonts w:hint="default" w:ascii="Times New Roman" w:hAnsi="Times New Roman" w:cs="Times New Roman"/>
                <w:color w:val="auto"/>
                <w:sz w:val="21"/>
                <w:szCs w:val="21"/>
                <w:lang w:bidi="ar"/>
              </w:rPr>
              <w:t>泄漏，形成大气、水体和土壤污染。委托有相关资质的社会车辆进行运输，运输过程中应严格控制车速，将</w:t>
            </w:r>
            <w:r>
              <w:rPr>
                <w:rFonts w:hint="default" w:ascii="Times New Roman" w:hAnsi="Times New Roman" w:cs="Times New Roman"/>
                <w:b w:val="0"/>
                <w:bCs/>
                <w:color w:val="auto"/>
                <w:sz w:val="21"/>
                <w:szCs w:val="21"/>
                <w:lang w:val="en-US" w:eastAsia="zh-CN" w:bidi="ar"/>
              </w:rPr>
              <w:t>油</w:t>
            </w:r>
            <w:r>
              <w:rPr>
                <w:rFonts w:hint="default" w:ascii="Times New Roman" w:hAnsi="Times New Roman" w:cs="Times New Roman"/>
                <w:b w:val="0"/>
                <w:bCs/>
                <w:color w:val="auto"/>
                <w:sz w:val="21"/>
                <w:szCs w:val="21"/>
                <w:lang w:eastAsia="zh-CN" w:bidi="ar"/>
              </w:rPr>
              <w:t>品</w:t>
            </w:r>
            <w:r>
              <w:rPr>
                <w:rFonts w:hint="default" w:ascii="Times New Roman" w:hAnsi="Times New Roman" w:cs="Times New Roman"/>
                <w:color w:val="auto"/>
                <w:sz w:val="21"/>
                <w:szCs w:val="21"/>
                <w:lang w:bidi="ar"/>
              </w:rPr>
              <w:t>固定在车内，预防发生颠簸后</w:t>
            </w:r>
            <w:r>
              <w:rPr>
                <w:rFonts w:hint="default" w:ascii="Times New Roman" w:hAnsi="Times New Roman" w:cs="Times New Roman"/>
                <w:b w:val="0"/>
                <w:bCs/>
                <w:color w:val="auto"/>
                <w:sz w:val="21"/>
                <w:szCs w:val="21"/>
                <w:lang w:val="en-US" w:eastAsia="zh-CN" w:bidi="ar"/>
              </w:rPr>
              <w:t>油</w:t>
            </w:r>
            <w:r>
              <w:rPr>
                <w:rFonts w:hint="default" w:ascii="Times New Roman" w:hAnsi="Times New Roman" w:cs="Times New Roman"/>
                <w:b w:val="0"/>
                <w:bCs/>
                <w:color w:val="auto"/>
                <w:sz w:val="21"/>
                <w:szCs w:val="21"/>
                <w:lang w:eastAsia="zh-CN" w:bidi="ar"/>
              </w:rPr>
              <w:t>品</w:t>
            </w:r>
            <w:r>
              <w:rPr>
                <w:rFonts w:hint="default" w:ascii="Times New Roman" w:hAnsi="Times New Roman" w:cs="Times New Roman"/>
                <w:color w:val="auto"/>
                <w:sz w:val="21"/>
                <w:szCs w:val="21"/>
                <w:lang w:bidi="ar"/>
              </w:rPr>
              <w:t>泄漏，运输过程做到防晒、限速等。</w:t>
            </w:r>
          </w:p>
          <w:p>
            <w:pPr>
              <w:pStyle w:val="34"/>
              <w:keepNext w:val="0"/>
              <w:keepLines w:val="0"/>
              <w:pageBreakBefore w:val="0"/>
              <w:widowControl w:val="0"/>
              <w:kinsoku/>
              <w:wordWrap/>
              <w:overflowPunct/>
              <w:topLinePunct w:val="0"/>
              <w:autoSpaceDE w:val="0"/>
              <w:autoSpaceDN w:val="0"/>
              <w:bidi w:val="0"/>
              <w:adjustRightInd w:val="0"/>
              <w:snapToGrid w:val="0"/>
              <w:spacing w:line="348" w:lineRule="auto"/>
              <w:ind w:firstLine="420" w:firstLineChars="200"/>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 w:val="0"/>
                <w:bCs/>
                <w:color w:val="auto"/>
                <w:sz w:val="21"/>
                <w:szCs w:val="21"/>
                <w:lang w:val="en-US" w:eastAsia="zh-CN"/>
              </w:rPr>
              <w:t>（3）</w:t>
            </w:r>
            <w:r>
              <w:rPr>
                <w:rFonts w:hint="default" w:ascii="Times New Roman" w:hAnsi="Times New Roman" w:cs="Times New Roman"/>
                <w:bCs/>
                <w:color w:val="auto"/>
                <w:sz w:val="21"/>
                <w:szCs w:val="21"/>
                <w:lang w:eastAsia="zh-CN"/>
              </w:rPr>
              <w:t>加强环境风险管理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建设方应配备符合生产或者储存需要的管理人员和技术人员，有健全的安全管理制度。建立完善的安全生产规章制度和操作规程，严格按操作规程生产。加强环保设施运行管理，确保其正常、高效</w:t>
            </w:r>
            <w:r>
              <w:rPr>
                <w:rFonts w:hint="eastAsia" w:cs="Times New Roman"/>
                <w:bCs/>
                <w:color w:val="auto"/>
                <w:sz w:val="21"/>
                <w:szCs w:val="21"/>
                <w:lang w:eastAsia="zh-CN"/>
              </w:rPr>
              <w:t>地</w:t>
            </w:r>
            <w:r>
              <w:rPr>
                <w:rFonts w:hint="default" w:ascii="Times New Roman" w:hAnsi="Times New Roman" w:cs="Times New Roman"/>
                <w:bCs/>
                <w:color w:val="auto"/>
                <w:sz w:val="21"/>
                <w:szCs w:val="21"/>
                <w:lang w:eastAsia="zh-CN"/>
              </w:rPr>
              <w:t>运转。企业</w:t>
            </w:r>
            <w:r>
              <w:rPr>
                <w:rFonts w:hint="default" w:ascii="Times New Roman" w:hAnsi="Times New Roman" w:eastAsia="宋体" w:cs="Times New Roman"/>
                <w:bCs/>
                <w:color w:val="auto"/>
                <w:sz w:val="21"/>
                <w:szCs w:val="21"/>
                <w:highlight w:val="none"/>
                <w:lang w:eastAsia="zh-CN"/>
              </w:rPr>
              <w:t>涉及的风险</w:t>
            </w:r>
            <w:r>
              <w:rPr>
                <w:rFonts w:hint="default" w:ascii="Times New Roman" w:hAnsi="Times New Roman" w:cs="Times New Roman"/>
                <w:bCs/>
                <w:color w:val="auto"/>
                <w:sz w:val="21"/>
                <w:szCs w:val="21"/>
                <w:highlight w:val="none"/>
                <w:lang w:eastAsia="zh-CN"/>
              </w:rPr>
              <w:t>物质</w:t>
            </w:r>
            <w:r>
              <w:rPr>
                <w:rFonts w:hint="default" w:ascii="Times New Roman" w:hAnsi="Times New Roman" w:cs="Times New Roman"/>
                <w:bCs/>
                <w:color w:val="auto"/>
                <w:sz w:val="21"/>
                <w:szCs w:val="21"/>
                <w:lang w:eastAsia="zh-CN"/>
              </w:rPr>
              <w:t>的区域应配置易燃物标志、消防栓等，禁止在周围吸烟等。操作人员必须经过专门的培训，严格遵守操作规程。远离火种、热源，工作场所严禁吸烟。远离易燃、可燃物。配备相应品种和数量的消防器材及</w:t>
            </w:r>
            <w:r>
              <w:rPr>
                <w:rFonts w:hint="eastAsia" w:cs="Times New Roman"/>
                <w:bCs/>
                <w:color w:val="auto"/>
                <w:sz w:val="21"/>
                <w:szCs w:val="21"/>
                <w:lang w:eastAsia="zh-CN"/>
              </w:rPr>
              <w:t>泄漏</w:t>
            </w:r>
            <w:r>
              <w:rPr>
                <w:rFonts w:hint="default" w:ascii="Times New Roman" w:hAnsi="Times New Roman" w:cs="Times New Roman"/>
                <w:bCs/>
                <w:color w:val="auto"/>
                <w:sz w:val="21"/>
                <w:szCs w:val="21"/>
                <w:lang w:eastAsia="zh-CN"/>
              </w:rPr>
              <w:t>应急处理设备。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 w:val="0"/>
                <w:bCs/>
                <w:color w:val="auto"/>
                <w:sz w:val="21"/>
                <w:szCs w:val="21"/>
                <w:lang w:val="en-US" w:eastAsia="zh-CN"/>
              </w:rPr>
              <w:t>（4）</w:t>
            </w:r>
            <w:r>
              <w:rPr>
                <w:rFonts w:hint="default" w:ascii="Times New Roman" w:hAnsi="Times New Roman" w:cs="Times New Roman"/>
                <w:bCs/>
                <w:color w:val="auto"/>
                <w:sz w:val="21"/>
                <w:szCs w:val="21"/>
                <w:lang w:eastAsia="zh-CN"/>
              </w:rPr>
              <w:t>对厂区进行分区防渗。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根据可能产生污染的区域，将项目所在区域划分为重点防渗区、一般防渗区、简单防渗区。为了防止本工程对当地的土壤产生不利影响，建设单位对危废暂存间、</w:t>
            </w:r>
            <w:r>
              <w:rPr>
                <w:rFonts w:hint="default" w:ascii="Times New Roman" w:hAnsi="Times New Roman" w:cs="Times New Roman"/>
                <w:b w:val="0"/>
                <w:bCs/>
                <w:color w:val="auto"/>
                <w:sz w:val="21"/>
                <w:szCs w:val="21"/>
                <w:lang w:val="en-US" w:eastAsia="zh-CN" w:bidi="ar"/>
              </w:rPr>
              <w:t>油</w:t>
            </w:r>
            <w:r>
              <w:rPr>
                <w:rFonts w:hint="default" w:ascii="Times New Roman" w:hAnsi="Times New Roman" w:cs="Times New Roman"/>
                <w:bCs/>
                <w:color w:val="auto"/>
                <w:sz w:val="21"/>
                <w:szCs w:val="21"/>
                <w:lang w:eastAsia="zh-CN"/>
              </w:rPr>
              <w:t>品存储区、</w:t>
            </w:r>
            <w:r>
              <w:rPr>
                <w:rFonts w:hint="default" w:ascii="Times New Roman" w:hAnsi="Times New Roman" w:cs="Times New Roman"/>
                <w:b w:val="0"/>
                <w:bCs w:val="0"/>
                <w:color w:val="auto"/>
                <w:sz w:val="21"/>
                <w:szCs w:val="21"/>
                <w:lang w:val="en-US" w:eastAsia="zh-CN"/>
              </w:rPr>
              <w:t>隔油池</w:t>
            </w:r>
            <w:r>
              <w:rPr>
                <w:rFonts w:hint="default" w:ascii="Times New Roman" w:hAnsi="Times New Roman" w:cs="Times New Roman"/>
                <w:bCs/>
                <w:color w:val="auto"/>
                <w:sz w:val="21"/>
                <w:szCs w:val="21"/>
                <w:lang w:eastAsia="zh-CN"/>
              </w:rPr>
              <w:t>采取重点防渗措施，一般防渗区为生产区、一般固废区等，其他区域为简单防渗区，普通地面硬化即可。</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制定应急预案。</w:t>
            </w:r>
          </w:p>
          <w:p>
            <w:pPr>
              <w:spacing w:line="360" w:lineRule="auto"/>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根据</w:t>
            </w:r>
            <w:r>
              <w:rPr>
                <w:rFonts w:hint="default" w:ascii="Times New Roman" w:hAnsi="Times New Roman" w:eastAsia="宋体" w:cs="Times New Roman"/>
                <w:color w:val="auto"/>
                <w:sz w:val="21"/>
                <w:szCs w:val="21"/>
                <w:lang w:val="en-US" w:eastAsia="zh-CN" w:bidi="ar"/>
              </w:rPr>
              <w:t>《中华人民共和国固体废物污染环境防治法》</w:t>
            </w:r>
            <w:r>
              <w:rPr>
                <w:rFonts w:hint="default" w:ascii="Times New Roman" w:hAnsi="Times New Roman" w:cs="Times New Roman"/>
                <w:bCs/>
                <w:color w:val="auto"/>
                <w:sz w:val="21"/>
                <w:szCs w:val="21"/>
                <w:lang w:eastAsia="zh-CN"/>
              </w:rPr>
              <w:t>，建设单位应该编制环境风险事故应急预案，并向环境保护主管部门备案。本着立足“自救为主，外援为辅，统一指挥，当机立断”原则，制定防止重大环境污染事故发生的工作计划、消除事故隐患的措施及突发性事故应急处理办法等。一旦出现突发事故，必须按事先拟定的应急预案，进行紧急处理</w:t>
            </w:r>
            <w:r>
              <w:rPr>
                <w:rFonts w:hint="default" w:ascii="Times New Roman" w:hAnsi="Times New Roman" w:cs="Times New Roman"/>
                <w:bCs/>
                <w:color w:val="auto"/>
                <w:sz w:val="21"/>
                <w:szCs w:val="21"/>
              </w:rPr>
              <w:t>。</w:t>
            </w:r>
          </w:p>
          <w:p>
            <w:pPr>
              <w:spacing w:line="36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.2.</w:t>
            </w: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土壤</w:t>
            </w:r>
            <w:r>
              <w:rPr>
                <w:rFonts w:hint="default" w:ascii="Times New Roman" w:hAnsi="Times New Roman" w:cs="Times New Roman"/>
                <w:b/>
                <w:color w:val="auto"/>
                <w:sz w:val="21"/>
                <w:szCs w:val="21"/>
                <w:lang w:eastAsia="zh-CN"/>
              </w:rPr>
              <w:t>、</w:t>
            </w:r>
            <w:r>
              <w:rPr>
                <w:rFonts w:hint="default" w:ascii="Times New Roman" w:hAnsi="Times New Roman" w:cs="Times New Roman"/>
                <w:b/>
                <w:color w:val="auto"/>
                <w:sz w:val="21"/>
                <w:szCs w:val="21"/>
                <w:lang w:val="en-US" w:eastAsia="zh-CN"/>
              </w:rPr>
              <w:t>地下水</w:t>
            </w:r>
            <w:r>
              <w:rPr>
                <w:rFonts w:hint="default" w:ascii="Times New Roman" w:hAnsi="Times New Roman" w:cs="Times New Roman"/>
                <w:b/>
                <w:color w:val="auto"/>
                <w:sz w:val="21"/>
                <w:szCs w:val="21"/>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bidi="ar"/>
              </w:rPr>
              <w:t>本项目运营期废气</w:t>
            </w:r>
            <w:r>
              <w:rPr>
                <w:rFonts w:hint="default" w:ascii="Times New Roman" w:hAnsi="Times New Roman" w:cs="Times New Roman"/>
                <w:color w:val="auto"/>
                <w:sz w:val="21"/>
                <w:szCs w:val="21"/>
                <w:lang w:eastAsia="zh-CN" w:bidi="ar"/>
              </w:rPr>
              <w:t>不涉及重金属、</w:t>
            </w:r>
            <w:r>
              <w:rPr>
                <w:rFonts w:hint="default" w:ascii="Times New Roman" w:hAnsi="Times New Roman" w:cs="Times New Roman"/>
                <w:color w:val="auto"/>
                <w:sz w:val="21"/>
                <w:szCs w:val="21"/>
                <w:lang w:bidi="ar"/>
              </w:rPr>
              <w:t>甲苯、二甲苯</w:t>
            </w:r>
            <w:r>
              <w:rPr>
                <w:rFonts w:hint="default" w:ascii="Times New Roman" w:hAnsi="Times New Roman" w:cs="Times New Roman"/>
                <w:color w:val="auto"/>
                <w:sz w:val="21"/>
                <w:szCs w:val="21"/>
                <w:lang w:eastAsia="zh-CN" w:bidi="ar"/>
              </w:rPr>
              <w:t>等持久性有机污染物，故不</w:t>
            </w:r>
            <w:r>
              <w:rPr>
                <w:rFonts w:hint="default" w:ascii="Times New Roman" w:hAnsi="Times New Roman" w:cs="Times New Roman"/>
                <w:color w:val="auto"/>
                <w:sz w:val="21"/>
                <w:szCs w:val="21"/>
                <w:lang w:bidi="ar"/>
              </w:rPr>
              <w:t>存在大气沉降对土壤环境的影响。</w:t>
            </w:r>
            <w:r>
              <w:rPr>
                <w:rFonts w:hint="default" w:ascii="Times New Roman" w:hAnsi="Times New Roman" w:cs="Times New Roman"/>
                <w:color w:val="auto"/>
                <w:kern w:val="2"/>
                <w:sz w:val="21"/>
                <w:szCs w:val="24"/>
                <w:lang w:val="en-US" w:eastAsia="zh-CN" w:bidi="ar-SA"/>
              </w:rPr>
              <w:t>本项目对厂区采取分区防渗处理，危废暂存间、油品存储区、隔油池采取重点防渗处理后，项目基本无污染土壤及地下水环境影响途径。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08" w:firstLineChars="200"/>
              <w:textAlignment w:val="auto"/>
              <w:outlineLvl w:val="9"/>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rPr>
              <w:t>本项目建成后，为防止产生的污染物对土壤的污染，厂区应采取以下措施：</w:t>
            </w:r>
          </w:p>
          <w:p>
            <w:pPr>
              <w:keepNext w:val="0"/>
              <w:keepLines w:val="0"/>
              <w:pageBreakBefore w:val="0"/>
              <w:widowControl w:val="0"/>
              <w:numPr>
                <w:ilvl w:val="0"/>
                <w:numId w:val="4"/>
              </w:numPr>
              <w:kinsoku/>
              <w:wordWrap/>
              <w:overflowPunct/>
              <w:topLinePunct w:val="0"/>
              <w:autoSpaceDE/>
              <w:autoSpaceDN/>
              <w:bidi w:val="0"/>
              <w:adjustRightInd w:val="0"/>
              <w:snapToGrid w:val="0"/>
              <w:spacing w:line="348" w:lineRule="auto"/>
              <w:ind w:firstLine="408" w:firstLineChars="200"/>
              <w:textAlignment w:val="auto"/>
              <w:outlineLvl w:val="9"/>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rPr>
              <w:t>危险废物严格按要求进行处理，严禁随意倾倒、丢弃；企业合理分类收集危险废物，各类危险废物暂存设施应满足《危险废物贮存污染控制标准》的要求。贮存场所要</w:t>
            </w:r>
            <w:r>
              <w:rPr>
                <w:rFonts w:hint="default" w:ascii="Times New Roman" w:hAnsi="Times New Roman" w:eastAsia="宋体" w:cs="Times New Roman"/>
                <w:color w:val="auto"/>
                <w:sz w:val="21"/>
                <w:szCs w:val="21"/>
                <w:lang w:val="en-US" w:eastAsia="zh-CN" w:bidi="ar"/>
              </w:rPr>
              <w:t>防风、防雨、防晒</w:t>
            </w:r>
            <w:r>
              <w:rPr>
                <w:rFonts w:hint="default" w:ascii="Times New Roman" w:hAnsi="Times New Roman"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防流失、防扬散、防渗漏</w:t>
            </w:r>
            <w:r>
              <w:rPr>
                <w:rFonts w:hint="default" w:ascii="Times New Roman" w:hAnsi="Times New Roman" w:cs="Times New Roman"/>
                <w:color w:val="auto"/>
                <w:spacing w:val="-3"/>
                <w:sz w:val="21"/>
                <w:szCs w:val="21"/>
              </w:rPr>
              <w:t>，并设计建造泄漏液体收集装置。</w:t>
            </w:r>
          </w:p>
          <w:p>
            <w:pPr>
              <w:keepNext w:val="0"/>
              <w:keepLines w:val="0"/>
              <w:pageBreakBefore w:val="0"/>
              <w:widowControl w:val="0"/>
              <w:numPr>
                <w:ilvl w:val="0"/>
                <w:numId w:val="4"/>
              </w:numPr>
              <w:kinsoku/>
              <w:wordWrap/>
              <w:overflowPunct/>
              <w:topLinePunct w:val="0"/>
              <w:autoSpaceDE/>
              <w:autoSpaceDN/>
              <w:bidi w:val="0"/>
              <w:adjustRightInd w:val="0"/>
              <w:snapToGrid w:val="0"/>
              <w:spacing w:line="348" w:lineRule="auto"/>
              <w:ind w:firstLine="408" w:firstLineChars="200"/>
              <w:textAlignment w:val="auto"/>
              <w:outlineLvl w:val="9"/>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rPr>
              <w:t>根据可能产生污染的区域，将项目所在区域划分为重点防渗区、一般防渗区、简单防渗区。为了防止本工程对当地的土壤产生不利影响，建设单位对</w:t>
            </w:r>
            <w:r>
              <w:rPr>
                <w:rFonts w:hint="default" w:ascii="Times New Roman" w:hAnsi="Times New Roman" w:cs="Times New Roman"/>
                <w:bCs/>
                <w:color w:val="auto"/>
                <w:sz w:val="21"/>
                <w:szCs w:val="21"/>
                <w:lang w:eastAsia="zh-CN"/>
              </w:rPr>
              <w:t>危废暂存间、油品存储区、</w:t>
            </w:r>
            <w:r>
              <w:rPr>
                <w:rFonts w:hint="default" w:ascii="Times New Roman" w:hAnsi="Times New Roman" w:cs="Times New Roman"/>
                <w:b w:val="0"/>
                <w:bCs w:val="0"/>
                <w:color w:val="auto"/>
                <w:sz w:val="21"/>
                <w:szCs w:val="21"/>
                <w:lang w:val="en-US" w:eastAsia="zh-CN"/>
              </w:rPr>
              <w:t>隔油池</w:t>
            </w:r>
            <w:r>
              <w:rPr>
                <w:rFonts w:hint="default" w:ascii="Times New Roman" w:hAnsi="Times New Roman" w:cs="Times New Roman"/>
                <w:color w:val="auto"/>
                <w:spacing w:val="-3"/>
                <w:sz w:val="21"/>
                <w:szCs w:val="21"/>
              </w:rPr>
              <w:t>等采取</w:t>
            </w:r>
            <w:r>
              <w:rPr>
                <w:rFonts w:hint="default" w:ascii="Times New Roman" w:hAnsi="Times New Roman" w:cs="Times New Roman"/>
                <w:color w:val="auto"/>
                <w:spacing w:val="-3"/>
                <w:sz w:val="21"/>
                <w:szCs w:val="21"/>
                <w:lang w:eastAsia="zh-CN"/>
              </w:rPr>
              <w:t>重点</w:t>
            </w:r>
            <w:r>
              <w:rPr>
                <w:rFonts w:hint="default" w:ascii="Times New Roman" w:hAnsi="Times New Roman" w:cs="Times New Roman"/>
                <w:color w:val="auto"/>
                <w:spacing w:val="-3"/>
                <w:sz w:val="21"/>
                <w:szCs w:val="21"/>
              </w:rPr>
              <w:t>防渗措施，防渗要求：等效黏土防渗层Mb≥6.0m，渗透系数K≤1.0×10</w:t>
            </w:r>
            <w:r>
              <w:rPr>
                <w:rFonts w:hint="default" w:ascii="Times New Roman" w:hAnsi="Times New Roman" w:cs="Times New Roman"/>
                <w:color w:val="auto"/>
                <w:spacing w:val="-3"/>
                <w:sz w:val="21"/>
                <w:szCs w:val="21"/>
                <w:vertAlign w:val="superscript"/>
              </w:rPr>
              <w:t>-7</w:t>
            </w:r>
            <w:r>
              <w:rPr>
                <w:rFonts w:hint="default" w:ascii="Times New Roman" w:hAnsi="Times New Roman" w:cs="Times New Roman"/>
                <w:color w:val="auto"/>
                <w:spacing w:val="-3"/>
                <w:sz w:val="21"/>
                <w:szCs w:val="21"/>
              </w:rPr>
              <w:t>cm/s</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pacing w:val="-3"/>
                <w:sz w:val="21"/>
                <w:szCs w:val="21"/>
              </w:rPr>
              <w:t>一般防渗区为生产区、一般固废区等，防渗要求：等效黏土防渗层Mb≥1.5m，渗透系数K≤1.0×10</w:t>
            </w:r>
            <w:r>
              <w:rPr>
                <w:rFonts w:hint="default" w:ascii="Times New Roman" w:hAnsi="Times New Roman" w:cs="Times New Roman"/>
                <w:color w:val="auto"/>
                <w:spacing w:val="-3"/>
                <w:sz w:val="21"/>
                <w:szCs w:val="21"/>
                <w:vertAlign w:val="superscript"/>
              </w:rPr>
              <w:t>-7</w:t>
            </w:r>
            <w:r>
              <w:rPr>
                <w:rFonts w:hint="default" w:ascii="Times New Roman" w:hAnsi="Times New Roman" w:cs="Times New Roman"/>
                <w:color w:val="auto"/>
                <w:spacing w:val="-3"/>
                <w:sz w:val="21"/>
                <w:szCs w:val="21"/>
              </w:rPr>
              <w:t>cm/s</w:t>
            </w:r>
            <w:r>
              <w:rPr>
                <w:rFonts w:hint="default" w:ascii="Times New Roman" w:hAnsi="Times New Roman" w:cs="Times New Roman"/>
                <w:color w:val="auto"/>
                <w:spacing w:val="-3"/>
                <w:sz w:val="21"/>
                <w:szCs w:val="21"/>
                <w:lang w:eastAsia="zh-CN"/>
              </w:rPr>
              <w:t>；其他区域为简单</w:t>
            </w:r>
            <w:r>
              <w:rPr>
                <w:rFonts w:hint="default" w:ascii="Times New Roman" w:hAnsi="Times New Roman" w:cs="Times New Roman"/>
                <w:color w:val="auto"/>
                <w:spacing w:val="-3"/>
                <w:sz w:val="21"/>
                <w:szCs w:val="21"/>
              </w:rPr>
              <w:t>防渗区</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pacing w:val="-3"/>
                <w:sz w:val="21"/>
                <w:szCs w:val="21"/>
              </w:rPr>
              <w:t>普通地面硬化</w:t>
            </w:r>
            <w:r>
              <w:rPr>
                <w:rFonts w:hint="default" w:ascii="Times New Roman" w:hAnsi="Times New Roman" w:cs="Times New Roman"/>
                <w:color w:val="auto"/>
                <w:spacing w:val="-3"/>
                <w:sz w:val="21"/>
                <w:szCs w:val="21"/>
                <w:lang w:eastAsia="zh-CN"/>
              </w:rPr>
              <w:t>即可</w:t>
            </w:r>
            <w:r>
              <w:rPr>
                <w:rFonts w:hint="default" w:ascii="Times New Roman" w:hAnsi="Times New Roman" w:cs="Times New Roman"/>
                <w:color w:val="auto"/>
                <w:spacing w:val="-3"/>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ind w:firstLine="408" w:firstLineChars="200"/>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3"/>
                <w:sz w:val="21"/>
                <w:szCs w:val="21"/>
              </w:rPr>
              <w:t>（</w:t>
            </w:r>
            <w:r>
              <w:rPr>
                <w:rFonts w:hint="default" w:ascii="Times New Roman" w:hAnsi="Times New Roman" w:cs="Times New Roman"/>
                <w:color w:val="auto"/>
                <w:spacing w:val="-3"/>
                <w:sz w:val="21"/>
                <w:szCs w:val="21"/>
                <w:lang w:val="en-US" w:eastAsia="zh-CN"/>
              </w:rPr>
              <w:t>3</w:t>
            </w:r>
            <w:r>
              <w:rPr>
                <w:rFonts w:hint="default" w:ascii="Times New Roman" w:hAnsi="Times New Roman" w:cs="Times New Roman"/>
                <w:color w:val="auto"/>
                <w:spacing w:val="-3"/>
                <w:sz w:val="21"/>
                <w:szCs w:val="21"/>
              </w:rPr>
              <w:t>）在生产过程当中做好对设备的维护、检修，切实杜绝“跑、冒、滴、漏”现象发生，同时，应加强关键部位的安全防护、报警措施，以便及时发现事故隐患，采取有效的应对措施以防事故的发生。</w:t>
            </w: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3" w:name="_Hlk54167917"/>
      <w:r>
        <w:rPr>
          <w:rFonts w:hint="default" w:ascii="Times New Roman" w:hAnsi="Times New Roman" w:eastAsia="黑体" w:cs="Times New Roman"/>
          <w:snapToGrid w:val="0"/>
          <w:color w:val="auto"/>
          <w:sz w:val="30"/>
          <w:szCs w:val="30"/>
        </w:rPr>
        <w:t>环境保护措施监督检查清单</w:t>
      </w:r>
      <w:bookmarkEnd w:id="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241"/>
        <w:gridCol w:w="1058"/>
        <w:gridCol w:w="2821"/>
        <w:gridCol w:w="19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24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排放口(编号、名称)/污染源</w:t>
            </w:r>
          </w:p>
        </w:tc>
        <w:tc>
          <w:tcPr>
            <w:tcW w:w="105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82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190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241" w:type="dxa"/>
            <w:noWrap w:val="0"/>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DA001</w:t>
            </w:r>
          </w:p>
          <w:p>
            <w:pPr>
              <w:adjustRightInd w:val="0"/>
              <w:snapToGrid w:val="0"/>
              <w:jc w:val="center"/>
              <w:rPr>
                <w:rFonts w:hint="default" w:ascii="Times New Roman" w:hAnsi="Times New Roman" w:eastAsia="宋体" w:cs="Times New Roman"/>
                <w:color w:val="auto"/>
                <w:w w:val="100"/>
                <w:kern w:val="2"/>
                <w:sz w:val="21"/>
                <w:szCs w:val="24"/>
                <w:lang w:val="en-US" w:eastAsia="zh-CN" w:bidi="ar-SA"/>
              </w:rPr>
            </w:pP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color w:val="auto"/>
                <w:sz w:val="21"/>
                <w:szCs w:val="21"/>
                <w:lang w:val="en-US" w:eastAsia="zh-CN"/>
              </w:rPr>
              <w:t>抛丸废气</w:t>
            </w:r>
            <w:r>
              <w:rPr>
                <w:rFonts w:hint="default" w:ascii="Times New Roman" w:hAnsi="Times New Roman" w:cs="Times New Roman"/>
                <w:b w:val="0"/>
                <w:bCs w:val="0"/>
                <w:color w:val="auto"/>
                <w:sz w:val="21"/>
                <w:szCs w:val="21"/>
                <w:lang w:val="en-US" w:eastAsia="zh-CN"/>
              </w:rPr>
              <w:t>）</w:t>
            </w:r>
          </w:p>
        </w:tc>
        <w:tc>
          <w:tcPr>
            <w:tcW w:w="1058" w:type="dxa"/>
            <w:noWrap w:val="0"/>
            <w:vAlign w:val="center"/>
          </w:tcPr>
          <w:p>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highlight w:val="none"/>
                <w:lang w:eastAsia="zh-CN"/>
              </w:rPr>
              <w:t>颗粒物</w:t>
            </w:r>
          </w:p>
        </w:tc>
        <w:tc>
          <w:tcPr>
            <w:tcW w:w="2821" w:type="dxa"/>
            <w:noWrap w:val="0"/>
            <w:vAlign w:val="center"/>
          </w:tcPr>
          <w:p>
            <w:pPr>
              <w:adjustRightInd w:val="0"/>
              <w:snapToGrid w:val="0"/>
              <w:jc w:val="center"/>
              <w:rPr>
                <w:rFonts w:hint="default" w:ascii="Times New Roman" w:hAnsi="Times New Roman" w:eastAsia="宋体" w:cs="Times New Roman"/>
                <w:color w:val="auto"/>
                <w:w w:val="100"/>
                <w:kern w:val="2"/>
                <w:sz w:val="21"/>
                <w:szCs w:val="24"/>
                <w:lang w:val="en-US" w:eastAsia="zh-CN" w:bidi="ar-SA"/>
              </w:rPr>
            </w:pPr>
            <w:r>
              <w:rPr>
                <w:rFonts w:hint="default" w:ascii="Times New Roman" w:hAnsi="Times New Roman" w:eastAsia="宋体" w:cs="Times New Roman"/>
                <w:color w:val="auto"/>
                <w:kern w:val="0"/>
                <w:sz w:val="21"/>
                <w:szCs w:val="21"/>
                <w:lang w:val="en-US" w:eastAsia="zh-CN" w:bidi="ar"/>
              </w:rPr>
              <w:t>密闭收集</w:t>
            </w:r>
            <w:r>
              <w:rPr>
                <w:rFonts w:hint="default" w:ascii="Times New Roman" w:hAnsi="Times New Roman" w:cs="Times New Roman"/>
                <w:color w:val="auto"/>
                <w:kern w:val="0"/>
                <w:sz w:val="21"/>
                <w:szCs w:val="21"/>
                <w:lang w:val="en-US" w:eastAsia="zh-CN" w:bidi="ar"/>
              </w:rPr>
              <w:t>后</w:t>
            </w:r>
            <w:r>
              <w:rPr>
                <w:rFonts w:hint="default" w:ascii="Times New Roman" w:hAnsi="Times New Roman" w:eastAsia="宋体" w:cs="Times New Roman"/>
                <w:color w:val="auto"/>
                <w:kern w:val="0"/>
                <w:sz w:val="21"/>
                <w:szCs w:val="21"/>
                <w:lang w:val="en-US" w:eastAsia="zh-CN" w:bidi="ar"/>
              </w:rPr>
              <w:t>经</w:t>
            </w:r>
            <w:r>
              <w:rPr>
                <w:rFonts w:hint="default" w:ascii="Times New Roman" w:hAnsi="Times New Roman" w:cs="Times New Roman"/>
                <w:bCs/>
                <w:color w:val="auto"/>
                <w:sz w:val="21"/>
                <w:szCs w:val="21"/>
                <w:lang w:val="en-US" w:eastAsia="zh-CN"/>
              </w:rPr>
              <w:t>布袋除尘器进行处理，处理后的废气经25米高1#排气筒排放</w:t>
            </w:r>
            <w:r>
              <w:rPr>
                <w:rFonts w:hint="default" w:ascii="Times New Roman" w:hAnsi="Times New Roman" w:cs="Times New Roman"/>
                <w:color w:val="auto"/>
                <w:szCs w:val="21"/>
                <w:lang w:eastAsia="zh-CN"/>
              </w:rPr>
              <w:t>。</w:t>
            </w:r>
          </w:p>
        </w:tc>
        <w:tc>
          <w:tcPr>
            <w:tcW w:w="1902"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《大气污染物综合排放标准》（DB50/418－2016）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241" w:type="dxa"/>
            <w:noWrap w:val="0"/>
            <w:vAlign w:val="center"/>
          </w:tcPr>
          <w:p>
            <w:pPr>
              <w:pStyle w:val="37"/>
              <w:spacing w:before="152"/>
              <w:ind w:left="141" w:leftChars="0" w:right="122"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DW001（</w:t>
            </w:r>
            <w:r>
              <w:rPr>
                <w:rFonts w:hint="default" w:ascii="Times New Roman" w:hAnsi="Times New Roman" w:cs="Times New Roman"/>
                <w:color w:val="auto"/>
                <w:kern w:val="2"/>
                <w:sz w:val="21"/>
                <w:szCs w:val="21"/>
                <w:lang w:val="en-US" w:eastAsia="zh-CN" w:bidi="ar-SA"/>
              </w:rPr>
              <w:t>生活废水、地面清洁废水</w:t>
            </w:r>
            <w:r>
              <w:rPr>
                <w:rFonts w:hint="eastAsia" w:ascii="Times New Roman" w:cs="Times New Roman"/>
                <w:color w:val="auto"/>
                <w:kern w:val="2"/>
                <w:sz w:val="21"/>
                <w:szCs w:val="21"/>
                <w:lang w:val="en-US" w:eastAsia="zh-CN" w:bidi="ar-SA"/>
              </w:rPr>
              <w:t>、</w:t>
            </w:r>
            <w:r>
              <w:rPr>
                <w:rFonts w:hint="eastAsia" w:cs="Times New Roman"/>
                <w:bCs/>
                <w:color w:val="auto"/>
                <w:sz w:val="21"/>
                <w:szCs w:val="21"/>
                <w:lang w:val="en-US" w:eastAsia="zh-CN"/>
              </w:rPr>
              <w:t>空压机含油废水</w:t>
            </w:r>
            <w:r>
              <w:rPr>
                <w:rFonts w:hint="default" w:ascii="Times New Roman" w:hAnsi="Times New Roman" w:cs="Times New Roman"/>
                <w:b w:val="0"/>
                <w:bCs w:val="0"/>
                <w:color w:val="auto"/>
                <w:sz w:val="21"/>
                <w:szCs w:val="21"/>
                <w:lang w:val="en-US" w:eastAsia="zh-CN"/>
              </w:rPr>
              <w:t>）</w:t>
            </w:r>
          </w:p>
        </w:tc>
        <w:tc>
          <w:tcPr>
            <w:tcW w:w="10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pPr>
              <w:pStyle w:val="37"/>
              <w:keepNext w:val="0"/>
              <w:keepLines w:val="0"/>
              <w:pageBreakBefore w:val="0"/>
              <w:kinsoku/>
              <w:wordWrap/>
              <w:overflowPunct/>
              <w:topLinePunct w:val="0"/>
              <w:autoSpaceDE/>
              <w:autoSpaceDN/>
              <w:bidi w:val="0"/>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p>
            <w:pPr>
              <w:pStyle w:val="34"/>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石油类</w:t>
            </w:r>
          </w:p>
        </w:tc>
        <w:tc>
          <w:tcPr>
            <w:tcW w:w="2821" w:type="dxa"/>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地面清洁废水</w:t>
            </w:r>
            <w:r>
              <w:rPr>
                <w:rFonts w:hint="eastAsia" w:ascii="Times New Roman" w:cs="Times New Roman"/>
                <w:color w:val="auto"/>
                <w:sz w:val="21"/>
                <w:szCs w:val="21"/>
                <w:lang w:val="en-US" w:eastAsia="zh-CN"/>
              </w:rPr>
              <w:t>、</w:t>
            </w:r>
            <w:r>
              <w:rPr>
                <w:rFonts w:hint="eastAsia" w:cs="Times New Roman"/>
                <w:bCs/>
                <w:color w:val="auto"/>
                <w:sz w:val="21"/>
                <w:szCs w:val="21"/>
                <w:lang w:val="en-US" w:eastAsia="zh-CN"/>
              </w:rPr>
              <w:t>空压机含油废水</w:t>
            </w:r>
            <w:r>
              <w:rPr>
                <w:rFonts w:hint="default" w:ascii="Times New Roman" w:hAnsi="Times New Roman" w:cs="Times New Roman"/>
                <w:color w:val="auto"/>
                <w:sz w:val="21"/>
                <w:szCs w:val="21"/>
                <w:lang w:val="en-US" w:eastAsia="zh-CN"/>
              </w:rPr>
              <w:t>经隔油池预处理后和</w:t>
            </w:r>
            <w:r>
              <w:rPr>
                <w:rFonts w:hint="default" w:ascii="Times New Roman" w:hAnsi="Times New Roman" w:cs="Times New Roman"/>
                <w:color w:val="auto"/>
                <w:kern w:val="2"/>
                <w:sz w:val="21"/>
                <w:szCs w:val="21"/>
                <w:lang w:val="en-US" w:eastAsia="zh-CN" w:bidi="ar-SA"/>
              </w:rPr>
              <w:t>生活废水</w:t>
            </w:r>
            <w:r>
              <w:rPr>
                <w:rFonts w:hint="default" w:ascii="Times New Roman" w:hAnsi="Times New Roman" w:cs="Times New Roman"/>
                <w:color w:val="auto"/>
                <w:sz w:val="21"/>
                <w:szCs w:val="21"/>
                <w:lang w:val="en-US" w:eastAsia="zh-CN"/>
              </w:rPr>
              <w:t>一起</w:t>
            </w:r>
            <w:r>
              <w:rPr>
                <w:rFonts w:hint="default" w:ascii="Times New Roman" w:hAnsi="Times New Roman" w:cs="Times New Roman"/>
                <w:color w:val="auto"/>
                <w:kern w:val="2"/>
                <w:sz w:val="21"/>
                <w:szCs w:val="21"/>
                <w:lang w:val="en-US" w:eastAsia="zh-CN" w:bidi="ar-SA"/>
              </w:rPr>
              <w:t>依托万洋众创城智能制造产业园生化池处理达《污水综合排放标准》(GB8978－1996)三级标准后排入园区污水管网，再进入铜梁区东城污水处理厂处理达标后排入淮远河。</w:t>
            </w:r>
          </w:p>
        </w:tc>
        <w:tc>
          <w:tcPr>
            <w:tcW w:w="1902" w:type="dxa"/>
            <w:noWrap w:val="0"/>
            <w:vAlign w:val="center"/>
          </w:tcPr>
          <w:p>
            <w:pPr>
              <w:pStyle w:val="37"/>
              <w:spacing w:before="1" w:line="242" w:lineRule="auto"/>
              <w:ind w:left="159" w:right="126"/>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color w:val="auto"/>
                <w:sz w:val="21"/>
                <w:szCs w:val="21"/>
              </w:rPr>
              <w:t>《污水综合排放标准》(GB8978－1996)</w:t>
            </w:r>
            <w:r>
              <w:rPr>
                <w:rFonts w:hint="default" w:ascii="Times New Roman" w:hAnsi="Times New Roman" w:cs="Times New Roman"/>
                <w:color w:val="auto"/>
                <w:sz w:val="21"/>
              </w:rPr>
              <w:t>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241" w:type="dxa"/>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生产设备、空压机</w:t>
            </w:r>
          </w:p>
        </w:tc>
        <w:tc>
          <w:tcPr>
            <w:tcW w:w="1058" w:type="dxa"/>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等效A声级</w:t>
            </w:r>
          </w:p>
        </w:tc>
        <w:tc>
          <w:tcPr>
            <w:tcW w:w="2821" w:type="dxa"/>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选用高效低噪声设备、安装减振底座等</w:t>
            </w:r>
          </w:p>
        </w:tc>
        <w:tc>
          <w:tcPr>
            <w:tcW w:w="1902" w:type="dxa"/>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《工业企业厂界环境噪声排放标准》（GB12348-2008）中的3类标准。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本项目一般固体废物主要是生产过程中产生的</w:t>
            </w:r>
            <w:r>
              <w:rPr>
                <w:rFonts w:hint="default" w:ascii="Times New Roman" w:hAnsi="Times New Roman" w:cs="Times New Roman"/>
                <w:color w:val="auto"/>
                <w:sz w:val="21"/>
                <w:szCs w:val="21"/>
                <w:lang w:val="en-US" w:eastAsia="zh-CN"/>
              </w:rPr>
              <w:t>废钢丸、不含油金属屑、不合格产品</w:t>
            </w:r>
            <w:r>
              <w:rPr>
                <w:rFonts w:hint="default" w:ascii="Times New Roman" w:hAnsi="Times New Roman" w:cs="Times New Roman"/>
                <w:color w:val="auto"/>
                <w:szCs w:val="21"/>
              </w:rPr>
              <w:t>，产生的一般固废收集后分类堆放于一般工业固废暂存区，交废品公司回收</w:t>
            </w:r>
            <w:r>
              <w:rPr>
                <w:rFonts w:hint="default" w:ascii="Times New Roman" w:hAnsi="Times New Roman" w:cs="Times New Roman"/>
                <w:color w:val="auto"/>
                <w:sz w:val="21"/>
                <w:szCs w:val="21"/>
              </w:rPr>
              <w:t>。</w:t>
            </w:r>
            <w:r>
              <w:rPr>
                <w:rFonts w:hint="default" w:ascii="Times New Roman" w:hAnsi="Times New Roman" w:eastAsia="宋体" w:cs="Times New Roman"/>
                <w:color w:val="auto"/>
                <w:kern w:val="2"/>
                <w:sz w:val="21"/>
                <w:szCs w:val="21"/>
                <w:lang w:val="en-US" w:eastAsia="zh-CN" w:bidi="ar-SA"/>
              </w:rPr>
              <w:t>一般固废区位于</w:t>
            </w:r>
            <w:r>
              <w:rPr>
                <w:rFonts w:hint="default" w:ascii="Times New Roman" w:hAnsi="Times New Roman" w:eastAsia="宋体" w:cs="Times New Roman"/>
                <w:bCs/>
                <w:color w:val="auto"/>
                <w:sz w:val="21"/>
                <w:szCs w:val="21"/>
                <w:lang w:eastAsia="zh-CN"/>
              </w:rPr>
              <w:t>厂区</w:t>
            </w:r>
            <w:r>
              <w:rPr>
                <w:rFonts w:hint="eastAsia" w:cs="Times New Roman"/>
                <w:bCs/>
                <w:color w:val="auto"/>
                <w:sz w:val="21"/>
                <w:szCs w:val="21"/>
                <w:lang w:val="en-US" w:eastAsia="zh-CN"/>
              </w:rPr>
              <w:t>一楼</w:t>
            </w:r>
            <w:r>
              <w:rPr>
                <w:rFonts w:hint="eastAsia" w:cs="Times New Roman"/>
                <w:color w:val="auto"/>
                <w:sz w:val="21"/>
                <w:szCs w:val="21"/>
                <w:lang w:val="en-US" w:eastAsia="zh-CN"/>
              </w:rPr>
              <w:t>东南</w:t>
            </w:r>
            <w:r>
              <w:rPr>
                <w:rFonts w:hint="eastAsia" w:ascii="Times New Roman" w:hAnsi="Times New Roman" w:cs="Times New Roman"/>
                <w:color w:val="auto"/>
                <w:sz w:val="21"/>
                <w:szCs w:val="21"/>
                <w:lang w:val="en-US" w:eastAsia="zh-CN"/>
              </w:rPr>
              <w:t>侧</w:t>
            </w:r>
            <w:r>
              <w:rPr>
                <w:rFonts w:hint="default" w:ascii="Times New Roman" w:hAnsi="Times New Roman" w:eastAsia="宋体" w:cs="Times New Roman"/>
                <w:color w:val="auto"/>
                <w:kern w:val="2"/>
                <w:sz w:val="21"/>
                <w:szCs w:val="21"/>
                <w:lang w:val="en-US" w:eastAsia="zh-CN" w:bidi="ar-SA"/>
              </w:rPr>
              <w:t>，面积约</w:t>
            </w:r>
            <w:r>
              <w:rPr>
                <w:rFonts w:hint="eastAsia" w:cs="Times New Roman"/>
                <w:color w:val="auto"/>
                <w:kern w:val="2"/>
                <w:sz w:val="21"/>
                <w:szCs w:val="21"/>
                <w:lang w:val="en-US" w:eastAsia="zh-CN" w:bidi="ar-SA"/>
              </w:rPr>
              <w:t>40</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4"/>
                <w:lang w:val="en-US" w:eastAsia="zh-CN" w:bidi="ar-SA"/>
              </w:rPr>
              <w:t>应</w:t>
            </w:r>
            <w:r>
              <w:rPr>
                <w:rFonts w:hint="default" w:ascii="Times New Roman" w:hAnsi="Times New Roman" w:eastAsia="宋体" w:cs="Times New Roman"/>
                <w:color w:val="auto"/>
                <w:sz w:val="21"/>
                <w:szCs w:val="21"/>
                <w:lang w:val="en-US" w:eastAsia="zh-CN" w:bidi="ar"/>
              </w:rPr>
              <w:t>满足“三防要求”（</w:t>
            </w:r>
            <w:r>
              <w:rPr>
                <w:rFonts w:hint="default" w:ascii="Times New Roman" w:hAnsi="Times New Roman" w:eastAsia="宋体" w:cs="Times New Roman"/>
                <w:color w:val="auto"/>
                <w:kern w:val="2"/>
                <w:sz w:val="21"/>
                <w:szCs w:val="21"/>
                <w:lang w:val="en-US" w:eastAsia="zh-CN" w:bidi="ar-SA"/>
              </w:rPr>
              <w:t>防渗漏、防雨淋、防扬尘</w:t>
            </w:r>
            <w:r>
              <w:rPr>
                <w:rFonts w:hint="default" w:ascii="Times New Roman" w:hAnsi="Times New Roman" w:eastAsia="宋体" w:cs="Times New Roman"/>
                <w:color w:val="auto"/>
                <w:sz w:val="21"/>
                <w:szCs w:val="21"/>
                <w:lang w:val="en-US" w:eastAsia="zh-CN" w:bidi="ar"/>
              </w:rPr>
              <w:t>）</w:t>
            </w:r>
            <w:r>
              <w:rPr>
                <w:rFonts w:hint="default" w:ascii="Times New Roman" w:hAnsi="Times New Roman" w:eastAsia="宋体" w:cs="Times New Roman"/>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危险废物主要是废机油</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废切削液</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废油桶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废液压油</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粘油废棉纱、手套</w:t>
            </w:r>
            <w:r>
              <w:rPr>
                <w:rFonts w:hint="default" w:ascii="Times New Roman" w:hAnsi="Times New Roman" w:eastAsia="宋体" w:cs="Times New Roman"/>
                <w:color w:val="auto"/>
                <w:szCs w:val="21"/>
                <w:lang w:val="en-US" w:eastAsia="zh-CN"/>
              </w:rPr>
              <w:t>和</w:t>
            </w:r>
            <w:r>
              <w:rPr>
                <w:rFonts w:hint="default" w:ascii="Times New Roman" w:hAnsi="Times New Roman" w:eastAsia="宋体" w:cs="Times New Roman"/>
                <w:color w:val="auto"/>
                <w:szCs w:val="21"/>
              </w:rPr>
              <w:t>含油废金属屑</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含油废金属屑经过滤除油达到静置无滴漏要求后打包压块暂存于危废暂存间，外交金属冶炼单位用于金属冶炼。其余危废暂存于危废暂存间，定期由危废资质单位收运处置。</w:t>
            </w:r>
            <w:r>
              <w:rPr>
                <w:rFonts w:hint="default" w:ascii="Times New Roman" w:hAnsi="Times New Roman" w:eastAsia="宋体" w:cs="Times New Roman"/>
                <w:color w:val="auto"/>
                <w:szCs w:val="21"/>
                <w:lang w:val="en-US" w:eastAsia="zh-CN"/>
              </w:rPr>
              <w:t>危废暂存间位于</w:t>
            </w:r>
            <w:r>
              <w:rPr>
                <w:rFonts w:hint="default" w:ascii="Times New Roman" w:hAnsi="Times New Roman" w:eastAsia="宋体" w:cs="Times New Roman"/>
                <w:bCs/>
                <w:color w:val="auto"/>
                <w:sz w:val="21"/>
                <w:szCs w:val="21"/>
                <w:lang w:eastAsia="zh-CN"/>
              </w:rPr>
              <w:t>厂区</w:t>
            </w:r>
            <w:r>
              <w:rPr>
                <w:rFonts w:hint="eastAsia" w:cs="Times New Roman"/>
                <w:bCs/>
                <w:color w:val="auto"/>
                <w:sz w:val="21"/>
                <w:szCs w:val="21"/>
                <w:lang w:val="en-US" w:eastAsia="zh-CN"/>
              </w:rPr>
              <w:t>一楼</w:t>
            </w:r>
            <w:r>
              <w:rPr>
                <w:rFonts w:hint="eastAsia" w:cs="Times New Roman"/>
                <w:color w:val="auto"/>
                <w:sz w:val="21"/>
                <w:szCs w:val="21"/>
                <w:lang w:val="en-US" w:eastAsia="zh-CN"/>
              </w:rPr>
              <w:t>西北</w:t>
            </w:r>
            <w:r>
              <w:rPr>
                <w:rFonts w:hint="eastAsia" w:ascii="Times New Roman" w:hAnsi="Times New Roman" w:cs="Times New Roman"/>
                <w:color w:val="auto"/>
                <w:sz w:val="21"/>
                <w:szCs w:val="21"/>
                <w:lang w:val="en-US" w:eastAsia="zh-CN"/>
              </w:rPr>
              <w:t>侧</w:t>
            </w:r>
            <w:r>
              <w:rPr>
                <w:rFonts w:hint="default" w:ascii="Times New Roman" w:hAnsi="Times New Roman" w:eastAsia="宋体" w:cs="Times New Roman"/>
                <w:color w:val="auto"/>
                <w:szCs w:val="21"/>
                <w:lang w:val="en-US" w:eastAsia="zh-CN"/>
              </w:rPr>
              <w:t>，面积约</w:t>
            </w:r>
            <w:r>
              <w:rPr>
                <w:rFonts w:hint="eastAsia"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szCs w:val="21"/>
                <w:lang w:val="en-US" w:eastAsia="zh-CN"/>
              </w:rPr>
              <w:t>。危废暂存间应满足防风、防雨、防晒、防流失、防扬散、防渗漏要求，进行重点防渗处理，并设置标识标牌、托盘，危险废物贮存应严格按照《危险废物贮存污染控制标准》（GB18597-2023）进行管理。</w:t>
            </w:r>
          </w:p>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生活垃圾交当地环卫统一收运处置。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7022" w:type="dxa"/>
            <w:gridSpan w:val="4"/>
            <w:noWrap w:val="0"/>
            <w:vAlign w:val="center"/>
          </w:tcPr>
          <w:p>
            <w:pPr>
              <w:adjustRightInd w:val="0"/>
              <w:snapToGrid w:val="0"/>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本项目对厂区进行分区防渗，对危废暂存间进行重点防渗处理，危险废物严格按照《危险废物贮存污染控制标准》（GB18597-20</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3)进行管理。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177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022" w:type="dxa"/>
            <w:gridSpan w:val="4"/>
            <w:noWrap w:val="0"/>
            <w:vAlign w:val="center"/>
          </w:tcPr>
          <w:p>
            <w:pPr>
              <w:adjustRightInd w:val="0"/>
              <w:snapToGrid w:val="0"/>
              <w:ind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rPr>
              <w:t>本项目</w:t>
            </w:r>
            <w:r>
              <w:rPr>
                <w:rFonts w:hint="default" w:ascii="Times New Roman" w:hAnsi="Times New Roman" w:cs="Times New Roman"/>
                <w:bCs/>
                <w:color w:val="auto"/>
                <w:sz w:val="21"/>
                <w:szCs w:val="21"/>
                <w:lang w:val="en-US" w:eastAsia="zh-CN"/>
              </w:rPr>
              <w:t>购置</w:t>
            </w:r>
            <w:r>
              <w:rPr>
                <w:rFonts w:hint="default" w:ascii="Times New Roman" w:hAnsi="Times New Roman" w:cs="Times New Roman"/>
                <w:color w:val="auto"/>
                <w:kern w:val="2"/>
                <w:sz w:val="21"/>
                <w:szCs w:val="24"/>
                <w:lang w:val="en-US" w:eastAsia="zh-CN" w:bidi="ar-SA"/>
              </w:rPr>
              <w:t>万洋众创城智能制造产业园内</w:t>
            </w:r>
            <w:r>
              <w:rPr>
                <w:rFonts w:hint="default" w:ascii="Times New Roman" w:hAnsi="Times New Roman" w:eastAsia="宋体" w:cs="Times New Roman"/>
                <w:color w:val="auto"/>
                <w:sz w:val="22"/>
                <w:szCs w:val="22"/>
                <w:lang w:val="en-US" w:eastAsia="zh-CN"/>
              </w:rPr>
              <w:t>已建</w:t>
            </w:r>
            <w:r>
              <w:rPr>
                <w:rFonts w:hint="default" w:ascii="Times New Roman" w:hAnsi="Times New Roman" w:cs="Times New Roman"/>
                <w:bCs/>
                <w:color w:val="auto"/>
                <w:sz w:val="21"/>
                <w:szCs w:val="21"/>
              </w:rPr>
              <w:t>厂房</w:t>
            </w:r>
            <w:r>
              <w:rPr>
                <w:rFonts w:hint="default" w:ascii="Times New Roman" w:hAnsi="Times New Roman" w:cs="Times New Roman"/>
                <w:color w:val="auto"/>
                <w:szCs w:val="21"/>
                <w:highlight w:val="none"/>
              </w:rPr>
              <w:t>，不新增用地，不会对生态环境造成影响。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3" w:hRule="atLeast"/>
          <w:jc w:val="center"/>
        </w:trPr>
        <w:tc>
          <w:tcPr>
            <w:tcW w:w="1778" w:type="dxa"/>
            <w:noWrap w:val="0"/>
            <w:vAlign w:val="center"/>
          </w:tcPr>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油品</w:t>
            </w:r>
            <w:r>
              <w:rPr>
                <w:rFonts w:hint="default" w:ascii="Times New Roman" w:hAnsi="Times New Roman" w:cs="Times New Roman"/>
                <w:color w:val="auto"/>
                <w:szCs w:val="21"/>
              </w:rPr>
              <w:t>在储存过程中严格遵从储存条件，并与其相应的禁忌物分开。</w:t>
            </w:r>
            <w:r>
              <w:rPr>
                <w:rFonts w:hint="default" w:ascii="Times New Roman" w:hAnsi="Times New Roman" w:cs="Times New Roman"/>
                <w:color w:val="auto"/>
                <w:szCs w:val="21"/>
                <w:lang w:val="en-US" w:eastAsia="zh-CN"/>
              </w:rPr>
              <w:t>油品</w:t>
            </w:r>
            <w:r>
              <w:rPr>
                <w:rFonts w:hint="default" w:ascii="Times New Roman" w:hAnsi="Times New Roman" w:cs="Times New Roman"/>
                <w:color w:val="auto"/>
                <w:szCs w:val="21"/>
              </w:rPr>
              <w:t>储存于通风、阴凉和干燥的地方，存放区域四周禁止有火源。地面做好防渗处理；</w:t>
            </w:r>
            <w:r>
              <w:rPr>
                <w:rFonts w:hint="default" w:ascii="Times New Roman" w:hAnsi="Times New Roman" w:cs="Times New Roman"/>
                <w:color w:val="auto"/>
                <w:szCs w:val="21"/>
                <w:lang w:val="en-US" w:eastAsia="zh-CN"/>
              </w:rPr>
              <w:t>油品</w:t>
            </w:r>
            <w:r>
              <w:rPr>
                <w:rFonts w:hint="default" w:ascii="Times New Roman" w:hAnsi="Times New Roman" w:cs="Times New Roman"/>
                <w:color w:val="auto"/>
                <w:kern w:val="2"/>
                <w:sz w:val="21"/>
                <w:szCs w:val="21"/>
                <w:lang w:val="en-US" w:eastAsia="zh-CN" w:bidi="ar-SA"/>
              </w:rPr>
              <w:t>存储区</w:t>
            </w:r>
            <w:r>
              <w:rPr>
                <w:rFonts w:hint="default" w:ascii="Times New Roman" w:hAnsi="Times New Roman" w:cs="Times New Roman"/>
                <w:color w:val="auto"/>
                <w:szCs w:val="21"/>
              </w:rPr>
              <w:t>应设置围堰用于拦截事故泄露时的物料和可能产生的废液。</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危险废物暂存区地面做好防渗处理，设置围堰。张贴禁止火源的标志，四周禁止有火源。禁止混入不相容的危险废物，地面做好防漏防渗处理，收集的废液同其他危险废物一并定期送有资质的危险废物处置单位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（3）对厂区进行分区防渗。根据可能产生污染的区域，对危废暂存间</w:t>
            </w:r>
            <w:r>
              <w:rPr>
                <w:rFonts w:hint="default" w:ascii="Times New Roman" w:hAnsi="Times New Roman" w:cs="Times New Roman"/>
                <w:color w:val="auto"/>
                <w:kern w:val="2"/>
                <w:sz w:val="21"/>
                <w:szCs w:val="21"/>
                <w:lang w:val="en-US" w:eastAsia="zh-CN" w:bidi="ar-SA"/>
              </w:rPr>
              <w:t>、</w:t>
            </w:r>
            <w:r>
              <w:rPr>
                <w:rFonts w:hint="default" w:ascii="Times New Roman" w:hAnsi="Times New Roman" w:cs="Times New Roman"/>
                <w:color w:val="auto"/>
                <w:szCs w:val="21"/>
                <w:lang w:val="en-US" w:eastAsia="zh-CN"/>
              </w:rPr>
              <w:t>油品</w:t>
            </w:r>
            <w:r>
              <w:rPr>
                <w:rFonts w:hint="default" w:ascii="Times New Roman" w:hAnsi="Times New Roman" w:cs="Times New Roman"/>
                <w:color w:val="auto"/>
                <w:kern w:val="2"/>
                <w:sz w:val="21"/>
                <w:szCs w:val="21"/>
                <w:lang w:val="en-US" w:eastAsia="zh-CN" w:bidi="ar-SA"/>
              </w:rPr>
              <w:t>存储区、隔油池</w:t>
            </w:r>
            <w:r>
              <w:rPr>
                <w:rFonts w:hint="default" w:ascii="Times New Roman" w:hAnsi="Times New Roman" w:cs="Times New Roman"/>
                <w:color w:val="auto"/>
                <w:szCs w:val="21"/>
              </w:rPr>
              <w:t>采取重点防渗</w:t>
            </w:r>
            <w:r>
              <w:rPr>
                <w:rFonts w:hint="default" w:ascii="Times New Roman" w:hAnsi="Times New Roman" w:cs="Times New Roman"/>
                <w:color w:val="auto"/>
                <w:szCs w:val="21"/>
                <w:lang w:eastAsia="zh-CN"/>
              </w:rPr>
              <w:t>处理</w:t>
            </w:r>
            <w:r>
              <w:rPr>
                <w:rFonts w:hint="default" w:ascii="Times New Roman" w:hAnsi="Times New Roman" w:cs="Times New Roman"/>
                <w:color w:val="auto"/>
                <w:szCs w:val="21"/>
              </w:rPr>
              <w:t>；一般防渗区为生产区、一般固废区等，</w:t>
            </w:r>
            <w:r>
              <w:rPr>
                <w:rFonts w:hint="default" w:ascii="Times New Roman" w:hAnsi="Times New Roman" w:cs="Times New Roman"/>
                <w:color w:val="auto"/>
                <w:szCs w:val="21"/>
                <w:lang w:eastAsia="zh-CN"/>
              </w:rPr>
              <w:t>采取一般防渗处理</w:t>
            </w:r>
            <w:r>
              <w:rPr>
                <w:rFonts w:hint="default" w:ascii="Times New Roman" w:hAnsi="Times New Roman" w:cs="Times New Roman"/>
                <w:color w:val="auto"/>
                <w:szCs w:val="21"/>
              </w:rPr>
              <w:t>；其他区域为简单防渗区，普通地面硬化即可。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4" w:hRule="atLeast"/>
          <w:jc w:val="center"/>
        </w:trPr>
        <w:tc>
          <w:tcPr>
            <w:tcW w:w="1778" w:type="dxa"/>
            <w:noWrap w:val="0"/>
            <w:vAlign w:val="center"/>
          </w:tcPr>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022" w:type="dxa"/>
            <w:gridSpan w:val="4"/>
            <w:noWrap w:val="0"/>
            <w:vAlign w:val="center"/>
          </w:tcPr>
          <w:p>
            <w:pPr>
              <w:adjustRightInd w:val="0"/>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eastAsia="zh-CN"/>
              </w:rPr>
              <w:t>设</w:t>
            </w:r>
            <w:r>
              <w:rPr>
                <w:rFonts w:hint="default" w:ascii="Times New Roman" w:hAnsi="Times New Roman" w:cs="Times New Roman"/>
                <w:color w:val="auto"/>
                <w:szCs w:val="21"/>
              </w:rPr>
              <w:t>置环保</w:t>
            </w:r>
            <w:r>
              <w:rPr>
                <w:rFonts w:hint="default" w:ascii="Times New Roman" w:hAnsi="Times New Roman" w:cs="Times New Roman"/>
                <w:color w:val="auto"/>
                <w:szCs w:val="21"/>
                <w:lang w:eastAsia="zh-CN"/>
              </w:rPr>
              <w:t>管理</w:t>
            </w:r>
            <w:r>
              <w:rPr>
                <w:rFonts w:hint="default" w:ascii="Times New Roman" w:hAnsi="Times New Roman" w:cs="Times New Roman"/>
                <w:color w:val="auto"/>
                <w:szCs w:val="21"/>
              </w:rPr>
              <w:t>人员，负责对公司内日常环保工作进行监督、环保设施的运行维护及污染源监测工作。</w:t>
            </w: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w:t>
      </w:r>
      <w:r>
        <w:rPr>
          <w:rFonts w:hint="default" w:ascii="Times New Roman" w:hAnsi="Times New Roman" w:eastAsia="黑体" w:cs="Times New Roman"/>
          <w:snapToGrid w:val="0"/>
          <w:color w:val="auto"/>
          <w:sz w:val="30"/>
          <w:szCs w:val="30"/>
          <w:lang w:val="en-US" w:eastAsia="zh-CN"/>
        </w:rPr>
        <w:t xml:space="preserve">  </w:t>
      </w:r>
      <w:r>
        <w:rPr>
          <w:rFonts w:hint="default" w:ascii="Times New Roman" w:hAnsi="Times New Roman" w:eastAsia="黑体" w:cs="Times New Roman"/>
          <w:snapToGrid w:val="0"/>
          <w:color w:val="auto"/>
          <w:sz w:val="30"/>
          <w:szCs w:val="30"/>
        </w:rPr>
        <w:t>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20" w:firstLineChars="200"/>
              <w:jc w:val="both"/>
              <w:rPr>
                <w:rFonts w:hint="default" w:ascii="Times New Roman" w:hAnsi="Times New Roman" w:cs="Times New Roman"/>
                <w:color w:val="auto"/>
                <w:sz w:val="24"/>
              </w:rPr>
            </w:pPr>
            <w:r>
              <w:rPr>
                <w:rFonts w:hint="eastAsia" w:cs="Times New Roman"/>
                <w:color w:val="auto"/>
                <w:sz w:val="21"/>
                <w:szCs w:val="21"/>
                <w:lang w:eastAsia="zh-CN"/>
              </w:rPr>
              <w:t>重庆爵狼摩托车配件生产项目</w:t>
            </w:r>
            <w:r>
              <w:rPr>
                <w:rFonts w:hint="default" w:ascii="Times New Roman" w:hAnsi="Times New Roman" w:cs="Times New Roman"/>
                <w:color w:val="auto"/>
                <w:sz w:val="21"/>
                <w:szCs w:val="21"/>
              </w:rPr>
              <w:t>符合相关规划，符合</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三线一单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相关要求。500m内无自然保护区及文物设施、风景名胜区、森林公园等敏感区分布。</w:t>
            </w:r>
            <w:r>
              <w:rPr>
                <w:rFonts w:hint="default" w:ascii="Times New Roman" w:hAnsi="Times New Roman" w:cs="Times New Roman"/>
                <w:color w:val="auto"/>
                <w:sz w:val="21"/>
                <w:szCs w:val="21"/>
                <w:lang w:eastAsia="zh-CN"/>
              </w:rPr>
              <w:t>本</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在</w:t>
            </w:r>
            <w:r>
              <w:rPr>
                <w:rFonts w:hint="default" w:ascii="Times New Roman" w:hAnsi="Times New Roman" w:cs="Times New Roman"/>
                <w:color w:val="auto"/>
                <w:sz w:val="21"/>
                <w:szCs w:val="21"/>
              </w:rPr>
              <w:t>建设和生产</w:t>
            </w:r>
            <w:r>
              <w:rPr>
                <w:rFonts w:hint="default" w:ascii="Times New Roman" w:hAnsi="Times New Roman" w:cs="Times New Roman"/>
                <w:color w:val="auto"/>
                <w:sz w:val="21"/>
                <w:szCs w:val="21"/>
                <w:lang w:eastAsia="zh-CN"/>
              </w:rPr>
              <w:t>过程</w:t>
            </w:r>
            <w:r>
              <w:rPr>
                <w:rFonts w:hint="default" w:ascii="Times New Roman" w:hAnsi="Times New Roman" w:cs="Times New Roman"/>
                <w:color w:val="auto"/>
                <w:sz w:val="21"/>
                <w:szCs w:val="21"/>
              </w:rPr>
              <w:t>中</w:t>
            </w:r>
            <w:r>
              <w:rPr>
                <w:rFonts w:hint="default" w:ascii="Times New Roman" w:hAnsi="Times New Roman" w:cs="Times New Roman"/>
                <w:color w:val="auto"/>
                <w:sz w:val="21"/>
                <w:szCs w:val="21"/>
                <w:lang w:eastAsia="zh-CN"/>
              </w:rPr>
              <w:t>认真落实本次</w:t>
            </w:r>
            <w:r>
              <w:rPr>
                <w:rFonts w:hint="default" w:ascii="Times New Roman" w:hAnsi="Times New Roman" w:cs="Times New Roman"/>
                <w:color w:val="auto"/>
                <w:sz w:val="21"/>
                <w:szCs w:val="21"/>
              </w:rPr>
              <w:t>评价提出的</w:t>
            </w:r>
            <w:r>
              <w:rPr>
                <w:rFonts w:hint="default" w:ascii="Times New Roman" w:hAnsi="Times New Roman" w:cs="Times New Roman"/>
                <w:color w:val="auto"/>
                <w:sz w:val="21"/>
                <w:szCs w:val="21"/>
                <w:lang w:eastAsia="zh-CN"/>
              </w:rPr>
              <w:t>废水、</w:t>
            </w:r>
            <w:r>
              <w:rPr>
                <w:rFonts w:hint="default" w:ascii="Times New Roman" w:hAnsi="Times New Roman" w:cs="Times New Roman"/>
                <w:color w:val="auto"/>
                <w:sz w:val="21"/>
                <w:szCs w:val="21"/>
              </w:rPr>
              <w:t>噪声、固体废物污染防治和控制措施后，对环境的不利影响可得到有效的控制，对环境影响较小，从环保角度来看，</w:t>
            </w:r>
            <w:r>
              <w:rPr>
                <w:rFonts w:hint="default" w:ascii="Times New Roman" w:hAnsi="Times New Roman" w:cs="Times New Roman"/>
                <w:color w:val="auto"/>
                <w:sz w:val="21"/>
                <w:szCs w:val="21"/>
                <w:lang w:eastAsia="zh-CN"/>
              </w:rPr>
              <w:t>本</w:t>
            </w:r>
            <w:r>
              <w:rPr>
                <w:rFonts w:hint="default" w:ascii="Times New Roman" w:hAnsi="Times New Roman" w:cs="Times New Roman"/>
                <w:color w:val="auto"/>
                <w:sz w:val="21"/>
                <w:szCs w:val="21"/>
              </w:rPr>
              <w:t>项目环境影响可行。</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textAlignment w:val="auto"/>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27"/>
        <w:gridCol w:w="1591"/>
        <w:gridCol w:w="1276"/>
        <w:gridCol w:w="1701"/>
        <w:gridCol w:w="1559"/>
        <w:gridCol w:w="1228"/>
        <w:gridCol w:w="1734"/>
        <w:gridCol w:w="1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tcBorders>
              <w:tl2br w:val="single" w:color="auto" w:sz="4" w:space="0"/>
            </w:tcBorders>
            <w:noWrap w:val="0"/>
            <w:tcMar>
              <w:left w:w="28" w:type="dxa"/>
              <w:right w:w="28" w:type="dxa"/>
            </w:tcMar>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42"/>
              <w:keepNext w:val="0"/>
              <w:keepLines w:val="0"/>
              <w:pageBreakBefore w:val="0"/>
              <w:kinsoku/>
              <w:wordWrap/>
              <w:overflowPunct/>
              <w:topLinePunct w:val="0"/>
              <w:autoSpaceDE/>
              <w:autoSpaceDN/>
              <w:bidi w:val="0"/>
              <w:adjustRightInd w:val="0"/>
              <w:snapToGrid w:val="0"/>
              <w:spacing w:beforeLines="0" w:afterLines="0" w:line="300" w:lineRule="atLeast"/>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27"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591"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228"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34"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584"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5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59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0.0657</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0.0657</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0.0657</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restart"/>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5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COD</w:t>
            </w:r>
          </w:p>
        </w:tc>
        <w:tc>
          <w:tcPr>
            <w:tcW w:w="159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0.0248</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0.0248</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lang w:val="en-US" w:eastAsia="zh-CN"/>
              </w:rPr>
              <w:t>+</w:t>
            </w:r>
            <w:r>
              <w:rPr>
                <w:rFonts w:hint="eastAsia" w:cs="Times New Roman"/>
                <w:i w:val="0"/>
                <w:iCs w:val="0"/>
                <w:color w:val="auto"/>
                <w:kern w:val="0"/>
                <w:sz w:val="21"/>
                <w:szCs w:val="21"/>
                <w:u w:val="none"/>
                <w:lang w:val="en-US" w:eastAsia="zh-CN" w:bidi="ar"/>
              </w:rPr>
              <w:t>0.0248</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BOD</w:t>
            </w:r>
            <w:r>
              <w:rPr>
                <w:rFonts w:hint="default" w:ascii="Times New Roman" w:hAnsi="Times New Roman" w:eastAsia="宋体" w:cs="Times New Roman"/>
                <w:b w:val="0"/>
                <w:bCs/>
                <w:i w:val="0"/>
                <w:color w:val="auto"/>
                <w:kern w:val="0"/>
                <w:sz w:val="21"/>
                <w:szCs w:val="21"/>
                <w:u w:val="none"/>
                <w:vertAlign w:val="subscript"/>
                <w:lang w:val="en-US" w:eastAsia="zh-CN" w:bidi="ar"/>
              </w:rPr>
              <w:t>5</w:t>
            </w:r>
          </w:p>
        </w:tc>
        <w:tc>
          <w:tcPr>
            <w:tcW w:w="159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0.0083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228"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0.0083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lang w:val="en-US" w:eastAsia="zh-CN"/>
              </w:rPr>
              <w:t>+</w:t>
            </w:r>
            <w:r>
              <w:rPr>
                <w:rFonts w:hint="eastAsia" w:cs="Times New Roman"/>
                <w:i w:val="0"/>
                <w:color w:val="auto"/>
                <w:kern w:val="0"/>
                <w:sz w:val="21"/>
                <w:szCs w:val="21"/>
                <w:u w:val="none"/>
                <w:lang w:val="en-US" w:eastAsia="zh-CN" w:bidi="ar"/>
              </w:rPr>
              <w:t>0.0083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SS</w:t>
            </w:r>
          </w:p>
        </w:tc>
        <w:tc>
          <w:tcPr>
            <w:tcW w:w="159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0.0083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228"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0.0083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lang w:val="en-US" w:eastAsia="zh-CN"/>
              </w:rPr>
              <w:t>+</w:t>
            </w:r>
            <w:r>
              <w:rPr>
                <w:rFonts w:hint="eastAsia" w:cs="Times New Roman"/>
                <w:i w:val="0"/>
                <w:color w:val="auto"/>
                <w:kern w:val="0"/>
                <w:sz w:val="21"/>
                <w:szCs w:val="21"/>
                <w:u w:val="none"/>
                <w:lang w:val="en-US" w:eastAsia="zh-CN" w:bidi="ar"/>
              </w:rPr>
              <w:t>0.0083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i w:val="0"/>
                <w:color w:val="auto"/>
                <w:kern w:val="0"/>
                <w:sz w:val="21"/>
                <w:szCs w:val="21"/>
                <w:u w:val="none"/>
                <w:lang w:val="en-US" w:eastAsia="zh-CN" w:bidi="ar"/>
              </w:rPr>
              <w:t>氨氮</w:t>
            </w:r>
          </w:p>
        </w:tc>
        <w:tc>
          <w:tcPr>
            <w:tcW w:w="159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0.0033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228"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0.0033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lang w:val="en-US" w:eastAsia="zh-CN"/>
              </w:rPr>
              <w:t>+</w:t>
            </w:r>
            <w:r>
              <w:rPr>
                <w:rFonts w:hint="eastAsia" w:cs="Times New Roman"/>
                <w:i w:val="0"/>
                <w:color w:val="auto"/>
                <w:kern w:val="0"/>
                <w:sz w:val="21"/>
                <w:szCs w:val="21"/>
                <w:u w:val="none"/>
                <w:lang w:val="en-US" w:eastAsia="zh-CN" w:bidi="ar"/>
              </w:rPr>
              <w:t>0.0033</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i w:val="0"/>
                <w:color w:val="auto"/>
                <w:kern w:val="0"/>
                <w:sz w:val="21"/>
                <w:szCs w:val="21"/>
                <w:u w:val="none"/>
                <w:lang w:val="en-US" w:eastAsia="zh-CN" w:bidi="ar"/>
              </w:rPr>
              <w:t>石油类</w:t>
            </w:r>
          </w:p>
        </w:tc>
        <w:tc>
          <w:tcPr>
            <w:tcW w:w="159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0.0012</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228" w:type="dxa"/>
            <w:noWrap w:val="0"/>
            <w:vAlign w:val="center"/>
          </w:tcPr>
          <w:p>
            <w:pPr>
              <w:keepNext w:val="0"/>
              <w:keepLines w:val="0"/>
              <w:pageBreakBefore w:val="0"/>
              <w:kinsoku/>
              <w:wordWrap/>
              <w:overflowPunct/>
              <w:topLinePunct w:val="0"/>
              <w:autoSpaceDE/>
              <w:autoSpaceDN/>
              <w:bidi w:val="0"/>
              <w:adjustRightInd w:val="0"/>
              <w:snapToGrid w:val="0"/>
              <w:spacing w:line="300" w:lineRule="atLeast"/>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0.0012</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5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lang w:val="en-US" w:eastAsia="zh-CN"/>
              </w:rPr>
              <w:t>+</w:t>
            </w:r>
            <w:r>
              <w:rPr>
                <w:rFonts w:hint="eastAsia" w:cs="Times New Roman"/>
                <w:i w:val="0"/>
                <w:color w:val="auto"/>
                <w:kern w:val="0"/>
                <w:sz w:val="21"/>
                <w:szCs w:val="21"/>
                <w:u w:val="none"/>
                <w:lang w:val="en-US" w:eastAsia="zh-CN" w:bidi="ar"/>
              </w:rPr>
              <w:t>0.0012</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i w:val="0"/>
                <w:color w:val="auto"/>
                <w:kern w:val="0"/>
                <w:sz w:val="21"/>
                <w:szCs w:val="21"/>
                <w:u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restart"/>
            <w:noWrap w:val="0"/>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52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废钢丸</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0.9</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cs="Times New Roman"/>
                <w:color w:val="auto"/>
                <w:kern w:val="0"/>
                <w:sz w:val="21"/>
                <w:szCs w:val="21"/>
                <w:lang w:val="en-US" w:eastAsia="zh-CN" w:bidi="ar"/>
              </w:rPr>
              <w:t>0.9</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cs="Times New Roman"/>
                <w:color w:val="auto"/>
                <w:kern w:val="0"/>
                <w:sz w:val="21"/>
                <w:szCs w:val="21"/>
                <w:lang w:val="en-US" w:eastAsia="zh-CN" w:bidi="ar"/>
              </w:rPr>
              <w:t>+0.9</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不含油</w:t>
            </w:r>
          </w:p>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金属边角料</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12</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cs="Times New Roman"/>
                <w:color w:val="auto"/>
                <w:kern w:val="0"/>
                <w:sz w:val="21"/>
                <w:szCs w:val="21"/>
                <w:lang w:val="en-US" w:eastAsia="zh-CN" w:bidi="ar"/>
              </w:rPr>
              <w:t>12</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cs="Times New Roman"/>
                <w:color w:val="auto"/>
                <w:kern w:val="0"/>
                <w:sz w:val="21"/>
                <w:szCs w:val="21"/>
                <w:lang w:val="en-US" w:eastAsia="zh-CN" w:bidi="ar"/>
              </w:rPr>
              <w:t>+12</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spacing w:beforeLines="0" w:afterLines="0" w:line="300" w:lineRule="atLeast"/>
              <w:textAlignment w:val="auto"/>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color w:val="auto"/>
                <w:sz w:val="21"/>
                <w:szCs w:val="21"/>
                <w:lang w:eastAsia="zh-CN"/>
              </w:rPr>
              <w:t>不合格产品</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0.6</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cs="Times New Roman"/>
                <w:color w:val="auto"/>
                <w:kern w:val="0"/>
                <w:sz w:val="21"/>
                <w:szCs w:val="21"/>
                <w:lang w:val="en-US" w:eastAsia="zh-CN" w:bidi="ar"/>
              </w:rPr>
              <w:t>0.6</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cs="Times New Roman"/>
                <w:color w:val="auto"/>
                <w:kern w:val="0"/>
                <w:sz w:val="21"/>
                <w:szCs w:val="21"/>
                <w:lang w:val="en-US" w:eastAsia="zh-CN" w:bidi="ar"/>
              </w:rPr>
              <w:t>+0.6</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restart"/>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52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废机油</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b w:val="0"/>
                <w:bCs/>
                <w:i w:val="0"/>
                <w:color w:val="auto"/>
                <w:kern w:val="0"/>
                <w:sz w:val="21"/>
                <w:szCs w:val="21"/>
                <w:u w:val="none"/>
                <w:lang w:val="en-US" w:eastAsia="zh-CN" w:bidi="ar"/>
              </w:rPr>
            </w:pP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废切削液</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r>
              <w:rPr>
                <w:rFonts w:hint="eastAsia" w:ascii="Times New Roman" w:hAnsi="Times New Roman" w:cs="Times New Roman"/>
                <w:color w:val="auto"/>
                <w:kern w:val="0"/>
                <w:sz w:val="21"/>
                <w:szCs w:val="21"/>
                <w:lang w:val="en-US" w:eastAsia="zh-CN" w:bidi="ar"/>
              </w:rPr>
              <w:t>2</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r>
              <w:rPr>
                <w:rFonts w:hint="eastAsia" w:ascii="Times New Roman" w:hAnsi="Times New Roman" w:cs="Times New Roman"/>
                <w:color w:val="auto"/>
                <w:kern w:val="0"/>
                <w:sz w:val="21"/>
                <w:szCs w:val="21"/>
                <w:lang w:val="en-US" w:eastAsia="zh-CN" w:bidi="ar"/>
              </w:rPr>
              <w:t>2</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1.</w:t>
            </w:r>
            <w:r>
              <w:rPr>
                <w:rFonts w:hint="eastAsia" w:ascii="Times New Roman" w:hAnsi="Times New Roman" w:cs="Times New Roman"/>
                <w:color w:val="auto"/>
                <w:kern w:val="0"/>
                <w:sz w:val="21"/>
                <w:szCs w:val="21"/>
                <w:lang w:val="en-US" w:eastAsia="zh-CN" w:bidi="ar"/>
              </w:rPr>
              <w:t>2</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废油桶</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0.2</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0.2</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废</w:t>
            </w:r>
            <w:r>
              <w:rPr>
                <w:rFonts w:hint="default" w:ascii="Times New Roman" w:hAnsi="Times New Roman" w:cs="Times New Roman"/>
                <w:color w:val="auto"/>
                <w:kern w:val="0"/>
                <w:sz w:val="21"/>
                <w:szCs w:val="21"/>
                <w:lang w:val="en-US" w:eastAsia="zh-CN" w:bidi="ar"/>
              </w:rPr>
              <w:t>液压油</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0.34</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0.34</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+0.34</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粘油废棉</w:t>
            </w:r>
          </w:p>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纱、手套</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0.02</w:t>
            </w:r>
            <w:r>
              <w:rPr>
                <w:rFonts w:hint="default" w:ascii="Times New Roman" w:hAnsi="Times New Roman" w:eastAsia="宋体"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8" w:type="dxa"/>
            <w:vMerge w:val="continue"/>
            <w:noWrap w:val="0"/>
            <w:vAlign w:val="center"/>
          </w:tcPr>
          <w:p>
            <w:pPr>
              <w:pStyle w:val="42"/>
              <w:keepNext w:val="0"/>
              <w:keepLines w:val="0"/>
              <w:pageBreakBefore w:val="0"/>
              <w:kinsoku/>
              <w:wordWrap/>
              <w:overflowPunct/>
              <w:topLinePunct w:val="0"/>
              <w:autoSpaceDE/>
              <w:autoSpaceDN/>
              <w:bidi w:val="0"/>
              <w:adjustRightInd w:val="0"/>
              <w:snapToGrid w:val="0"/>
              <w:spacing w:beforeLines="0" w:afterLines="0" w:line="300" w:lineRule="atLeast"/>
              <w:rPr>
                <w:rFonts w:hint="default" w:ascii="Times New Roman" w:hAnsi="Times New Roman" w:cs="Times New Roman"/>
                <w:snapToGrid w:val="0"/>
                <w:color w:val="auto"/>
                <w:kern w:val="21"/>
                <w:szCs w:val="21"/>
              </w:rPr>
            </w:pPr>
          </w:p>
        </w:tc>
        <w:tc>
          <w:tcPr>
            <w:tcW w:w="1527" w:type="dxa"/>
            <w:noWrap w:val="0"/>
            <w:vAlign w:val="center"/>
          </w:tcPr>
          <w:p>
            <w:pPr>
              <w:keepNext w:val="0"/>
              <w:keepLines w:val="0"/>
              <w:pageBreakBefore w:val="0"/>
              <w:kinsoku/>
              <w:wordWrap w:val="0"/>
              <w:overflowPunct/>
              <w:topLinePunct/>
              <w:autoSpaceDE/>
              <w:autoSpaceDN/>
              <w:bidi w:val="0"/>
              <w:adjustRightInd w:val="0"/>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含油废金属屑</w:t>
            </w:r>
          </w:p>
        </w:tc>
        <w:tc>
          <w:tcPr>
            <w:tcW w:w="159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559"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r>
              <w:rPr>
                <w:rFonts w:hint="default" w:ascii="Times New Roman" w:hAnsi="Times New Roman" w:eastAsia="宋体" w:cs="Times New Roman"/>
                <w:bCs/>
                <w:color w:val="auto"/>
                <w:sz w:val="21"/>
                <w:szCs w:val="21"/>
                <w:lang w:val="en-US" w:eastAsia="zh-CN"/>
              </w:rPr>
              <w:t>t/a</w:t>
            </w:r>
          </w:p>
        </w:tc>
        <w:tc>
          <w:tcPr>
            <w:tcW w:w="12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 w:val="0"/>
                <w:bCs/>
                <w:i w:val="0"/>
                <w:color w:val="auto"/>
                <w:kern w:val="0"/>
                <w:sz w:val="21"/>
                <w:szCs w:val="21"/>
                <w:u w:val="none"/>
                <w:lang w:val="en-US" w:eastAsia="zh-CN" w:bidi="ar"/>
              </w:rPr>
            </w:pPr>
            <w:r>
              <w:rPr>
                <w:rFonts w:hint="default" w:ascii="Times New Roman" w:hAnsi="Times New Roman" w:eastAsia="宋体" w:cs="Times New Roman"/>
                <w:b w:val="0"/>
                <w:bCs/>
                <w:i w:val="0"/>
                <w:color w:val="auto"/>
                <w:kern w:val="0"/>
                <w:sz w:val="21"/>
                <w:szCs w:val="21"/>
                <w:u w:val="none"/>
                <w:lang w:val="en-US" w:eastAsia="zh-CN" w:bidi="ar"/>
              </w:rPr>
              <w:t>\</w:t>
            </w:r>
          </w:p>
        </w:tc>
        <w:tc>
          <w:tcPr>
            <w:tcW w:w="173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r>
              <w:rPr>
                <w:rFonts w:hint="default" w:ascii="Times New Roman" w:hAnsi="Times New Roman" w:eastAsia="宋体" w:cs="Times New Roman"/>
                <w:bCs/>
                <w:color w:val="auto"/>
                <w:sz w:val="21"/>
                <w:szCs w:val="21"/>
                <w:lang w:val="en-US" w:eastAsia="zh-CN"/>
              </w:rPr>
              <w:t>t/a</w:t>
            </w:r>
          </w:p>
        </w:tc>
        <w:tc>
          <w:tcPr>
            <w:tcW w:w="1584" w:type="dxa"/>
            <w:noWrap w:val="0"/>
            <w:vAlign w:val="center"/>
          </w:tcPr>
          <w:p>
            <w:pPr>
              <w:keepNext w:val="0"/>
              <w:keepLines w:val="0"/>
              <w:pageBreakBefore w:val="0"/>
              <w:widowControl/>
              <w:kinsoku/>
              <w:overflowPunct/>
              <w:autoSpaceDE/>
              <w:autoSpaceDN/>
              <w:bidi w:val="0"/>
              <w:adjustRightInd w:val="0"/>
              <w:snapToGrid w:val="0"/>
              <w:spacing w:line="240" w:lineRule="atLeast"/>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r>
              <w:rPr>
                <w:rFonts w:hint="default" w:ascii="Times New Roman" w:hAnsi="Times New Roman" w:eastAsia="宋体" w:cs="Times New Roman"/>
                <w:bCs/>
                <w:color w:val="auto"/>
                <w:sz w:val="21"/>
                <w:szCs w:val="21"/>
                <w:lang w:val="en-US" w:eastAsia="zh-CN"/>
              </w:rPr>
              <w:t>t/a</w:t>
            </w:r>
          </w:p>
        </w:tc>
      </w:tr>
    </w:tbl>
    <w:p>
      <w:pPr>
        <w:pStyle w:val="42"/>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rPr>
      </w:pPr>
      <w:r>
        <w:rPr>
          <w:rFonts w:hint="default"/>
        </w:rPr>
        <w:br w:type="page"/>
      </w:r>
      <w:r>
        <w:drawing>
          <wp:anchor distT="0" distB="0" distL="114300" distR="114300" simplePos="0" relativeHeight="251659264" behindDoc="1" locked="0" layoutInCell="1" allowOverlap="1">
            <wp:simplePos x="0" y="0"/>
            <wp:positionH relativeFrom="column">
              <wp:posOffset>982345</wp:posOffset>
            </wp:positionH>
            <wp:positionV relativeFrom="paragraph">
              <wp:posOffset>-135255</wp:posOffset>
            </wp:positionV>
            <wp:extent cx="5920105" cy="7638415"/>
            <wp:effectExtent l="0" t="0" r="4445"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920105" cy="7638415"/>
                    </a:xfrm>
                    <a:prstGeom prst="rect">
                      <a:avLst/>
                    </a:prstGeom>
                    <a:noFill/>
                    <a:ln>
                      <a:noFill/>
                    </a:ln>
                  </pic:spPr>
                </pic:pic>
              </a:graphicData>
            </a:graphic>
          </wp:anchor>
        </w:drawing>
      </w:r>
    </w:p>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5A7AA4"/>
    <w:multiLevelType w:val="singleLevel"/>
    <w:tmpl w:val="A25A7AA4"/>
    <w:lvl w:ilvl="0" w:tentative="0">
      <w:start w:val="1"/>
      <w:numFmt w:val="decimal"/>
      <w:suff w:val="nothing"/>
      <w:lvlText w:val="（%1）"/>
      <w:lvlJc w:val="left"/>
    </w:lvl>
  </w:abstractNum>
  <w:abstractNum w:abstractNumId="1">
    <w:nsid w:val="DFD0147B"/>
    <w:multiLevelType w:val="singleLevel"/>
    <w:tmpl w:val="DFD0147B"/>
    <w:lvl w:ilvl="0" w:tentative="0">
      <w:start w:val="3"/>
      <w:numFmt w:val="decimal"/>
      <w:suff w:val="nothing"/>
      <w:lvlText w:val="%1、"/>
      <w:lvlJc w:val="left"/>
    </w:lvl>
  </w:abstractNum>
  <w:abstractNum w:abstractNumId="2">
    <w:nsid w:val="F271A000"/>
    <w:multiLevelType w:val="singleLevel"/>
    <w:tmpl w:val="F271A000"/>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3">
    <w:nsid w:val="235B1A5D"/>
    <w:multiLevelType w:val="singleLevel"/>
    <w:tmpl w:val="235B1A5D"/>
    <w:lvl w:ilvl="0" w:tentative="0">
      <w:start w:val="5"/>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lMzViZDBhMGY2Y2YwZWJmYTc1MDlkNzQ2NjBhMWI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751"/>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68356F"/>
    <w:rsid w:val="019329D2"/>
    <w:rsid w:val="01F81A05"/>
    <w:rsid w:val="023E7E72"/>
    <w:rsid w:val="02697903"/>
    <w:rsid w:val="02F96569"/>
    <w:rsid w:val="03D52722"/>
    <w:rsid w:val="03EA7B21"/>
    <w:rsid w:val="05F83EAE"/>
    <w:rsid w:val="060C59DA"/>
    <w:rsid w:val="063E7D85"/>
    <w:rsid w:val="0650492F"/>
    <w:rsid w:val="06880424"/>
    <w:rsid w:val="07293586"/>
    <w:rsid w:val="07295285"/>
    <w:rsid w:val="07636392"/>
    <w:rsid w:val="07770C56"/>
    <w:rsid w:val="092217DD"/>
    <w:rsid w:val="093A7294"/>
    <w:rsid w:val="09571F74"/>
    <w:rsid w:val="0A263993"/>
    <w:rsid w:val="0A2D3AC2"/>
    <w:rsid w:val="0A417EB6"/>
    <w:rsid w:val="0AA755DF"/>
    <w:rsid w:val="0B120D44"/>
    <w:rsid w:val="0B1419D3"/>
    <w:rsid w:val="0B4B1321"/>
    <w:rsid w:val="0BB605F8"/>
    <w:rsid w:val="0BB747F5"/>
    <w:rsid w:val="0BD27BF6"/>
    <w:rsid w:val="0C3B3C7D"/>
    <w:rsid w:val="0C4067A4"/>
    <w:rsid w:val="0C751777"/>
    <w:rsid w:val="0CAB2EAE"/>
    <w:rsid w:val="0D621C7D"/>
    <w:rsid w:val="0E110FDD"/>
    <w:rsid w:val="0E73034D"/>
    <w:rsid w:val="0E985FAA"/>
    <w:rsid w:val="0F13775A"/>
    <w:rsid w:val="0F58287E"/>
    <w:rsid w:val="0F5F45FE"/>
    <w:rsid w:val="0F9A112B"/>
    <w:rsid w:val="0FF665EC"/>
    <w:rsid w:val="0FF97648"/>
    <w:rsid w:val="103F237C"/>
    <w:rsid w:val="106D2F64"/>
    <w:rsid w:val="10A506B8"/>
    <w:rsid w:val="10B63710"/>
    <w:rsid w:val="10D94C49"/>
    <w:rsid w:val="10F10820"/>
    <w:rsid w:val="111C2F7A"/>
    <w:rsid w:val="113B4171"/>
    <w:rsid w:val="11665CA1"/>
    <w:rsid w:val="119A5BE4"/>
    <w:rsid w:val="12014876"/>
    <w:rsid w:val="12FE093B"/>
    <w:rsid w:val="130609C2"/>
    <w:rsid w:val="132726EC"/>
    <w:rsid w:val="13951726"/>
    <w:rsid w:val="139C35E4"/>
    <w:rsid w:val="14392223"/>
    <w:rsid w:val="14396509"/>
    <w:rsid w:val="14BF4412"/>
    <w:rsid w:val="14DD22D8"/>
    <w:rsid w:val="14DD2C3C"/>
    <w:rsid w:val="15B10C2C"/>
    <w:rsid w:val="16072E84"/>
    <w:rsid w:val="16087E1D"/>
    <w:rsid w:val="164D719B"/>
    <w:rsid w:val="166952A7"/>
    <w:rsid w:val="16C15D36"/>
    <w:rsid w:val="16DF3835"/>
    <w:rsid w:val="17045380"/>
    <w:rsid w:val="17701D14"/>
    <w:rsid w:val="17735226"/>
    <w:rsid w:val="17BF42C5"/>
    <w:rsid w:val="17DA2A3C"/>
    <w:rsid w:val="189F624C"/>
    <w:rsid w:val="18BF3A2C"/>
    <w:rsid w:val="195E354C"/>
    <w:rsid w:val="19943792"/>
    <w:rsid w:val="19C60426"/>
    <w:rsid w:val="1A1C66C0"/>
    <w:rsid w:val="1A42393B"/>
    <w:rsid w:val="1AAD45DE"/>
    <w:rsid w:val="1B046F80"/>
    <w:rsid w:val="1B3267B5"/>
    <w:rsid w:val="1B40161D"/>
    <w:rsid w:val="1B441859"/>
    <w:rsid w:val="1B6606B1"/>
    <w:rsid w:val="1BA911BF"/>
    <w:rsid w:val="1C5E7925"/>
    <w:rsid w:val="1CB31942"/>
    <w:rsid w:val="1CFD070F"/>
    <w:rsid w:val="1D5F6196"/>
    <w:rsid w:val="1D6132A5"/>
    <w:rsid w:val="1D8E56D5"/>
    <w:rsid w:val="1DA4310A"/>
    <w:rsid w:val="1E1203E0"/>
    <w:rsid w:val="1E7A43DA"/>
    <w:rsid w:val="1F4D3A17"/>
    <w:rsid w:val="1FE7539E"/>
    <w:rsid w:val="201B53A3"/>
    <w:rsid w:val="20671BE0"/>
    <w:rsid w:val="20963CB8"/>
    <w:rsid w:val="20986A45"/>
    <w:rsid w:val="20A71303"/>
    <w:rsid w:val="20A81A1B"/>
    <w:rsid w:val="20B07FB6"/>
    <w:rsid w:val="20B646FB"/>
    <w:rsid w:val="213B74B1"/>
    <w:rsid w:val="215A2310"/>
    <w:rsid w:val="21D853AA"/>
    <w:rsid w:val="21DE318A"/>
    <w:rsid w:val="21EF5B80"/>
    <w:rsid w:val="22520FB9"/>
    <w:rsid w:val="22576990"/>
    <w:rsid w:val="229201D7"/>
    <w:rsid w:val="22F47480"/>
    <w:rsid w:val="23661BB4"/>
    <w:rsid w:val="2394697F"/>
    <w:rsid w:val="23BD2739"/>
    <w:rsid w:val="23DE1C48"/>
    <w:rsid w:val="240210CD"/>
    <w:rsid w:val="24BF09F7"/>
    <w:rsid w:val="252D53FE"/>
    <w:rsid w:val="25440617"/>
    <w:rsid w:val="2571312B"/>
    <w:rsid w:val="25B83EC5"/>
    <w:rsid w:val="25EC2D81"/>
    <w:rsid w:val="26F13E93"/>
    <w:rsid w:val="27437F60"/>
    <w:rsid w:val="277057A2"/>
    <w:rsid w:val="279E5541"/>
    <w:rsid w:val="27C432A0"/>
    <w:rsid w:val="286F7BAC"/>
    <w:rsid w:val="28D96C21"/>
    <w:rsid w:val="28FF45BC"/>
    <w:rsid w:val="29206EB8"/>
    <w:rsid w:val="29225D39"/>
    <w:rsid w:val="29595666"/>
    <w:rsid w:val="29874881"/>
    <w:rsid w:val="29CE4705"/>
    <w:rsid w:val="29E325E0"/>
    <w:rsid w:val="2A452503"/>
    <w:rsid w:val="2BA936A8"/>
    <w:rsid w:val="2C315A5A"/>
    <w:rsid w:val="2C4B1C25"/>
    <w:rsid w:val="2D744BB6"/>
    <w:rsid w:val="2D865261"/>
    <w:rsid w:val="2D9E56F5"/>
    <w:rsid w:val="2E3D41AB"/>
    <w:rsid w:val="2E667F96"/>
    <w:rsid w:val="2E8226AB"/>
    <w:rsid w:val="2EFC2E72"/>
    <w:rsid w:val="2F215EF3"/>
    <w:rsid w:val="2F7145EC"/>
    <w:rsid w:val="2F9C6646"/>
    <w:rsid w:val="2FD065E6"/>
    <w:rsid w:val="2FD96870"/>
    <w:rsid w:val="302517D1"/>
    <w:rsid w:val="30580BC9"/>
    <w:rsid w:val="311E2ED7"/>
    <w:rsid w:val="313231AA"/>
    <w:rsid w:val="315619EE"/>
    <w:rsid w:val="315C449C"/>
    <w:rsid w:val="31B82709"/>
    <w:rsid w:val="31D05482"/>
    <w:rsid w:val="323E057C"/>
    <w:rsid w:val="32400B34"/>
    <w:rsid w:val="329E6876"/>
    <w:rsid w:val="333015F2"/>
    <w:rsid w:val="334B6320"/>
    <w:rsid w:val="336047F7"/>
    <w:rsid w:val="33D934D4"/>
    <w:rsid w:val="33FE2F6A"/>
    <w:rsid w:val="340E07E5"/>
    <w:rsid w:val="34235BF7"/>
    <w:rsid w:val="34AD6669"/>
    <w:rsid w:val="34C330EF"/>
    <w:rsid w:val="34D17574"/>
    <w:rsid w:val="350E02BD"/>
    <w:rsid w:val="35571045"/>
    <w:rsid w:val="357168E5"/>
    <w:rsid w:val="358C5FA8"/>
    <w:rsid w:val="35C15DF1"/>
    <w:rsid w:val="35EB4FF6"/>
    <w:rsid w:val="36074A7F"/>
    <w:rsid w:val="36763B0C"/>
    <w:rsid w:val="36923549"/>
    <w:rsid w:val="36B75FBF"/>
    <w:rsid w:val="36BD0C45"/>
    <w:rsid w:val="371175F1"/>
    <w:rsid w:val="37533844"/>
    <w:rsid w:val="37E00298"/>
    <w:rsid w:val="381D1C61"/>
    <w:rsid w:val="388B3FB4"/>
    <w:rsid w:val="38B302F9"/>
    <w:rsid w:val="38F12CD3"/>
    <w:rsid w:val="38F94775"/>
    <w:rsid w:val="392971ED"/>
    <w:rsid w:val="39313FEA"/>
    <w:rsid w:val="39325651"/>
    <w:rsid w:val="39DE77AF"/>
    <w:rsid w:val="39F305E6"/>
    <w:rsid w:val="3A7B230C"/>
    <w:rsid w:val="3A872856"/>
    <w:rsid w:val="3AAB5CE5"/>
    <w:rsid w:val="3AB225FC"/>
    <w:rsid w:val="3B3763D1"/>
    <w:rsid w:val="3BF226D3"/>
    <w:rsid w:val="3C2F6E1E"/>
    <w:rsid w:val="3C4F64BA"/>
    <w:rsid w:val="3CAA54F6"/>
    <w:rsid w:val="3CDA245A"/>
    <w:rsid w:val="3CEB6F00"/>
    <w:rsid w:val="3D1E06B7"/>
    <w:rsid w:val="3D2C7BA3"/>
    <w:rsid w:val="3D49072E"/>
    <w:rsid w:val="3D5B112D"/>
    <w:rsid w:val="3EDA0523"/>
    <w:rsid w:val="40414BE0"/>
    <w:rsid w:val="407A6407"/>
    <w:rsid w:val="41745695"/>
    <w:rsid w:val="4200449D"/>
    <w:rsid w:val="420D0CC9"/>
    <w:rsid w:val="42100C4F"/>
    <w:rsid w:val="423A3BCC"/>
    <w:rsid w:val="424E57D2"/>
    <w:rsid w:val="427A4F61"/>
    <w:rsid w:val="42B26C49"/>
    <w:rsid w:val="433A6FE6"/>
    <w:rsid w:val="43480868"/>
    <w:rsid w:val="434A5C93"/>
    <w:rsid w:val="4350713C"/>
    <w:rsid w:val="436653E0"/>
    <w:rsid w:val="43C4431A"/>
    <w:rsid w:val="43E45C4F"/>
    <w:rsid w:val="44B67FE3"/>
    <w:rsid w:val="44B951CC"/>
    <w:rsid w:val="44CD14E0"/>
    <w:rsid w:val="44F20B0B"/>
    <w:rsid w:val="45105B11"/>
    <w:rsid w:val="452E5F4C"/>
    <w:rsid w:val="45612018"/>
    <w:rsid w:val="457526AD"/>
    <w:rsid w:val="458946E9"/>
    <w:rsid w:val="45A47C0E"/>
    <w:rsid w:val="46577FD6"/>
    <w:rsid w:val="46A87E17"/>
    <w:rsid w:val="46D955A7"/>
    <w:rsid w:val="47133957"/>
    <w:rsid w:val="47A07E0C"/>
    <w:rsid w:val="47EE008A"/>
    <w:rsid w:val="47FC6C57"/>
    <w:rsid w:val="48281DC7"/>
    <w:rsid w:val="4837437B"/>
    <w:rsid w:val="4870272E"/>
    <w:rsid w:val="48B703A8"/>
    <w:rsid w:val="49245765"/>
    <w:rsid w:val="49DC7715"/>
    <w:rsid w:val="4A023139"/>
    <w:rsid w:val="4A3C7E3F"/>
    <w:rsid w:val="4A7B576F"/>
    <w:rsid w:val="4A7D0604"/>
    <w:rsid w:val="4AF561A9"/>
    <w:rsid w:val="4B1A0654"/>
    <w:rsid w:val="4BDB07DB"/>
    <w:rsid w:val="4C4A0649"/>
    <w:rsid w:val="4C5C0465"/>
    <w:rsid w:val="4C6B6B9E"/>
    <w:rsid w:val="4C7E5ECA"/>
    <w:rsid w:val="4C876AA5"/>
    <w:rsid w:val="4D0E00FB"/>
    <w:rsid w:val="4D176606"/>
    <w:rsid w:val="4D820A60"/>
    <w:rsid w:val="4DAF1804"/>
    <w:rsid w:val="4DEC4FB0"/>
    <w:rsid w:val="4E075D8A"/>
    <w:rsid w:val="4EC00FAD"/>
    <w:rsid w:val="4ED25207"/>
    <w:rsid w:val="4F2462CC"/>
    <w:rsid w:val="4F6619E3"/>
    <w:rsid w:val="4F7E2ACE"/>
    <w:rsid w:val="4F9843DC"/>
    <w:rsid w:val="4FAB35AC"/>
    <w:rsid w:val="4FC62A8C"/>
    <w:rsid w:val="4FD07AA3"/>
    <w:rsid w:val="4FE20F0D"/>
    <w:rsid w:val="4FE51552"/>
    <w:rsid w:val="504A6EB2"/>
    <w:rsid w:val="50504C4B"/>
    <w:rsid w:val="509C6E7C"/>
    <w:rsid w:val="514D7345"/>
    <w:rsid w:val="514F57AD"/>
    <w:rsid w:val="5162104E"/>
    <w:rsid w:val="519F086E"/>
    <w:rsid w:val="52A91F16"/>
    <w:rsid w:val="52F95050"/>
    <w:rsid w:val="536B0E78"/>
    <w:rsid w:val="53A039CC"/>
    <w:rsid w:val="53A1505A"/>
    <w:rsid w:val="54063E08"/>
    <w:rsid w:val="543437E8"/>
    <w:rsid w:val="544B630B"/>
    <w:rsid w:val="54DC7A99"/>
    <w:rsid w:val="54F73313"/>
    <w:rsid w:val="54F80955"/>
    <w:rsid w:val="55131800"/>
    <w:rsid w:val="555170A7"/>
    <w:rsid w:val="555228CD"/>
    <w:rsid w:val="55737F21"/>
    <w:rsid w:val="5587536D"/>
    <w:rsid w:val="559B174B"/>
    <w:rsid w:val="55BF1AED"/>
    <w:rsid w:val="55CE0CF4"/>
    <w:rsid w:val="56B22A9C"/>
    <w:rsid w:val="56DA09DF"/>
    <w:rsid w:val="57167B87"/>
    <w:rsid w:val="57B72A76"/>
    <w:rsid w:val="57B8376D"/>
    <w:rsid w:val="57C3426C"/>
    <w:rsid w:val="57CE1F93"/>
    <w:rsid w:val="5802090A"/>
    <w:rsid w:val="581F1E63"/>
    <w:rsid w:val="588743D1"/>
    <w:rsid w:val="5887701A"/>
    <w:rsid w:val="58AC2DAE"/>
    <w:rsid w:val="58AC77C4"/>
    <w:rsid w:val="591E1510"/>
    <w:rsid w:val="59700706"/>
    <w:rsid w:val="59853390"/>
    <w:rsid w:val="59C0439F"/>
    <w:rsid w:val="5A3C79BF"/>
    <w:rsid w:val="5A916B6C"/>
    <w:rsid w:val="5ABE2233"/>
    <w:rsid w:val="5B3F11F5"/>
    <w:rsid w:val="5BA16185"/>
    <w:rsid w:val="5BDF5D95"/>
    <w:rsid w:val="5BFE7528"/>
    <w:rsid w:val="5C0A6E57"/>
    <w:rsid w:val="5C6E0409"/>
    <w:rsid w:val="5C880946"/>
    <w:rsid w:val="5D221121"/>
    <w:rsid w:val="5E2467F1"/>
    <w:rsid w:val="5E950F5B"/>
    <w:rsid w:val="5EFC1232"/>
    <w:rsid w:val="5F002A0C"/>
    <w:rsid w:val="5F1A2B43"/>
    <w:rsid w:val="5F46460C"/>
    <w:rsid w:val="5FB47AE2"/>
    <w:rsid w:val="5FB837BB"/>
    <w:rsid w:val="60C95C9E"/>
    <w:rsid w:val="60CC405A"/>
    <w:rsid w:val="61E215D8"/>
    <w:rsid w:val="621B3775"/>
    <w:rsid w:val="62364782"/>
    <w:rsid w:val="62716CA6"/>
    <w:rsid w:val="62B2499B"/>
    <w:rsid w:val="630629D8"/>
    <w:rsid w:val="6394356A"/>
    <w:rsid w:val="63C61B2C"/>
    <w:rsid w:val="63D40BE9"/>
    <w:rsid w:val="63E55E9A"/>
    <w:rsid w:val="64102431"/>
    <w:rsid w:val="64A5243A"/>
    <w:rsid w:val="64F531DE"/>
    <w:rsid w:val="65373578"/>
    <w:rsid w:val="671F124A"/>
    <w:rsid w:val="672478F9"/>
    <w:rsid w:val="677A33C6"/>
    <w:rsid w:val="67A93210"/>
    <w:rsid w:val="67AC38C3"/>
    <w:rsid w:val="681F6961"/>
    <w:rsid w:val="68610A2F"/>
    <w:rsid w:val="686E1D17"/>
    <w:rsid w:val="68805514"/>
    <w:rsid w:val="69316E2F"/>
    <w:rsid w:val="694E2071"/>
    <w:rsid w:val="69610BFC"/>
    <w:rsid w:val="69766163"/>
    <w:rsid w:val="697A3B33"/>
    <w:rsid w:val="69D44760"/>
    <w:rsid w:val="6A2D041D"/>
    <w:rsid w:val="6A520EC7"/>
    <w:rsid w:val="6A571D9F"/>
    <w:rsid w:val="6AAC5221"/>
    <w:rsid w:val="6AF87E20"/>
    <w:rsid w:val="6B1C41B0"/>
    <w:rsid w:val="6B2001E3"/>
    <w:rsid w:val="6B322639"/>
    <w:rsid w:val="6BD16CC2"/>
    <w:rsid w:val="6C636C38"/>
    <w:rsid w:val="6CBA0B15"/>
    <w:rsid w:val="6D7D4785"/>
    <w:rsid w:val="6DB30BA0"/>
    <w:rsid w:val="6DB34098"/>
    <w:rsid w:val="6DB545B6"/>
    <w:rsid w:val="6DE02FB4"/>
    <w:rsid w:val="6E27791A"/>
    <w:rsid w:val="6E514CED"/>
    <w:rsid w:val="6E5C4E75"/>
    <w:rsid w:val="6E7764E2"/>
    <w:rsid w:val="6EA04258"/>
    <w:rsid w:val="6EB563D5"/>
    <w:rsid w:val="6ED92677"/>
    <w:rsid w:val="6EE71BED"/>
    <w:rsid w:val="6F225983"/>
    <w:rsid w:val="6F7A3729"/>
    <w:rsid w:val="6FB62861"/>
    <w:rsid w:val="6FD95E4A"/>
    <w:rsid w:val="6FFC5590"/>
    <w:rsid w:val="703A1630"/>
    <w:rsid w:val="706D1DD0"/>
    <w:rsid w:val="707A233B"/>
    <w:rsid w:val="70856B87"/>
    <w:rsid w:val="709D70FA"/>
    <w:rsid w:val="70D527EE"/>
    <w:rsid w:val="70E46F1A"/>
    <w:rsid w:val="715B5300"/>
    <w:rsid w:val="71D27F8A"/>
    <w:rsid w:val="71FC07F5"/>
    <w:rsid w:val="72257F92"/>
    <w:rsid w:val="72553024"/>
    <w:rsid w:val="725E6E14"/>
    <w:rsid w:val="7282376A"/>
    <w:rsid w:val="729E0A29"/>
    <w:rsid w:val="72CC64E8"/>
    <w:rsid w:val="73122968"/>
    <w:rsid w:val="731F5D5E"/>
    <w:rsid w:val="73931B6B"/>
    <w:rsid w:val="73C51AD5"/>
    <w:rsid w:val="73C84604"/>
    <w:rsid w:val="73E54434"/>
    <w:rsid w:val="740E4723"/>
    <w:rsid w:val="741E793C"/>
    <w:rsid w:val="744B5B85"/>
    <w:rsid w:val="745E3944"/>
    <w:rsid w:val="746C2D49"/>
    <w:rsid w:val="74874F5C"/>
    <w:rsid w:val="74F2626D"/>
    <w:rsid w:val="74F81D95"/>
    <w:rsid w:val="758E296A"/>
    <w:rsid w:val="75F17633"/>
    <w:rsid w:val="7635099D"/>
    <w:rsid w:val="76AE4E11"/>
    <w:rsid w:val="76C25035"/>
    <w:rsid w:val="76C31419"/>
    <w:rsid w:val="77020F81"/>
    <w:rsid w:val="775E3256"/>
    <w:rsid w:val="775F0791"/>
    <w:rsid w:val="77762421"/>
    <w:rsid w:val="77B56B1F"/>
    <w:rsid w:val="77BD257A"/>
    <w:rsid w:val="77CB43F5"/>
    <w:rsid w:val="77DE13BA"/>
    <w:rsid w:val="780F09F4"/>
    <w:rsid w:val="78A90480"/>
    <w:rsid w:val="78E66680"/>
    <w:rsid w:val="79136D55"/>
    <w:rsid w:val="7914577E"/>
    <w:rsid w:val="7A364017"/>
    <w:rsid w:val="7A8265E1"/>
    <w:rsid w:val="7ACB6ACC"/>
    <w:rsid w:val="7B392120"/>
    <w:rsid w:val="7B686D42"/>
    <w:rsid w:val="7B841746"/>
    <w:rsid w:val="7BEE2973"/>
    <w:rsid w:val="7C1C7EBF"/>
    <w:rsid w:val="7C6C5AC7"/>
    <w:rsid w:val="7CA11DD5"/>
    <w:rsid w:val="7CC6544B"/>
    <w:rsid w:val="7CE850CA"/>
    <w:rsid w:val="7D0239FF"/>
    <w:rsid w:val="7D36643F"/>
    <w:rsid w:val="7D5E40CD"/>
    <w:rsid w:val="7DAD7F24"/>
    <w:rsid w:val="7DCD56F2"/>
    <w:rsid w:val="7E656221"/>
    <w:rsid w:val="7ECF6023"/>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qFormat="1"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locked/>
    <w:uiPriority w:val="0"/>
    <w:pPr>
      <w:keepNext/>
      <w:keepLines/>
      <w:spacing w:beforeLines="50" w:afterLines="50" w:line="500" w:lineRule="exact"/>
      <w:outlineLvl w:val="1"/>
    </w:pPr>
    <w:rPr>
      <w:rFonts w:ascii="Cambria" w:hAnsi="Cambria" w:eastAsia="仿宋_GB2312" w:cs="Times New Roman"/>
      <w:b/>
      <w:bCs/>
      <w:sz w:val="30"/>
      <w:szCs w:val="32"/>
    </w:rPr>
  </w:style>
  <w:style w:type="paragraph" w:styleId="5">
    <w:name w:val="heading 3"/>
    <w:basedOn w:val="1"/>
    <w:next w:val="1"/>
    <w:qFormat/>
    <w:locked/>
    <w:uiPriority w:val="0"/>
    <w:pPr>
      <w:widowControl/>
      <w:spacing w:before="100" w:beforeAutospacing="1" w:after="100" w:afterAutospacing="1"/>
      <w:jc w:val="left"/>
      <w:outlineLvl w:val="2"/>
    </w:pPr>
    <w:rPr>
      <w:rFonts w:ascii="宋体" w:hAnsi="宋体" w:cs="宋体"/>
      <w:b/>
      <w:bCs/>
      <w:kern w:val="0"/>
      <w:sz w:val="24"/>
    </w:rPr>
  </w:style>
  <w:style w:type="paragraph" w:styleId="6">
    <w:name w:val="heading 4"/>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Indent 2"/>
    <w:basedOn w:val="1"/>
    <w:next w:val="1"/>
    <w:qFormat/>
    <w:locked/>
    <w:uiPriority w:val="0"/>
    <w:pPr>
      <w:spacing w:after="120" w:line="480" w:lineRule="auto"/>
      <w:ind w:left="420" w:leftChars="200"/>
    </w:pPr>
  </w:style>
  <w:style w:type="paragraph" w:styleId="7">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Normal Indent"/>
    <w:basedOn w:val="1"/>
    <w:next w:val="1"/>
    <w:qFormat/>
    <w:locked/>
    <w:uiPriority w:val="0"/>
    <w:pPr>
      <w:ind w:firstLine="420" w:firstLineChars="200"/>
    </w:pPr>
    <w:rPr>
      <w:sz w:val="24"/>
      <w:szCs w:val="20"/>
    </w:rPr>
  </w:style>
  <w:style w:type="paragraph" w:styleId="9">
    <w:name w:val="caption"/>
    <w:basedOn w:val="1"/>
    <w:next w:val="1"/>
    <w:qFormat/>
    <w:locked/>
    <w:uiPriority w:val="0"/>
    <w:pPr>
      <w:spacing w:line="240" w:lineRule="auto"/>
      <w:jc w:val="center"/>
    </w:pPr>
    <w:rPr>
      <w:b/>
      <w:bCs/>
      <w:sz w:val="18"/>
      <w:szCs w:val="18"/>
    </w:rPr>
  </w:style>
  <w:style w:type="paragraph" w:styleId="10">
    <w:name w:val="annotation text"/>
    <w:basedOn w:val="1"/>
    <w:link w:val="57"/>
    <w:semiHidden/>
    <w:qFormat/>
    <w:uiPriority w:val="0"/>
    <w:pPr>
      <w:jc w:val="left"/>
    </w:pPr>
    <w:rPr>
      <w:kern w:val="0"/>
      <w:sz w:val="24"/>
      <w:szCs w:val="20"/>
    </w:rPr>
  </w:style>
  <w:style w:type="paragraph" w:styleId="11">
    <w:name w:val="Body Text"/>
    <w:basedOn w:val="1"/>
    <w:next w:val="12"/>
    <w:link w:val="65"/>
    <w:qFormat/>
    <w:uiPriority w:val="0"/>
    <w:pPr>
      <w:widowControl/>
      <w:snapToGrid w:val="0"/>
      <w:spacing w:before="60" w:after="160" w:line="259" w:lineRule="auto"/>
      <w:ind w:right="113"/>
    </w:pPr>
    <w:rPr>
      <w:kern w:val="0"/>
      <w:sz w:val="18"/>
      <w:szCs w:val="20"/>
    </w:rPr>
  </w:style>
  <w:style w:type="paragraph" w:customStyle="1" w:styleId="12">
    <w:name w:val="xl27"/>
    <w:unhideWhenUsed/>
    <w:qFormat/>
    <w:uiPriority w:val="0"/>
    <w:pPr>
      <w:spacing w:before="100" w:beforeAutospacing="1" w:after="100" w:afterAutospacing="1" w:line="360" w:lineRule="auto"/>
      <w:ind w:firstLine="200" w:firstLineChars="200"/>
      <w:jc w:val="center"/>
    </w:pPr>
    <w:rPr>
      <w:rFonts w:ascii="Arial Unicode MS" w:hAnsi="Arial Unicode MS" w:eastAsia="Arial Unicode MS" w:cs="Times New Roman"/>
      <w:kern w:val="2"/>
      <w:sz w:val="22"/>
      <w:szCs w:val="24"/>
      <w:lang w:val="en-US" w:eastAsia="zh-CN" w:bidi="ar-SA"/>
    </w:rPr>
  </w:style>
  <w:style w:type="paragraph" w:styleId="13">
    <w:name w:val="Body Text Indent"/>
    <w:basedOn w:val="1"/>
    <w:next w:val="1"/>
    <w:link w:val="60"/>
    <w:qFormat/>
    <w:uiPriority w:val="0"/>
    <w:pPr>
      <w:spacing w:after="120"/>
      <w:ind w:left="420" w:leftChars="200"/>
    </w:pPr>
    <w:rPr>
      <w:kern w:val="0"/>
      <w:sz w:val="24"/>
      <w:szCs w:val="20"/>
    </w:rPr>
  </w:style>
  <w:style w:type="paragraph" w:styleId="14">
    <w:name w:val="Plain Text"/>
    <w:basedOn w:val="1"/>
    <w:next w:val="15"/>
    <w:qFormat/>
    <w:locked/>
    <w:uiPriority w:val="0"/>
    <w:pPr>
      <w:widowControl/>
      <w:jc w:val="left"/>
    </w:pPr>
    <w:rPr>
      <w:rFonts w:ascii="宋体" w:hAnsi="Courier New"/>
      <w:color w:val="000000"/>
      <w:kern w:val="0"/>
      <w:szCs w:val="21"/>
    </w:rPr>
  </w:style>
  <w:style w:type="paragraph" w:styleId="15">
    <w:name w:val="toc 1"/>
    <w:basedOn w:val="1"/>
    <w:next w:val="1"/>
    <w:qFormat/>
    <w:locked/>
    <w:uiPriority w:val="99"/>
    <w:pPr>
      <w:spacing w:before="120" w:after="120" w:line="240" w:lineRule="auto"/>
      <w:jc w:val="left"/>
    </w:pPr>
    <w:rPr>
      <w:b/>
      <w:bCs/>
      <w:caps/>
      <w:sz w:val="20"/>
      <w:szCs w:val="20"/>
    </w:rPr>
  </w:style>
  <w:style w:type="paragraph" w:styleId="16">
    <w:name w:val="List Bullet 5"/>
    <w:basedOn w:val="1"/>
    <w:qFormat/>
    <w:locked/>
    <w:uiPriority w:val="0"/>
    <w:pPr>
      <w:numPr>
        <w:ilvl w:val="0"/>
        <w:numId w:val="1"/>
      </w:numPr>
    </w:pPr>
  </w:style>
  <w:style w:type="paragraph" w:styleId="17">
    <w:name w:val="Date"/>
    <w:basedOn w:val="1"/>
    <w:next w:val="1"/>
    <w:link w:val="62"/>
    <w:qFormat/>
    <w:uiPriority w:val="0"/>
    <w:pPr>
      <w:ind w:left="100" w:leftChars="2500"/>
    </w:pPr>
    <w:rPr>
      <w:kern w:val="0"/>
      <w:sz w:val="24"/>
      <w:szCs w:val="20"/>
    </w:rPr>
  </w:style>
  <w:style w:type="paragraph" w:styleId="18">
    <w:name w:val="Balloon Text"/>
    <w:basedOn w:val="1"/>
    <w:link w:val="68"/>
    <w:semiHidden/>
    <w:qFormat/>
    <w:uiPriority w:val="0"/>
    <w:rPr>
      <w:kern w:val="0"/>
      <w:sz w:val="18"/>
      <w:szCs w:val="20"/>
    </w:rPr>
  </w:style>
  <w:style w:type="paragraph" w:styleId="19">
    <w:name w:val="footer"/>
    <w:basedOn w:val="1"/>
    <w:link w:val="59"/>
    <w:qFormat/>
    <w:uiPriority w:val="99"/>
    <w:pPr>
      <w:tabs>
        <w:tab w:val="center" w:pos="4153"/>
        <w:tab w:val="right" w:pos="8306"/>
      </w:tabs>
      <w:snapToGrid w:val="0"/>
      <w:jc w:val="left"/>
    </w:pPr>
    <w:rPr>
      <w:kern w:val="0"/>
      <w:sz w:val="18"/>
      <w:szCs w:val="20"/>
    </w:rPr>
  </w:style>
  <w:style w:type="paragraph" w:styleId="20">
    <w:name w:val="header"/>
    <w:basedOn w:val="1"/>
    <w:link w:val="63"/>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Body Text 2"/>
    <w:basedOn w:val="1"/>
    <w:qFormat/>
    <w:locked/>
    <w:uiPriority w:val="0"/>
    <w:pPr>
      <w:spacing w:after="120" w:line="480" w:lineRule="auto"/>
    </w:pPr>
  </w:style>
  <w:style w:type="paragraph" w:styleId="22">
    <w:name w:val="List 4"/>
    <w:basedOn w:val="1"/>
    <w:qFormat/>
    <w:locked/>
    <w:uiPriority w:val="0"/>
    <w:pPr>
      <w:ind w:left="100" w:leftChars="600" w:hanging="200" w:hangingChars="200"/>
      <w:contextualSpacing/>
    </w:pPr>
  </w:style>
  <w:style w:type="paragraph" w:styleId="23">
    <w:name w:val="Normal (Web)"/>
    <w:basedOn w:val="1"/>
    <w:link w:val="64"/>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1"/>
    <w:qFormat/>
    <w:locked/>
    <w:uiPriority w:val="10"/>
    <w:pPr>
      <w:keepNext/>
      <w:keepLines/>
      <w:spacing w:beforeLines="50" w:line="500" w:lineRule="atLeast"/>
      <w:ind w:firstLine="0" w:firstLineChars="0"/>
      <w:jc w:val="left"/>
      <w:outlineLvl w:val="2"/>
    </w:pPr>
    <w:rPr>
      <w:b/>
      <w:bCs/>
      <w:szCs w:val="32"/>
    </w:rPr>
  </w:style>
  <w:style w:type="paragraph" w:styleId="25">
    <w:name w:val="annotation subject"/>
    <w:basedOn w:val="10"/>
    <w:next w:val="10"/>
    <w:link w:val="69"/>
    <w:semiHidden/>
    <w:qFormat/>
    <w:uiPriority w:val="0"/>
    <w:rPr>
      <w:b/>
      <w:sz w:val="24"/>
      <w:szCs w:val="20"/>
    </w:rPr>
  </w:style>
  <w:style w:type="paragraph" w:styleId="26">
    <w:name w:val="Body Text First Indent 2"/>
    <w:basedOn w:val="13"/>
    <w:next w:val="1"/>
    <w:qFormat/>
    <w:locked/>
    <w:uiPriority w:val="99"/>
    <w:pPr>
      <w:ind w:left="420" w:firstLine="21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locked/>
    <w:uiPriority w:val="0"/>
  </w:style>
  <w:style w:type="character" w:styleId="31">
    <w:name w:val="Emphasis"/>
    <w:basedOn w:val="29"/>
    <w:qFormat/>
    <w:locked/>
    <w:uiPriority w:val="0"/>
    <w:rPr>
      <w:i/>
    </w:rPr>
  </w:style>
  <w:style w:type="character" w:styleId="32">
    <w:name w:val="Hyperlink"/>
    <w:basedOn w:val="29"/>
    <w:qFormat/>
    <w:locked/>
    <w:uiPriority w:val="0"/>
    <w:rPr>
      <w:color w:val="0000FF"/>
      <w:u w:val="single"/>
    </w:rPr>
  </w:style>
  <w:style w:type="character" w:styleId="33">
    <w:name w:val="annotation reference"/>
    <w:semiHidden/>
    <w:qFormat/>
    <w:uiPriority w:val="0"/>
    <w:rPr>
      <w:sz w:val="21"/>
    </w:rPr>
  </w:style>
  <w:style w:type="paragraph" w:customStyle="1" w:styleId="34">
    <w:name w:val="Default"/>
    <w:basedOn w:val="35"/>
    <w:next w:val="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纯文本1"/>
    <w:basedOn w:val="1"/>
    <w:qFormat/>
    <w:uiPriority w:val="0"/>
    <w:pPr>
      <w:adjustRightInd w:val="0"/>
    </w:pPr>
    <w:rPr>
      <w:rFonts w:ascii="宋体" w:hAnsi="Courier New"/>
      <w:szCs w:val="20"/>
    </w:rPr>
  </w:style>
  <w:style w:type="paragraph" w:customStyle="1" w:styleId="36">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37">
    <w:name w:val="Table Paragraph"/>
    <w:basedOn w:val="34"/>
    <w:next w:val="34"/>
    <w:unhideWhenUsed/>
    <w:qFormat/>
    <w:uiPriority w:val="1"/>
    <w:pPr>
      <w:spacing w:beforeLines="0" w:afterLines="0"/>
    </w:pPr>
    <w:rPr>
      <w:rFonts w:hint="default"/>
      <w:sz w:val="24"/>
    </w:rPr>
  </w:style>
  <w:style w:type="paragraph" w:customStyle="1" w:styleId="38">
    <w:name w:val="环评正文"/>
    <w:basedOn w:val="1"/>
    <w:qFormat/>
    <w:uiPriority w:val="0"/>
    <w:pPr>
      <w:adjustRightInd w:val="0"/>
      <w:snapToGrid w:val="0"/>
      <w:spacing w:line="360" w:lineRule="auto"/>
      <w:ind w:firstLine="640" w:firstLineChars="200"/>
    </w:pPr>
    <w:rPr>
      <w:rFonts w:cs="宋体"/>
      <w:color w:val="000000"/>
      <w:sz w:val="24"/>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无间隔1"/>
    <w:basedOn w:val="1"/>
    <w:next w:val="1"/>
    <w:qFormat/>
    <w:uiPriority w:val="1"/>
    <w:pPr>
      <w:spacing w:line="320" w:lineRule="atLeast"/>
      <w:ind w:firstLine="0" w:firstLineChars="0"/>
      <w:jc w:val="center"/>
    </w:pPr>
    <w:rPr>
      <w:kern w:val="0"/>
      <w:sz w:val="21"/>
      <w:szCs w:val="20"/>
    </w:rPr>
  </w:style>
  <w:style w:type="paragraph" w:customStyle="1" w:styleId="42">
    <w:name w:val="表格"/>
    <w:basedOn w:val="1"/>
    <w:next w:val="1"/>
    <w:link w:val="66"/>
    <w:qFormat/>
    <w:uiPriority w:val="0"/>
    <w:pPr>
      <w:adjustRightInd w:val="0"/>
      <w:snapToGrid w:val="0"/>
      <w:spacing w:beforeLines="10" w:afterLines="10" w:line="259" w:lineRule="auto"/>
      <w:jc w:val="center"/>
    </w:pPr>
    <w:rPr>
      <w:rFonts w:ascii="宋体"/>
      <w:kern w:val="0"/>
      <w:szCs w:val="20"/>
    </w:rPr>
  </w:style>
  <w:style w:type="paragraph" w:customStyle="1" w:styleId="43">
    <w:name w:val="样式8"/>
    <w:basedOn w:val="1"/>
    <w:qFormat/>
    <w:uiPriority w:val="0"/>
    <w:pPr>
      <w:adjustRightInd w:val="0"/>
      <w:snapToGrid w:val="0"/>
      <w:spacing w:line="300" w:lineRule="exact"/>
      <w:jc w:val="center"/>
    </w:pPr>
    <w:rPr>
      <w:rFonts w:ascii="Arial" w:hAnsi="Arial"/>
      <w:szCs w:val="21"/>
    </w:rPr>
  </w:style>
  <w:style w:type="paragraph" w:customStyle="1" w:styleId="4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5">
    <w:name w:val="表"/>
    <w:basedOn w:val="1"/>
    <w:qFormat/>
    <w:uiPriority w:val="0"/>
    <w:pPr>
      <w:snapToGrid w:val="0"/>
      <w:spacing w:line="400" w:lineRule="exact"/>
      <w:jc w:val="center"/>
    </w:pPr>
    <w:rPr>
      <w:szCs w:val="21"/>
    </w:rPr>
  </w:style>
  <w:style w:type="paragraph" w:customStyle="1" w:styleId="46">
    <w:name w:val="报告书正文"/>
    <w:basedOn w:val="2"/>
    <w:qFormat/>
    <w:uiPriority w:val="0"/>
    <w:pPr>
      <w:adjustRightInd w:val="0"/>
      <w:snapToGrid w:val="0"/>
      <w:spacing w:before="156" w:beforeLines="50" w:after="0" w:line="480" w:lineRule="exact"/>
      <w:ind w:left="0" w:leftChars="0" w:firstLine="422" w:firstLineChars="200"/>
      <w:jc w:val="center"/>
    </w:pPr>
    <w:rPr>
      <w:b/>
      <w:snapToGrid w:val="0"/>
      <w:color w:val="FF0000"/>
      <w:kern w:val="0"/>
      <w:szCs w:val="21"/>
      <w:lang w:val="en-US" w:eastAsia="zh-CN"/>
    </w:rPr>
  </w:style>
  <w:style w:type="paragraph" w:customStyle="1" w:styleId="47">
    <w:name w:val="正文 首行缩进:  2 字符"/>
    <w:basedOn w:val="1"/>
    <w:qFormat/>
    <w:uiPriority w:val="0"/>
    <w:pPr>
      <w:spacing w:line="360" w:lineRule="auto"/>
    </w:pPr>
    <w:rPr>
      <w:rFonts w:hAnsi="宋体"/>
      <w:bCs/>
      <w:snapToGrid w:val="0"/>
      <w:color w:val="000000"/>
      <w:kern w:val="0"/>
      <w:sz w:val="24"/>
    </w:rPr>
  </w:style>
  <w:style w:type="paragraph" w:customStyle="1" w:styleId="48">
    <w:name w:val="L表格"/>
    <w:basedOn w:val="1"/>
    <w:qFormat/>
    <w:uiPriority w:val="0"/>
    <w:pPr>
      <w:adjustRightInd w:val="0"/>
      <w:snapToGrid w:val="0"/>
      <w:spacing w:line="320" w:lineRule="exact"/>
      <w:jc w:val="center"/>
    </w:pPr>
    <w:rPr>
      <w:rFonts w:eastAsia="Times New Roman"/>
    </w:rPr>
  </w:style>
  <w:style w:type="paragraph" w:styleId="49">
    <w:name w:val="List Paragraph"/>
    <w:basedOn w:val="1"/>
    <w:unhideWhenUsed/>
    <w:qFormat/>
    <w:uiPriority w:val="34"/>
    <w:pPr>
      <w:ind w:firstLine="420" w:firstLineChars="200"/>
    </w:pPr>
  </w:style>
  <w:style w:type="paragraph" w:customStyle="1" w:styleId="50">
    <w:name w:val="表格文字"/>
    <w:basedOn w:val="8"/>
    <w:next w:val="1"/>
    <w:qFormat/>
    <w:uiPriority w:val="0"/>
    <w:pPr>
      <w:adjustRightInd w:val="0"/>
      <w:spacing w:line="360" w:lineRule="auto"/>
      <w:jc w:val="center"/>
      <w:textAlignment w:val="baseline"/>
    </w:pPr>
    <w:rPr>
      <w:kern w:val="0"/>
      <w:szCs w:val="21"/>
    </w:rPr>
  </w:style>
  <w:style w:type="paragraph" w:customStyle="1" w:styleId="51">
    <w:name w:val="表格内容"/>
    <w:basedOn w:val="1"/>
    <w:qFormat/>
    <w:uiPriority w:val="0"/>
    <w:pPr>
      <w:jc w:val="center"/>
    </w:pPr>
    <w:rPr>
      <w:szCs w:val="24"/>
    </w:rPr>
  </w:style>
  <w:style w:type="paragraph" w:customStyle="1" w:styleId="52">
    <w:name w:val="ReMinD正文"/>
    <w:qFormat/>
    <w:uiPriority w:val="0"/>
    <w:pPr>
      <w:widowControl w:val="0"/>
      <w:spacing w:line="440" w:lineRule="exact"/>
      <w:ind w:firstLine="472" w:firstLineChars="196"/>
      <w:jc w:val="both"/>
    </w:pPr>
    <w:rPr>
      <w:rFonts w:ascii="Times New Roman" w:hAnsi="Times New Roman" w:eastAsia="宋体" w:cs="Times New Roman"/>
      <w:b/>
      <w:bCs/>
      <w:kern w:val="2"/>
      <w:sz w:val="24"/>
      <w:szCs w:val="22"/>
      <w:lang w:val="en-US" w:eastAsia="zh-CN" w:bidi="ar-SA"/>
    </w:rPr>
  </w:style>
  <w:style w:type="paragraph" w:customStyle="1" w:styleId="53">
    <w:name w:val="表字"/>
    <w:basedOn w:val="1"/>
    <w:qFormat/>
    <w:uiPriority w:val="0"/>
    <w:pPr>
      <w:spacing w:line="360" w:lineRule="auto"/>
      <w:jc w:val="center"/>
    </w:pPr>
    <w:rPr>
      <w:rFonts w:cs="宋体"/>
      <w:szCs w:val="21"/>
    </w:rPr>
  </w:style>
  <w:style w:type="paragraph" w:customStyle="1" w:styleId="54">
    <w:name w:val="表号"/>
    <w:basedOn w:val="1"/>
    <w:qFormat/>
    <w:uiPriority w:val="0"/>
    <w:pPr>
      <w:keepNext w:val="0"/>
      <w:keepLines w:val="0"/>
      <w:widowControl w:val="0"/>
      <w:suppressLineNumbers w:val="0"/>
      <w:overflowPunct w:val="0"/>
      <w:adjustRightInd w:val="0"/>
      <w:snapToGrid w:val="0"/>
      <w:spacing w:before="0" w:beforeAutospacing="0" w:after="0" w:afterAutospacing="0" w:line="500" w:lineRule="exact"/>
      <w:ind w:left="0" w:right="0" w:firstLine="0" w:firstLineChars="0"/>
      <w:jc w:val="center"/>
      <w:textAlignment w:val="baseline"/>
    </w:pPr>
    <w:rPr>
      <w:rFonts w:hint="default" w:ascii="Times New Roman" w:hAnsi="Times New Roman" w:eastAsia="宋体" w:cs="Times New Roman"/>
      <w:b/>
      <w:kern w:val="0"/>
      <w:sz w:val="21"/>
      <w:szCs w:val="21"/>
      <w:lang w:val="en-US" w:eastAsia="zh-CN" w:bidi="ar"/>
    </w:rPr>
  </w:style>
  <w:style w:type="paragraph" w:customStyle="1" w:styleId="55">
    <w:name w:val="L正文"/>
    <w:basedOn w:val="1"/>
    <w:qFormat/>
    <w:uiPriority w:val="0"/>
    <w:pPr>
      <w:adjustRightInd w:val="0"/>
      <w:snapToGrid w:val="0"/>
      <w:spacing w:line="360" w:lineRule="auto"/>
      <w:ind w:firstLine="200" w:firstLineChars="200"/>
    </w:pPr>
    <w:rPr>
      <w:rFonts w:ascii="Times New Roman" w:hAnsi="Times New Roman"/>
      <w:kern w:val="2"/>
      <w:sz w:val="24"/>
      <w:szCs w:val="24"/>
      <w:lang w:eastAsia="zh-CN"/>
    </w:rPr>
  </w:style>
  <w:style w:type="character" w:customStyle="1" w:styleId="56">
    <w:name w:val="日期 字符"/>
    <w:semiHidden/>
    <w:qFormat/>
    <w:uiPriority w:val="0"/>
    <w:rPr>
      <w:rFonts w:ascii="Times New Roman" w:hAnsi="Times New Roman" w:eastAsia="宋体"/>
      <w:sz w:val="24"/>
    </w:rPr>
  </w:style>
  <w:style w:type="character" w:customStyle="1" w:styleId="57">
    <w:name w:val="批注文字 Char"/>
    <w:link w:val="10"/>
    <w:qFormat/>
    <w:locked/>
    <w:uiPriority w:val="0"/>
    <w:rPr>
      <w:rFonts w:ascii="Times New Roman" w:hAnsi="Times New Roman" w:eastAsia="宋体"/>
      <w:sz w:val="24"/>
    </w:rPr>
  </w:style>
  <w:style w:type="character" w:customStyle="1" w:styleId="58">
    <w:name w:val="页脚 字符"/>
    <w:basedOn w:val="29"/>
    <w:qFormat/>
    <w:uiPriority w:val="99"/>
  </w:style>
  <w:style w:type="character" w:customStyle="1" w:styleId="59">
    <w:name w:val="页脚 Char"/>
    <w:link w:val="19"/>
    <w:qFormat/>
    <w:locked/>
    <w:uiPriority w:val="99"/>
    <w:rPr>
      <w:sz w:val="18"/>
    </w:rPr>
  </w:style>
  <w:style w:type="character" w:customStyle="1" w:styleId="60">
    <w:name w:val="正文文本缩进 Char"/>
    <w:link w:val="13"/>
    <w:semiHidden/>
    <w:qFormat/>
    <w:locked/>
    <w:uiPriority w:val="0"/>
    <w:rPr>
      <w:rFonts w:ascii="Times New Roman" w:hAnsi="Times New Roman" w:eastAsia="宋体"/>
      <w:sz w:val="24"/>
    </w:rPr>
  </w:style>
  <w:style w:type="character" w:customStyle="1" w:styleId="61">
    <w:name w:val="正文文本 字符1"/>
    <w:semiHidden/>
    <w:qFormat/>
    <w:uiPriority w:val="0"/>
    <w:rPr>
      <w:rFonts w:ascii="Times New Roman" w:hAnsi="Times New Roman" w:eastAsia="宋体"/>
      <w:sz w:val="24"/>
    </w:rPr>
  </w:style>
  <w:style w:type="character" w:customStyle="1" w:styleId="62">
    <w:name w:val="日期 Char"/>
    <w:link w:val="17"/>
    <w:qFormat/>
    <w:locked/>
    <w:uiPriority w:val="0"/>
    <w:rPr>
      <w:rFonts w:ascii="Times New Roman" w:hAnsi="Times New Roman" w:eastAsia="宋体"/>
      <w:sz w:val="24"/>
    </w:rPr>
  </w:style>
  <w:style w:type="character" w:customStyle="1" w:styleId="63">
    <w:name w:val="页眉 Char"/>
    <w:link w:val="20"/>
    <w:qFormat/>
    <w:locked/>
    <w:uiPriority w:val="0"/>
    <w:rPr>
      <w:sz w:val="18"/>
    </w:rPr>
  </w:style>
  <w:style w:type="character" w:customStyle="1" w:styleId="64">
    <w:name w:val="普通(网站) Char"/>
    <w:link w:val="23"/>
    <w:qFormat/>
    <w:locked/>
    <w:uiPriority w:val="0"/>
    <w:rPr>
      <w:rFonts w:ascii="宋体" w:hAnsi="宋体" w:eastAsia="宋体"/>
      <w:sz w:val="24"/>
    </w:rPr>
  </w:style>
  <w:style w:type="character" w:customStyle="1" w:styleId="65">
    <w:name w:val="正文文本 Char"/>
    <w:link w:val="11"/>
    <w:qFormat/>
    <w:locked/>
    <w:uiPriority w:val="0"/>
    <w:rPr>
      <w:sz w:val="18"/>
    </w:rPr>
  </w:style>
  <w:style w:type="character" w:customStyle="1" w:styleId="66">
    <w:name w:val="表格 Char"/>
    <w:link w:val="42"/>
    <w:qFormat/>
    <w:locked/>
    <w:uiPriority w:val="0"/>
    <w:rPr>
      <w:rFonts w:ascii="宋体"/>
      <w:sz w:val="21"/>
    </w:rPr>
  </w:style>
  <w:style w:type="character" w:customStyle="1" w:styleId="67">
    <w:name w:val="批注文字 字符1"/>
    <w:semiHidden/>
    <w:qFormat/>
    <w:uiPriority w:val="0"/>
    <w:rPr>
      <w:rFonts w:ascii="Times New Roman" w:hAnsi="Times New Roman" w:eastAsia="宋体"/>
      <w:sz w:val="24"/>
    </w:rPr>
  </w:style>
  <w:style w:type="character" w:customStyle="1" w:styleId="68">
    <w:name w:val="批注框文本 Char"/>
    <w:link w:val="18"/>
    <w:semiHidden/>
    <w:qFormat/>
    <w:locked/>
    <w:uiPriority w:val="0"/>
    <w:rPr>
      <w:rFonts w:ascii="Times New Roman" w:hAnsi="Times New Roman" w:eastAsia="宋体"/>
      <w:sz w:val="18"/>
    </w:rPr>
  </w:style>
  <w:style w:type="character" w:customStyle="1" w:styleId="69">
    <w:name w:val="批注主题 Char"/>
    <w:link w:val="25"/>
    <w:semiHidden/>
    <w:qFormat/>
    <w:locked/>
    <w:uiPriority w:val="0"/>
    <w:rPr>
      <w:rFonts w:ascii="Times New Roman" w:hAnsi="Times New Roman" w:eastAsia="宋体"/>
      <w:b/>
      <w:kern w:val="2"/>
      <w:sz w:val="24"/>
    </w:rPr>
  </w:style>
  <w:style w:type="character" w:customStyle="1" w:styleId="70">
    <w:name w:val="NormalCharacter"/>
    <w:qFormat/>
    <w:uiPriority w:val="0"/>
    <w:rPr>
      <w:kern w:val="2"/>
      <w:sz w:val="21"/>
      <w:szCs w:val="24"/>
      <w:lang w:val="en-US" w:eastAsia="zh-CN" w:bidi="ar-SA"/>
    </w:rPr>
  </w:style>
  <w:style w:type="paragraph" w:customStyle="1" w:styleId="71">
    <w:name w:val="正文（首行缩进2字）"/>
    <w:basedOn w:val="1"/>
    <w:qFormat/>
    <w:uiPriority w:val="0"/>
    <w:pPr>
      <w:spacing w:line="480" w:lineRule="exact"/>
      <w:ind w:firstLine="480" w:firstLineChars="200"/>
    </w:pPr>
    <w:rPr>
      <w:rFonts w:ascii="宋体" w:hAnsi="宋体"/>
      <w:color w:val="000000"/>
      <w:sz w:val="24"/>
    </w:rPr>
  </w:style>
  <w:style w:type="paragraph" w:customStyle="1" w:styleId="72">
    <w:name w:val="样式 正文缩进正文缩进1正文（首行缩进两字） Char Char Char Char Char Char Char文本条款...1"/>
    <w:basedOn w:val="8"/>
    <w:qFormat/>
    <w:uiPriority w:val="0"/>
    <w:pPr>
      <w:tabs>
        <w:tab w:val="left" w:pos="540"/>
        <w:tab w:val="left" w:pos="1050"/>
        <w:tab w:val="left" w:pos="1260"/>
        <w:tab w:val="left" w:pos="1800"/>
      </w:tabs>
      <w:spacing w:line="440" w:lineRule="exact"/>
      <w:ind w:firstLine="480"/>
      <w:jc w:val="left"/>
    </w:pPr>
    <w:rPr>
      <w:rFonts w:cs="宋体"/>
      <w:b/>
      <w:kern w:val="24"/>
      <w:szCs w:val="24"/>
    </w:rPr>
  </w:style>
  <w:style w:type="paragraph" w:customStyle="1" w:styleId="73">
    <w:name w:val="新格式表"/>
    <w:basedOn w:val="1"/>
    <w:qFormat/>
    <w:uiPriority w:val="0"/>
    <w:pPr>
      <w:jc w:val="center"/>
    </w:pPr>
    <w:rPr>
      <w:b/>
      <w:snapToGrid w:val="0"/>
      <w:color w:val="FF0000"/>
      <w:szCs w:val="21"/>
    </w:rPr>
  </w:style>
  <w:style w:type="character" w:customStyle="1" w:styleId="74">
    <w:name w:val="font11"/>
    <w:basedOn w:val="29"/>
    <w:qFormat/>
    <w:uiPriority w:val="0"/>
    <w:rPr>
      <w:rFonts w:hint="default" w:ascii="Times New Roman" w:hAnsi="Times New Roman" w:cs="Times New Roman"/>
      <w:color w:val="000000"/>
      <w:sz w:val="21"/>
      <w:szCs w:val="21"/>
      <w:u w:val="none"/>
    </w:rPr>
  </w:style>
  <w:style w:type="paragraph" w:customStyle="1" w:styleId="75">
    <w:name w:val="正文111111111"/>
    <w:basedOn w:val="1"/>
    <w:qFormat/>
    <w:uiPriority w:val="0"/>
    <w:pPr>
      <w:spacing w:line="360" w:lineRule="auto"/>
      <w:ind w:firstLine="480" w:firstLineChars="200"/>
    </w:pPr>
    <w:rPr>
      <w:sz w:val="24"/>
      <w:szCs w:val="20"/>
    </w:rPr>
  </w:style>
  <w:style w:type="paragraph" w:customStyle="1" w:styleId="76">
    <w:name w:val="表格内居中文字"/>
    <w:basedOn w:val="1"/>
    <w:qFormat/>
    <w:uiPriority w:val="0"/>
    <w:pPr>
      <w:jc w:val="center"/>
    </w:pPr>
    <w:rPr>
      <w:sz w:val="22"/>
    </w:rPr>
  </w:style>
  <w:style w:type="character" w:customStyle="1" w:styleId="77">
    <w:name w:val="font31"/>
    <w:basedOn w:val="29"/>
    <w:qFormat/>
    <w:uiPriority w:val="0"/>
    <w:rPr>
      <w:rFonts w:hint="default" w:ascii="Times New Roman" w:hAnsi="Times New Roman" w:cs="Times New Roman"/>
      <w:color w:val="000000"/>
      <w:sz w:val="21"/>
      <w:szCs w:val="21"/>
      <w:u w:val="none"/>
      <w:vertAlign w:val="subscript"/>
    </w:rPr>
  </w:style>
  <w:style w:type="paragraph" w:customStyle="1" w:styleId="78">
    <w:name w:val="表头"/>
    <w:basedOn w:val="11"/>
    <w:qFormat/>
    <w:uiPriority w:val="0"/>
    <w:pPr>
      <w:adjustRightInd w:val="0"/>
      <w:snapToGrid w:val="0"/>
      <w:spacing w:line="400" w:lineRule="exact"/>
      <w:jc w:val="center"/>
    </w:pPr>
    <w:rPr>
      <w:b/>
      <w:sz w:val="24"/>
      <w:szCs w:val="24"/>
    </w:rPr>
  </w:style>
  <w:style w:type="character" w:customStyle="1" w:styleId="79">
    <w:name w:val="s_font_title"/>
    <w:basedOn w:val="29"/>
    <w:qFormat/>
    <w:uiPriority w:val="0"/>
  </w:style>
  <w:style w:type="character" w:customStyle="1" w:styleId="80">
    <w:name w:val="font21"/>
    <w:basedOn w:val="29"/>
    <w:qFormat/>
    <w:uiPriority w:val="0"/>
    <w:rPr>
      <w:rFonts w:hint="default" w:ascii="Times New Roman" w:hAnsi="Times New Roman" w:cs="Times New Roman"/>
      <w:color w:val="000000"/>
      <w:sz w:val="21"/>
      <w:szCs w:val="21"/>
      <w:u w:val="none"/>
    </w:rPr>
  </w:style>
  <w:style w:type="character" w:customStyle="1" w:styleId="81">
    <w:name w:val="font51"/>
    <w:basedOn w:val="29"/>
    <w:qFormat/>
    <w:uiPriority w:val="0"/>
    <w:rPr>
      <w:rFonts w:hint="eastAsia" w:ascii="宋体" w:hAnsi="宋体" w:eastAsia="宋体" w:cs="宋体"/>
      <w:color w:val="000000"/>
      <w:sz w:val="21"/>
      <w:szCs w:val="21"/>
      <w:u w:val="none"/>
    </w:rPr>
  </w:style>
  <w:style w:type="character" w:customStyle="1" w:styleId="82">
    <w:name w:val="font41"/>
    <w:basedOn w:val="29"/>
    <w:qFormat/>
    <w:uiPriority w:val="0"/>
    <w:rPr>
      <w:rFonts w:hint="default" w:ascii="Times New Roman" w:hAnsi="Times New Roman" w:cs="Times New Roman"/>
      <w:color w:val="000000"/>
      <w:sz w:val="21"/>
      <w:szCs w:val="21"/>
      <w:u w:val="none"/>
    </w:rPr>
  </w:style>
  <w:style w:type="paragraph" w:customStyle="1" w:styleId="83">
    <w:name w:val="样式 正文缩进正文缩进2正文缩进 Char Char正文缩进 Char Char Char Char正文缩进 Char ..."/>
    <w:basedOn w:val="8"/>
    <w:qFormat/>
    <w:uiPriority w:val="0"/>
    <w:pPr>
      <w:spacing w:line="360" w:lineRule="auto"/>
      <w:ind w:firstLine="200"/>
    </w:pPr>
    <w:rPr>
      <w:rFonts w:cs="宋体"/>
      <w:sz w:val="24"/>
    </w:rPr>
  </w:style>
  <w:style w:type="paragraph" w:customStyle="1" w:styleId="84">
    <w:name w:val="表中文字"/>
    <w:basedOn w:val="50"/>
    <w:qFormat/>
    <w:uiPriority w:val="0"/>
    <w:pPr>
      <w:adjustRightInd w:val="0"/>
      <w:snapToGrid w:val="0"/>
      <w:spacing w:line="400" w:lineRule="exact"/>
      <w:jc w:val="center"/>
    </w:pPr>
    <w:rPr>
      <w:rFonts w:ascii="Calibri" w:hAnsi="Calibri"/>
      <w:szCs w:val="22"/>
    </w:rPr>
  </w:style>
  <w:style w:type="paragraph" w:customStyle="1" w:styleId="85">
    <w:name w:val="小表头"/>
    <w:basedOn w:val="1"/>
    <w:next w:val="1"/>
    <w:qFormat/>
    <w:uiPriority w:val="5"/>
    <w:pPr>
      <w:spacing w:line="160" w:lineRule="atLeast"/>
      <w:jc w:val="center"/>
    </w:pPr>
    <w:rPr>
      <w:b/>
    </w:rPr>
  </w:style>
  <w:style w:type="paragraph" w:customStyle="1" w:styleId="86">
    <w:name w:val="p0"/>
    <w:basedOn w:val="1"/>
    <w:qFormat/>
    <w:uiPriority w:val="0"/>
    <w:pPr>
      <w:widowControl/>
    </w:pPr>
    <w:rPr>
      <w:szCs w:val="21"/>
    </w:rPr>
  </w:style>
  <w:style w:type="paragraph" w:customStyle="1" w:styleId="87">
    <w:name w:val="正文（表）"/>
    <w:basedOn w:val="1"/>
    <w:qFormat/>
    <w:uiPriority w:val="0"/>
    <w:pPr>
      <w:adjustRightInd w:val="0"/>
      <w:snapToGrid w:val="0"/>
      <w:spacing w:line="440" w:lineRule="exact"/>
      <w:ind w:firstLine="520" w:firstLineChars="200"/>
    </w:pPr>
    <w:rPr>
      <w:rFonts w:eastAsia="宋体"/>
      <w:bCs/>
      <w:sz w:val="26"/>
      <w:szCs w:val="26"/>
    </w:rPr>
  </w:style>
  <w:style w:type="paragraph" w:customStyle="1" w:styleId="88">
    <w:name w:val="表文字"/>
    <w:basedOn w:val="1"/>
    <w:qFormat/>
    <w:uiPriority w:val="0"/>
    <w:pPr>
      <w:overflowPunct w:val="0"/>
      <w:autoSpaceDE w:val="0"/>
      <w:autoSpaceDN w:val="0"/>
      <w:adjustRightInd w:val="0"/>
      <w:spacing w:line="240" w:lineRule="atLeast"/>
      <w:jc w:val="center"/>
    </w:pPr>
    <w:rPr>
      <w:kern w:val="0"/>
      <w:sz w:val="24"/>
      <w:szCs w:val="20"/>
    </w:rPr>
  </w:style>
  <w:style w:type="paragraph" w:customStyle="1" w:styleId="89">
    <w:name w:val="样式 13 磅 行距: 固定值 25 磅"/>
    <w:basedOn w:val="1"/>
    <w:uiPriority w:val="0"/>
    <w:pPr>
      <w:spacing w:line="500" w:lineRule="exact"/>
      <w:ind w:firstLine="520" w:firstLineChars="200"/>
    </w:pPr>
    <w:rPr>
      <w:rFonts w:cs="宋体"/>
      <w:sz w:val="26"/>
      <w:szCs w:val="20"/>
    </w:rPr>
  </w:style>
  <w:style w:type="paragraph" w:customStyle="1" w:styleId="90">
    <w:name w:val="表格内正文"/>
    <w:basedOn w:val="1"/>
    <w:next w:val="91"/>
    <w:qFormat/>
    <w:uiPriority w:val="0"/>
    <w:pPr>
      <w:spacing w:line="360" w:lineRule="auto"/>
      <w:ind w:firstLine="493"/>
    </w:pPr>
    <w:rPr>
      <w:rFonts w:ascii="宋体" w:hAnsi="宋体"/>
      <w:spacing w:val="4"/>
      <w:kern w:val="18"/>
      <w:sz w:val="24"/>
    </w:rPr>
  </w:style>
  <w:style w:type="paragraph" w:customStyle="1" w:styleId="91">
    <w:name w:val="A 正文"/>
    <w:basedOn w:val="1"/>
    <w:next w:val="1"/>
    <w:qFormat/>
    <w:uiPriority w:val="0"/>
    <w:pPr>
      <w:spacing w:line="360" w:lineRule="auto"/>
      <w:ind w:firstLine="200" w:firstLineChars="200"/>
    </w:pPr>
    <w:rPr>
      <w:sz w:val="24"/>
    </w:rPr>
  </w:style>
  <w:style w:type="paragraph" w:customStyle="1" w:styleId="92">
    <w:name w:val="4小表"/>
    <w:basedOn w:val="1"/>
    <w:qFormat/>
    <w:uiPriority w:val="0"/>
    <w:pPr>
      <w:adjustRightInd w:val="0"/>
      <w:snapToGrid w:val="0"/>
      <w:jc w:val="center"/>
    </w:pPr>
    <w:rPr>
      <w:kern w:val="0"/>
      <w:szCs w:val="21"/>
    </w:rPr>
  </w:style>
  <w:style w:type="paragraph" w:customStyle="1" w:styleId="93">
    <w:name w:val="报告正文"/>
    <w:basedOn w:val="23"/>
    <w:qFormat/>
    <w:uiPriority w:val="0"/>
    <w:pPr>
      <w:adjustRightInd w:val="0"/>
      <w:snapToGrid w:val="0"/>
      <w:spacing w:line="360" w:lineRule="auto"/>
      <w:ind w:firstLine="200" w:firstLineChars="200"/>
    </w:pPr>
    <w:rPr>
      <w:rFonts w:ascii="Calibri" w:hAnsi="Calibri" w:eastAsia="宋体"/>
      <w:bCs/>
      <w:kern w:val="44"/>
      <w:sz w:val="2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2.bin"/><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53</Pages>
  <Words>34726</Words>
  <Characters>38806</Characters>
  <Lines>13</Lines>
  <Paragraphs>3</Paragraphs>
  <TotalTime>1</TotalTime>
  <ScaleCrop>false</ScaleCrop>
  <LinksUpToDate>false</LinksUpToDate>
  <CharactersWithSpaces>39259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                    。</cp:lastModifiedBy>
  <cp:lastPrinted>2020-12-29T02:43:00Z</cp:lastPrinted>
  <dcterms:modified xsi:type="dcterms:W3CDTF">2023-11-13T02:59:39Z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6CB8626BE1884ED2B288CC476D6A4367</vt:lpwstr>
  </property>
</Properties>
</file>